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14.xml" ContentType="application/vnd.openxmlformats-officedocument.drawingml.chart+xml"/>
  <Override PartName="/word/charts/chart1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B69D58" w14:textId="77777777" w:rsidR="00991714" w:rsidRPr="00055BCF" w:rsidRDefault="00991714" w:rsidP="00991714">
      <w:pPr>
        <w:pStyle w:val="CoverTitle"/>
        <w:shd w:val="clear" w:color="auto" w:fill="auto"/>
        <w:rPr>
          <w:rFonts w:asciiTheme="majorHAnsi" w:hAnsiTheme="majorHAnsi"/>
          <w:color w:val="auto"/>
          <w:sz w:val="40"/>
          <w:szCs w:val="40"/>
        </w:rPr>
      </w:pPr>
    </w:p>
    <w:p w14:paraId="73BF06F7" w14:textId="77777777" w:rsidR="001F711F" w:rsidRDefault="001F711F" w:rsidP="006363D7">
      <w:pPr>
        <w:pStyle w:val="CoverTitle"/>
        <w:shd w:val="clear" w:color="auto" w:fill="auto"/>
        <w:ind w:left="-284" w:right="-424"/>
        <w:rPr>
          <w:rFonts w:asciiTheme="majorHAnsi" w:hAnsiTheme="majorHAnsi"/>
          <w:color w:val="auto"/>
          <w:sz w:val="72"/>
          <w:szCs w:val="72"/>
        </w:rPr>
      </w:pPr>
    </w:p>
    <w:p w14:paraId="027B354F" w14:textId="77777777" w:rsidR="00055BCF" w:rsidRPr="00055BCF" w:rsidRDefault="00363922" w:rsidP="006363D7">
      <w:pPr>
        <w:pStyle w:val="CoverTitle"/>
        <w:shd w:val="clear" w:color="auto" w:fill="auto"/>
        <w:ind w:left="-284" w:right="-424"/>
        <w:rPr>
          <w:rFonts w:asciiTheme="majorHAnsi" w:hAnsiTheme="majorHAnsi"/>
          <w:color w:val="auto"/>
          <w:sz w:val="72"/>
          <w:szCs w:val="72"/>
        </w:rPr>
      </w:pPr>
      <w:r w:rsidRPr="00055BCF">
        <w:rPr>
          <w:rFonts w:asciiTheme="majorHAnsi" w:hAnsiTheme="majorHAnsi"/>
          <w:color w:val="auto"/>
          <w:sz w:val="72"/>
          <w:szCs w:val="72"/>
        </w:rPr>
        <w:t>INTERGOVERNMENTAL GROUP ON TEA</w:t>
      </w:r>
    </w:p>
    <w:p w14:paraId="4BB8C9AD" w14:textId="77777777" w:rsidR="00055BCF" w:rsidRPr="00055BCF" w:rsidRDefault="00991714" w:rsidP="006363D7">
      <w:pPr>
        <w:pStyle w:val="CoverTitle"/>
        <w:shd w:val="clear" w:color="auto" w:fill="auto"/>
        <w:ind w:left="-284" w:right="-424"/>
        <w:rPr>
          <w:rFonts w:asciiTheme="majorHAnsi" w:hAnsiTheme="majorHAnsi"/>
          <w:color w:val="auto"/>
          <w:sz w:val="48"/>
          <w:szCs w:val="48"/>
        </w:rPr>
      </w:pPr>
      <w:r w:rsidRPr="00055BCF">
        <w:rPr>
          <w:rFonts w:asciiTheme="majorHAnsi" w:hAnsiTheme="majorHAnsi"/>
          <w:color w:val="auto"/>
          <w:sz w:val="48"/>
          <w:szCs w:val="48"/>
        </w:rPr>
        <w:t xml:space="preserve">INTERSESSIONAL MEETING </w:t>
      </w:r>
    </w:p>
    <w:p w14:paraId="0B1DD19D" w14:textId="45967C7C" w:rsidR="00011165" w:rsidRDefault="00874916" w:rsidP="009927B5">
      <w:pPr>
        <w:pStyle w:val="CoverTitle"/>
        <w:shd w:val="clear" w:color="auto" w:fill="auto"/>
        <w:ind w:left="-284" w:right="-424"/>
        <w:rPr>
          <w:rFonts w:asciiTheme="majorHAnsi" w:hAnsiTheme="majorHAnsi"/>
          <w:color w:val="auto"/>
          <w:sz w:val="72"/>
          <w:szCs w:val="72"/>
        </w:rPr>
      </w:pPr>
      <w:r>
        <w:rPr>
          <w:rFonts w:asciiTheme="majorHAnsi" w:hAnsiTheme="majorHAnsi"/>
          <w:color w:val="auto"/>
          <w:sz w:val="72"/>
          <w:szCs w:val="72"/>
        </w:rPr>
        <w:t>Report of the Working Group on Global Tea Market Analysis and Promotion</w:t>
      </w:r>
      <w:r>
        <w:rPr>
          <w:rStyle w:val="FootnoteReference"/>
          <w:rFonts w:asciiTheme="majorHAnsi" w:hAnsiTheme="majorHAnsi"/>
          <w:color w:val="auto"/>
          <w:sz w:val="72"/>
          <w:szCs w:val="72"/>
        </w:rPr>
        <w:footnoteReference w:id="1"/>
      </w:r>
    </w:p>
    <w:p w14:paraId="11FF1D66" w14:textId="77777777" w:rsidR="003A063A" w:rsidRDefault="003A063A" w:rsidP="003A063A"/>
    <w:p w14:paraId="03178FBA" w14:textId="77777777" w:rsidR="003A063A" w:rsidRDefault="003A063A" w:rsidP="003A063A"/>
    <w:p w14:paraId="39F1727E" w14:textId="77777777" w:rsidR="003A063A" w:rsidRDefault="003A063A" w:rsidP="003A063A"/>
    <w:p w14:paraId="7EC20DC9" w14:textId="77777777" w:rsidR="001F711F" w:rsidRDefault="001F711F" w:rsidP="001F711F">
      <w:pPr>
        <w:pStyle w:val="CoverTitle"/>
        <w:shd w:val="clear" w:color="auto" w:fill="auto"/>
        <w:spacing w:before="0" w:after="0"/>
        <w:ind w:right="-418"/>
        <w:rPr>
          <w:rFonts w:ascii="Times New Roman" w:hAnsi="Times New Roman"/>
          <w:b w:val="0"/>
          <w:color w:val="auto"/>
          <w:kern w:val="0"/>
          <w:sz w:val="24"/>
        </w:rPr>
      </w:pPr>
    </w:p>
    <w:p w14:paraId="7597C9D5" w14:textId="77777777" w:rsidR="001F711F" w:rsidRDefault="001F711F" w:rsidP="001F711F">
      <w:pPr>
        <w:pStyle w:val="CoverTitle"/>
        <w:shd w:val="clear" w:color="auto" w:fill="auto"/>
        <w:spacing w:before="0" w:after="0"/>
        <w:ind w:right="-418"/>
        <w:rPr>
          <w:rFonts w:ascii="Times New Roman" w:hAnsi="Times New Roman"/>
          <w:b w:val="0"/>
          <w:color w:val="auto"/>
          <w:kern w:val="0"/>
          <w:sz w:val="24"/>
        </w:rPr>
      </w:pPr>
    </w:p>
    <w:p w14:paraId="5B26ED48" w14:textId="77777777" w:rsidR="001F711F" w:rsidRDefault="001F711F" w:rsidP="001F711F">
      <w:pPr>
        <w:pStyle w:val="CoverTitle"/>
        <w:shd w:val="clear" w:color="auto" w:fill="auto"/>
        <w:spacing w:before="0" w:after="0"/>
        <w:ind w:right="-418"/>
        <w:rPr>
          <w:rFonts w:ascii="Times New Roman" w:hAnsi="Times New Roman"/>
          <w:b w:val="0"/>
          <w:color w:val="auto"/>
          <w:kern w:val="0"/>
          <w:sz w:val="24"/>
        </w:rPr>
      </w:pPr>
    </w:p>
    <w:p w14:paraId="7F69DB90" w14:textId="77777777" w:rsidR="001F711F" w:rsidRDefault="001F711F" w:rsidP="001F711F">
      <w:pPr>
        <w:pStyle w:val="CoverTitle"/>
        <w:shd w:val="clear" w:color="auto" w:fill="auto"/>
        <w:spacing w:before="0" w:after="0"/>
        <w:ind w:right="-418"/>
        <w:rPr>
          <w:rFonts w:asciiTheme="majorHAnsi" w:hAnsiTheme="majorHAnsi"/>
          <w:color w:val="auto"/>
          <w:sz w:val="40"/>
          <w:szCs w:val="40"/>
        </w:rPr>
      </w:pPr>
    </w:p>
    <w:p w14:paraId="1B191F8C" w14:textId="77777777" w:rsidR="001F711F" w:rsidRDefault="001F711F" w:rsidP="001F711F">
      <w:pPr>
        <w:pStyle w:val="CoverTitle"/>
        <w:shd w:val="clear" w:color="auto" w:fill="auto"/>
        <w:spacing w:before="0" w:after="0"/>
        <w:ind w:right="-418"/>
        <w:rPr>
          <w:rFonts w:asciiTheme="majorHAnsi" w:hAnsiTheme="majorHAnsi"/>
          <w:color w:val="auto"/>
          <w:sz w:val="40"/>
          <w:szCs w:val="40"/>
        </w:rPr>
      </w:pPr>
      <w:bookmarkStart w:id="0" w:name="_GoBack"/>
      <w:bookmarkEnd w:id="0"/>
    </w:p>
    <w:p w14:paraId="2DDBF7A1" w14:textId="77777777" w:rsidR="001F711F" w:rsidRDefault="001F711F" w:rsidP="001F711F">
      <w:pPr>
        <w:pStyle w:val="CoverTitle"/>
        <w:shd w:val="clear" w:color="auto" w:fill="auto"/>
        <w:spacing w:before="0" w:after="0"/>
        <w:ind w:right="-418"/>
        <w:rPr>
          <w:rFonts w:asciiTheme="majorHAnsi" w:hAnsiTheme="majorHAnsi"/>
          <w:color w:val="auto"/>
          <w:sz w:val="40"/>
          <w:szCs w:val="40"/>
        </w:rPr>
      </w:pPr>
    </w:p>
    <w:p w14:paraId="24F64637" w14:textId="13E7FB0A" w:rsidR="003A063A" w:rsidRPr="003A063A" w:rsidRDefault="003A063A" w:rsidP="003A063A">
      <w:pPr>
        <w:pStyle w:val="CoverTitle"/>
        <w:shd w:val="clear" w:color="auto" w:fill="auto"/>
        <w:spacing w:before="0" w:after="0"/>
        <w:ind w:left="-288" w:right="-418"/>
        <w:rPr>
          <w:rFonts w:asciiTheme="majorHAnsi" w:hAnsiTheme="majorHAnsi"/>
          <w:color w:val="auto"/>
          <w:sz w:val="40"/>
          <w:szCs w:val="40"/>
        </w:rPr>
      </w:pPr>
    </w:p>
    <w:p w14:paraId="16F07351" w14:textId="77777777" w:rsidR="003A063A" w:rsidRPr="003A063A" w:rsidRDefault="003A063A" w:rsidP="003A063A"/>
    <w:p w14:paraId="21849AE8" w14:textId="77777777" w:rsidR="009927B5" w:rsidRPr="003A063A" w:rsidRDefault="009927B5" w:rsidP="009927B5">
      <w:pPr>
        <w:rPr>
          <w:rFonts w:asciiTheme="majorHAnsi" w:hAnsiTheme="majorHAnsi"/>
          <w:sz w:val="72"/>
          <w:szCs w:val="72"/>
        </w:rPr>
        <w:sectPr w:rsidR="009927B5" w:rsidRPr="003A063A" w:rsidSect="00011165">
          <w:headerReference w:type="even" r:id="rId8"/>
          <w:headerReference w:type="default" r:id="rId9"/>
          <w:footerReference w:type="even" r:id="rId10"/>
          <w:footerReference w:type="default" r:id="rId11"/>
          <w:headerReference w:type="first" r:id="rId12"/>
          <w:footerReference w:type="first" r:id="rId13"/>
          <w:pgSz w:w="12242" w:h="15842" w:code="1"/>
          <w:pgMar w:top="1240" w:right="1797" w:bottom="1582" w:left="1797" w:header="567" w:footer="283" w:gutter="0"/>
          <w:pgNumType w:fmt="lowerRoman" w:start="1"/>
          <w:cols w:space="720"/>
          <w:titlePg/>
          <w:docGrid w:linePitch="326"/>
        </w:sectPr>
      </w:pPr>
    </w:p>
    <w:p w14:paraId="26717CFD" w14:textId="77777777" w:rsidR="00874916" w:rsidRPr="00D40B92" w:rsidRDefault="00874916" w:rsidP="00D40B92">
      <w:pPr>
        <w:pStyle w:val="Title"/>
        <w:jc w:val="left"/>
        <w:rPr>
          <w:rFonts w:ascii="Times New Roman" w:hAnsi="Times New Roman" w:cs="Times New Roman"/>
          <w:kern w:val="44"/>
          <w:sz w:val="30"/>
          <w:szCs w:val="44"/>
        </w:rPr>
      </w:pPr>
      <w:r w:rsidRPr="00D40B92">
        <w:rPr>
          <w:rFonts w:ascii="Times New Roman" w:hAnsi="Times New Roman" w:cs="Times New Roman"/>
          <w:kern w:val="44"/>
          <w:sz w:val="30"/>
          <w:szCs w:val="44"/>
        </w:rPr>
        <w:lastRenderedPageBreak/>
        <w:t>Background</w:t>
      </w:r>
    </w:p>
    <w:p w14:paraId="6AD4CE53" w14:textId="142E9A51" w:rsidR="00874916" w:rsidRDefault="00874916" w:rsidP="00A41510">
      <w:pPr>
        <w:autoSpaceDE w:val="0"/>
        <w:autoSpaceDN w:val="0"/>
        <w:adjustRightInd w:val="0"/>
        <w:spacing w:before="240" w:after="100" w:afterAutospacing="1"/>
        <w:rPr>
          <w:szCs w:val="21"/>
        </w:rPr>
      </w:pPr>
      <w:r>
        <w:rPr>
          <w:szCs w:val="21"/>
        </w:rPr>
        <w:t>T</w:t>
      </w:r>
      <w:r>
        <w:rPr>
          <w:rFonts w:hint="eastAsia"/>
          <w:szCs w:val="21"/>
        </w:rPr>
        <w:t xml:space="preserve">he </w:t>
      </w:r>
      <w:r w:rsidR="001760C5">
        <w:rPr>
          <w:szCs w:val="21"/>
        </w:rPr>
        <w:t xml:space="preserve">Intergovernmental Group on Tea (IGG/Tea), at </w:t>
      </w:r>
      <w:r>
        <w:rPr>
          <w:rFonts w:hint="eastAsia"/>
          <w:szCs w:val="21"/>
        </w:rPr>
        <w:t xml:space="preserve">its </w:t>
      </w:r>
      <w:r w:rsidR="001760C5">
        <w:rPr>
          <w:szCs w:val="21"/>
        </w:rPr>
        <w:t>T</w:t>
      </w:r>
      <w:r w:rsidRPr="00C13DCA">
        <w:rPr>
          <w:szCs w:val="21"/>
        </w:rPr>
        <w:t>wenty-second session</w:t>
      </w:r>
      <w:r>
        <w:rPr>
          <w:rFonts w:hint="eastAsia"/>
          <w:szCs w:val="21"/>
        </w:rPr>
        <w:t xml:space="preserve"> held in </w:t>
      </w:r>
      <w:r>
        <w:rPr>
          <w:szCs w:val="21"/>
        </w:rPr>
        <w:t>Naivasha, Kenya</w:t>
      </w:r>
      <w:r w:rsidR="001760C5">
        <w:rPr>
          <w:szCs w:val="21"/>
        </w:rPr>
        <w:t>,</w:t>
      </w:r>
      <w:r w:rsidRPr="00B92526">
        <w:rPr>
          <w:szCs w:val="21"/>
        </w:rPr>
        <w:t xml:space="preserve"> in May 2016</w:t>
      </w:r>
      <w:r w:rsidR="001760C5">
        <w:rPr>
          <w:szCs w:val="21"/>
        </w:rPr>
        <w:t>,</w:t>
      </w:r>
      <w:r>
        <w:rPr>
          <w:rFonts w:hint="eastAsia"/>
          <w:szCs w:val="21"/>
        </w:rPr>
        <w:t xml:space="preserve"> constituted a </w:t>
      </w:r>
      <w:r w:rsidR="001760C5">
        <w:rPr>
          <w:szCs w:val="21"/>
        </w:rPr>
        <w:t>W</w:t>
      </w:r>
      <w:r>
        <w:rPr>
          <w:rFonts w:hint="eastAsia"/>
          <w:szCs w:val="21"/>
        </w:rPr>
        <w:t xml:space="preserve">orking </w:t>
      </w:r>
      <w:r w:rsidR="001760C5">
        <w:rPr>
          <w:szCs w:val="21"/>
        </w:rPr>
        <w:t>G</w:t>
      </w:r>
      <w:r>
        <w:rPr>
          <w:rFonts w:hint="eastAsia"/>
          <w:szCs w:val="21"/>
        </w:rPr>
        <w:t>roup</w:t>
      </w:r>
      <w:r w:rsidRPr="005559D5">
        <w:rPr>
          <w:szCs w:val="21"/>
        </w:rPr>
        <w:t xml:space="preserve"> </w:t>
      </w:r>
      <w:r w:rsidR="001760C5">
        <w:rPr>
          <w:szCs w:val="21"/>
        </w:rPr>
        <w:t xml:space="preserve">(WG) </w:t>
      </w:r>
      <w:r w:rsidRPr="002C524B">
        <w:rPr>
          <w:szCs w:val="21"/>
        </w:rPr>
        <w:t xml:space="preserve">on </w:t>
      </w:r>
      <w:r w:rsidR="001760C5">
        <w:rPr>
          <w:szCs w:val="21"/>
        </w:rPr>
        <w:t>G</w:t>
      </w:r>
      <w:r w:rsidRPr="002C524B">
        <w:rPr>
          <w:szCs w:val="21"/>
        </w:rPr>
        <w:t xml:space="preserve">lobal </w:t>
      </w:r>
      <w:r w:rsidR="001760C5">
        <w:rPr>
          <w:szCs w:val="21"/>
        </w:rPr>
        <w:t>T</w:t>
      </w:r>
      <w:r w:rsidRPr="002C524B">
        <w:rPr>
          <w:szCs w:val="21"/>
        </w:rPr>
        <w:t xml:space="preserve">ea </w:t>
      </w:r>
      <w:r w:rsidR="001760C5">
        <w:rPr>
          <w:szCs w:val="21"/>
        </w:rPr>
        <w:t>M</w:t>
      </w:r>
      <w:r w:rsidRPr="002C524B">
        <w:rPr>
          <w:szCs w:val="21"/>
        </w:rPr>
        <w:t xml:space="preserve">arket </w:t>
      </w:r>
      <w:r w:rsidR="001760C5">
        <w:rPr>
          <w:szCs w:val="21"/>
        </w:rPr>
        <w:t>A</w:t>
      </w:r>
      <w:r w:rsidRPr="002C524B">
        <w:rPr>
          <w:szCs w:val="21"/>
        </w:rPr>
        <w:t xml:space="preserve">nalysis and </w:t>
      </w:r>
      <w:r w:rsidR="001760C5">
        <w:rPr>
          <w:szCs w:val="21"/>
        </w:rPr>
        <w:t>P</w:t>
      </w:r>
      <w:r w:rsidRPr="002C524B">
        <w:rPr>
          <w:szCs w:val="21"/>
        </w:rPr>
        <w:t>romotion to</w:t>
      </w:r>
      <w:r>
        <w:rPr>
          <w:rFonts w:hint="eastAsia"/>
          <w:szCs w:val="21"/>
        </w:rPr>
        <w:t xml:space="preserve"> </w:t>
      </w:r>
      <w:r w:rsidRPr="002C524B">
        <w:rPr>
          <w:szCs w:val="21"/>
        </w:rPr>
        <w:t>encourage world tea consumption</w:t>
      </w:r>
      <w:r>
        <w:rPr>
          <w:rFonts w:hint="eastAsia"/>
          <w:szCs w:val="21"/>
        </w:rPr>
        <w:t xml:space="preserve">. </w:t>
      </w:r>
      <w:r>
        <w:rPr>
          <w:szCs w:val="21"/>
        </w:rPr>
        <w:t>C</w:t>
      </w:r>
      <w:r>
        <w:rPr>
          <w:rFonts w:hint="eastAsia"/>
          <w:szCs w:val="21"/>
        </w:rPr>
        <w:t xml:space="preserve">hina is the </w:t>
      </w:r>
      <w:r w:rsidR="001760C5">
        <w:rPr>
          <w:szCs w:val="21"/>
        </w:rPr>
        <w:t>C</w:t>
      </w:r>
      <w:r>
        <w:rPr>
          <w:rFonts w:hint="eastAsia"/>
          <w:szCs w:val="21"/>
        </w:rPr>
        <w:t>hair</w:t>
      </w:r>
      <w:r w:rsidR="001760C5">
        <w:rPr>
          <w:szCs w:val="21"/>
        </w:rPr>
        <w:t xml:space="preserve"> of this WG</w:t>
      </w:r>
      <w:r>
        <w:rPr>
          <w:rFonts w:hint="eastAsia"/>
          <w:szCs w:val="21"/>
        </w:rPr>
        <w:t xml:space="preserve">, and member countries are </w:t>
      </w:r>
      <w:r w:rsidRPr="00B92526">
        <w:rPr>
          <w:szCs w:val="21"/>
        </w:rPr>
        <w:t xml:space="preserve">Canada, India, Kenya, Sri Lanka, </w:t>
      </w:r>
      <w:r>
        <w:rPr>
          <w:rFonts w:hint="eastAsia"/>
          <w:szCs w:val="21"/>
        </w:rPr>
        <w:t xml:space="preserve">and </w:t>
      </w:r>
      <w:r w:rsidRPr="00B92526">
        <w:rPr>
          <w:szCs w:val="21"/>
        </w:rPr>
        <w:t>United Kingd</w:t>
      </w:r>
      <w:r w:rsidRPr="00DB7F86">
        <w:rPr>
          <w:szCs w:val="21"/>
        </w:rPr>
        <w:t>o</w:t>
      </w:r>
      <w:r w:rsidRPr="00B92526">
        <w:rPr>
          <w:szCs w:val="21"/>
        </w:rPr>
        <w:t>m</w:t>
      </w:r>
      <w:r>
        <w:rPr>
          <w:rFonts w:hint="eastAsia"/>
          <w:szCs w:val="21"/>
        </w:rPr>
        <w:t>.</w:t>
      </w:r>
    </w:p>
    <w:p w14:paraId="00FC2CE2" w14:textId="77777777" w:rsidR="00874916" w:rsidRDefault="00874916" w:rsidP="00EA28C4">
      <w:pPr>
        <w:autoSpaceDE w:val="0"/>
        <w:autoSpaceDN w:val="0"/>
        <w:adjustRightInd w:val="0"/>
        <w:spacing w:after="100" w:afterAutospacing="1"/>
        <w:rPr>
          <w:szCs w:val="21"/>
        </w:rPr>
      </w:pPr>
      <w:r>
        <w:rPr>
          <w:szCs w:val="21"/>
        </w:rPr>
        <w:t>T</w:t>
      </w:r>
      <w:r>
        <w:rPr>
          <w:rFonts w:hint="eastAsia"/>
          <w:szCs w:val="21"/>
        </w:rPr>
        <w:t xml:space="preserve">he </w:t>
      </w:r>
      <w:r w:rsidRPr="003B4275">
        <w:rPr>
          <w:szCs w:val="21"/>
        </w:rPr>
        <w:t>overall objectives</w:t>
      </w:r>
      <w:r>
        <w:rPr>
          <w:rFonts w:hint="eastAsia"/>
          <w:szCs w:val="21"/>
        </w:rPr>
        <w:t xml:space="preserve"> of the WG are as follows:</w:t>
      </w:r>
    </w:p>
    <w:p w14:paraId="65528EC6" w14:textId="77777777" w:rsidR="00874916" w:rsidRPr="002C524B" w:rsidRDefault="00874916" w:rsidP="00EA28C4">
      <w:pPr>
        <w:autoSpaceDE w:val="0"/>
        <w:autoSpaceDN w:val="0"/>
        <w:adjustRightInd w:val="0"/>
        <w:spacing w:after="100" w:afterAutospacing="1"/>
        <w:rPr>
          <w:szCs w:val="21"/>
        </w:rPr>
      </w:pPr>
      <w:r w:rsidRPr="003B4275">
        <w:rPr>
          <w:rFonts w:hint="eastAsia"/>
          <w:szCs w:val="21"/>
        </w:rPr>
        <w:t>1. To p</w:t>
      </w:r>
      <w:r w:rsidRPr="003B4275">
        <w:rPr>
          <w:szCs w:val="21"/>
        </w:rPr>
        <w:t>romot</w:t>
      </w:r>
      <w:r w:rsidRPr="003B4275">
        <w:rPr>
          <w:rFonts w:hint="eastAsia"/>
          <w:szCs w:val="21"/>
        </w:rPr>
        <w:t>e</w:t>
      </w:r>
      <w:r w:rsidRPr="003B4275">
        <w:rPr>
          <w:szCs w:val="21"/>
        </w:rPr>
        <w:t xml:space="preserve"> the sustainable development of tea industry in</w:t>
      </w:r>
      <w:r w:rsidRPr="002C524B">
        <w:rPr>
          <w:szCs w:val="21"/>
        </w:rPr>
        <w:t> the world</w:t>
      </w:r>
      <w:r>
        <w:rPr>
          <w:rFonts w:hint="eastAsia"/>
          <w:szCs w:val="21"/>
        </w:rPr>
        <w:t>.</w:t>
      </w:r>
    </w:p>
    <w:p w14:paraId="2B3C365F" w14:textId="77777777" w:rsidR="00874916" w:rsidRPr="002C524B" w:rsidRDefault="00874916" w:rsidP="00EA28C4">
      <w:pPr>
        <w:autoSpaceDE w:val="0"/>
        <w:autoSpaceDN w:val="0"/>
        <w:adjustRightInd w:val="0"/>
        <w:spacing w:after="100" w:afterAutospacing="1"/>
        <w:rPr>
          <w:szCs w:val="21"/>
        </w:rPr>
      </w:pPr>
      <w:r>
        <w:rPr>
          <w:rFonts w:hint="eastAsia"/>
          <w:szCs w:val="21"/>
        </w:rPr>
        <w:t xml:space="preserve">2. </w:t>
      </w:r>
      <w:r w:rsidRPr="002C524B">
        <w:rPr>
          <w:szCs w:val="21"/>
        </w:rPr>
        <w:t>To promote international tea trade and investment.</w:t>
      </w:r>
    </w:p>
    <w:p w14:paraId="3FFEA3CB" w14:textId="77777777" w:rsidR="00874916" w:rsidRPr="002C524B" w:rsidRDefault="00874916" w:rsidP="00EA28C4">
      <w:pPr>
        <w:autoSpaceDE w:val="0"/>
        <w:autoSpaceDN w:val="0"/>
        <w:adjustRightInd w:val="0"/>
        <w:spacing w:after="100" w:afterAutospacing="1"/>
        <w:rPr>
          <w:szCs w:val="21"/>
        </w:rPr>
      </w:pPr>
      <w:r>
        <w:rPr>
          <w:rFonts w:hint="eastAsia"/>
          <w:szCs w:val="21"/>
        </w:rPr>
        <w:t xml:space="preserve">3. </w:t>
      </w:r>
      <w:r w:rsidRPr="002C524B">
        <w:rPr>
          <w:szCs w:val="21"/>
        </w:rPr>
        <w:t>To keep up with the international tea market situation and trends, identify new characteristics of tea consumption market.</w:t>
      </w:r>
    </w:p>
    <w:p w14:paraId="26DE6EF3" w14:textId="77777777" w:rsidR="00874916" w:rsidRDefault="00874916" w:rsidP="00EA28C4">
      <w:pPr>
        <w:autoSpaceDE w:val="0"/>
        <w:autoSpaceDN w:val="0"/>
        <w:adjustRightInd w:val="0"/>
        <w:spacing w:after="100" w:afterAutospacing="1"/>
        <w:rPr>
          <w:szCs w:val="21"/>
        </w:rPr>
      </w:pPr>
      <w:r>
        <w:rPr>
          <w:rFonts w:hint="eastAsia"/>
          <w:szCs w:val="21"/>
        </w:rPr>
        <w:t xml:space="preserve">4. </w:t>
      </w:r>
      <w:r w:rsidRPr="002C524B">
        <w:rPr>
          <w:szCs w:val="21"/>
        </w:rPr>
        <w:t>To help tea producers, suppliers and distributors to understand the current and future trends in this market and formulate their business strategies accordingly.</w:t>
      </w:r>
    </w:p>
    <w:p w14:paraId="5CE50771" w14:textId="77777777" w:rsidR="00D40B92" w:rsidRDefault="00874916" w:rsidP="00EA28C4">
      <w:pPr>
        <w:autoSpaceDE w:val="0"/>
        <w:autoSpaceDN w:val="0"/>
        <w:adjustRightInd w:val="0"/>
        <w:spacing w:after="100" w:afterAutospacing="1"/>
        <w:rPr>
          <w:szCs w:val="21"/>
        </w:rPr>
      </w:pPr>
      <w:r w:rsidRPr="00D9693D">
        <w:rPr>
          <w:szCs w:val="21"/>
        </w:rPr>
        <w:t xml:space="preserve">Since this is the first year this WG is constituted, there are difficulties in market investigation globally and collection of market information from various countries, this report </w:t>
      </w:r>
      <w:r>
        <w:rPr>
          <w:rFonts w:hint="eastAsia"/>
          <w:szCs w:val="21"/>
        </w:rPr>
        <w:t xml:space="preserve">firstly </w:t>
      </w:r>
      <w:r w:rsidRPr="00D9693D">
        <w:rPr>
          <w:szCs w:val="21"/>
        </w:rPr>
        <w:t>analyzes the global tea market mainly by using macro data</w:t>
      </w:r>
      <w:r>
        <w:rPr>
          <w:rFonts w:hint="eastAsia"/>
          <w:szCs w:val="21"/>
        </w:rPr>
        <w:t>,</w:t>
      </w:r>
      <w:r w:rsidRPr="00D9693D">
        <w:rPr>
          <w:szCs w:val="21"/>
        </w:rPr>
        <w:t xml:space="preserve"> and </w:t>
      </w:r>
      <w:r>
        <w:rPr>
          <w:rFonts w:hint="eastAsia"/>
          <w:szCs w:val="21"/>
        </w:rPr>
        <w:t xml:space="preserve">then </w:t>
      </w:r>
      <w:r w:rsidRPr="00D9693D">
        <w:rPr>
          <w:szCs w:val="21"/>
        </w:rPr>
        <w:t xml:space="preserve">provides the tea </w:t>
      </w:r>
      <w:r>
        <w:rPr>
          <w:rFonts w:hint="eastAsia"/>
          <w:szCs w:val="21"/>
        </w:rPr>
        <w:t>market</w:t>
      </w:r>
      <w:r w:rsidRPr="00D9693D">
        <w:rPr>
          <w:szCs w:val="21"/>
        </w:rPr>
        <w:t xml:space="preserve"> information of several large tea consumption countries in the world.</w:t>
      </w:r>
    </w:p>
    <w:p w14:paraId="1859D48D" w14:textId="595B71B6" w:rsidR="00874916" w:rsidRDefault="00874916" w:rsidP="00D40B92">
      <w:pPr>
        <w:pStyle w:val="Title"/>
        <w:jc w:val="left"/>
        <w:rPr>
          <w:rFonts w:ascii="Times New Roman" w:hAnsi="Times New Roman" w:cs="Times New Roman"/>
          <w:kern w:val="44"/>
          <w:sz w:val="30"/>
          <w:szCs w:val="44"/>
        </w:rPr>
      </w:pPr>
      <w:r w:rsidRPr="00D40B92">
        <w:rPr>
          <w:rFonts w:ascii="Times New Roman" w:hAnsi="Times New Roman" w:cs="Times New Roman"/>
          <w:kern w:val="44"/>
          <w:sz w:val="30"/>
          <w:szCs w:val="44"/>
        </w:rPr>
        <w:t>Activities of the Working Group</w:t>
      </w:r>
    </w:p>
    <w:p w14:paraId="2AB12EEF" w14:textId="77777777" w:rsidR="001760C5" w:rsidRPr="001760C5" w:rsidRDefault="001760C5" w:rsidP="001760C5">
      <w:pPr>
        <w:rPr>
          <w:lang w:eastAsia="zh-CN"/>
        </w:rPr>
      </w:pPr>
    </w:p>
    <w:p w14:paraId="493BD5A0" w14:textId="4074C9F5" w:rsidR="00874916" w:rsidRPr="00D40B92" w:rsidRDefault="00874916" w:rsidP="00D40B92">
      <w:pPr>
        <w:autoSpaceDE w:val="0"/>
        <w:autoSpaceDN w:val="0"/>
        <w:adjustRightInd w:val="0"/>
        <w:spacing w:after="100" w:afterAutospacing="1"/>
        <w:rPr>
          <w:szCs w:val="21"/>
        </w:rPr>
      </w:pPr>
      <w:r w:rsidRPr="00D40B92">
        <w:rPr>
          <w:szCs w:val="21"/>
        </w:rPr>
        <w:t xml:space="preserve">1. </w:t>
      </w:r>
      <w:r w:rsidR="0021372E" w:rsidRPr="0021372E">
        <w:rPr>
          <w:szCs w:val="21"/>
          <w:u w:val="single"/>
        </w:rPr>
        <w:t>Collection of information in i</w:t>
      </w:r>
      <w:r w:rsidRPr="0021372E">
        <w:rPr>
          <w:szCs w:val="21"/>
          <w:u w:val="single"/>
        </w:rPr>
        <w:t>nternational and domestic</w:t>
      </w:r>
      <w:r w:rsidRPr="0021372E">
        <w:rPr>
          <w:rFonts w:hint="eastAsia"/>
          <w:szCs w:val="21"/>
          <w:u w:val="single"/>
        </w:rPr>
        <w:t xml:space="preserve"> </w:t>
      </w:r>
      <w:r w:rsidRPr="0021372E">
        <w:rPr>
          <w:szCs w:val="21"/>
          <w:u w:val="single"/>
        </w:rPr>
        <w:t>tea market</w:t>
      </w:r>
      <w:r w:rsidR="0021372E" w:rsidRPr="0021372E">
        <w:rPr>
          <w:szCs w:val="21"/>
          <w:u w:val="single"/>
        </w:rPr>
        <w:t>s</w:t>
      </w:r>
      <w:r w:rsidRPr="00D40B92">
        <w:rPr>
          <w:szCs w:val="21"/>
        </w:rPr>
        <w:t>. S</w:t>
      </w:r>
      <w:r w:rsidRPr="00D40B92">
        <w:rPr>
          <w:rFonts w:hint="eastAsia"/>
          <w:szCs w:val="21"/>
        </w:rPr>
        <w:t xml:space="preserve">ince </w:t>
      </w:r>
      <w:r w:rsidRPr="00D40B92">
        <w:rPr>
          <w:szCs w:val="21"/>
        </w:rPr>
        <w:t xml:space="preserve">preferences of tea and tea drinking habits vary </w:t>
      </w:r>
      <w:r w:rsidR="0021372E">
        <w:rPr>
          <w:szCs w:val="21"/>
        </w:rPr>
        <w:t xml:space="preserve">among </w:t>
      </w:r>
      <w:r w:rsidRPr="00D40B92">
        <w:rPr>
          <w:szCs w:val="21"/>
        </w:rPr>
        <w:t>countries</w:t>
      </w:r>
      <w:r w:rsidRPr="00D40B92">
        <w:rPr>
          <w:rFonts w:hint="eastAsia"/>
          <w:szCs w:val="21"/>
        </w:rPr>
        <w:t xml:space="preserve">, it is </w:t>
      </w:r>
      <w:r w:rsidRPr="00D40B92">
        <w:rPr>
          <w:szCs w:val="21"/>
        </w:rPr>
        <w:t>difficult to obtain</w:t>
      </w:r>
      <w:r w:rsidRPr="00D40B92">
        <w:rPr>
          <w:rFonts w:hint="eastAsia"/>
          <w:szCs w:val="21"/>
        </w:rPr>
        <w:t xml:space="preserve"> specific information and data </w:t>
      </w:r>
      <w:r w:rsidR="0021372E">
        <w:rPr>
          <w:szCs w:val="21"/>
        </w:rPr>
        <w:t xml:space="preserve">on </w:t>
      </w:r>
      <w:r w:rsidRPr="00D40B92">
        <w:rPr>
          <w:rFonts w:hint="eastAsia"/>
          <w:szCs w:val="21"/>
        </w:rPr>
        <w:t xml:space="preserve">tea </w:t>
      </w:r>
      <w:r w:rsidR="0021372E">
        <w:rPr>
          <w:szCs w:val="21"/>
        </w:rPr>
        <w:t xml:space="preserve">consumption in various </w:t>
      </w:r>
      <w:r w:rsidRPr="00D40B92">
        <w:rPr>
          <w:rFonts w:hint="eastAsia"/>
          <w:szCs w:val="21"/>
        </w:rPr>
        <w:t xml:space="preserve">countries. </w:t>
      </w:r>
      <w:r w:rsidRPr="00D40B92">
        <w:rPr>
          <w:szCs w:val="21"/>
        </w:rPr>
        <w:t>B</w:t>
      </w:r>
      <w:r w:rsidRPr="00D40B92">
        <w:rPr>
          <w:rFonts w:hint="eastAsia"/>
          <w:szCs w:val="21"/>
        </w:rPr>
        <w:t>y far, information o</w:t>
      </w:r>
      <w:r w:rsidR="0021372E">
        <w:rPr>
          <w:szCs w:val="21"/>
        </w:rPr>
        <w:t>n</w:t>
      </w:r>
      <w:r w:rsidRPr="00D40B92">
        <w:rPr>
          <w:rFonts w:hint="eastAsia"/>
          <w:szCs w:val="21"/>
        </w:rPr>
        <w:t xml:space="preserve"> tea consumption </w:t>
      </w:r>
      <w:r w:rsidR="0021372E">
        <w:rPr>
          <w:rFonts w:hint="eastAsia"/>
          <w:szCs w:val="21"/>
        </w:rPr>
        <w:t>situation, structure change</w:t>
      </w:r>
      <w:r w:rsidRPr="00D40B92">
        <w:rPr>
          <w:rFonts w:hint="eastAsia"/>
          <w:szCs w:val="21"/>
        </w:rPr>
        <w:t xml:space="preserve"> and future trends </w:t>
      </w:r>
      <w:r w:rsidR="0021372E">
        <w:rPr>
          <w:szCs w:val="21"/>
        </w:rPr>
        <w:t xml:space="preserve">has been obtained from </w:t>
      </w:r>
      <w:r w:rsidRPr="00D40B92">
        <w:rPr>
          <w:rFonts w:hint="eastAsia"/>
          <w:szCs w:val="21"/>
        </w:rPr>
        <w:t>thre</w:t>
      </w:r>
      <w:r w:rsidR="0021372E">
        <w:rPr>
          <w:rFonts w:hint="eastAsia"/>
          <w:szCs w:val="21"/>
        </w:rPr>
        <w:t>e of the largest tea consuming</w:t>
      </w:r>
      <w:r w:rsidRPr="00D40B92">
        <w:rPr>
          <w:rFonts w:hint="eastAsia"/>
          <w:szCs w:val="21"/>
        </w:rPr>
        <w:t xml:space="preserve"> countries, </w:t>
      </w:r>
      <w:r w:rsidR="0021372E">
        <w:rPr>
          <w:szCs w:val="21"/>
        </w:rPr>
        <w:t xml:space="preserve">namely, </w:t>
      </w:r>
      <w:r w:rsidRPr="00D40B92">
        <w:rPr>
          <w:rFonts w:hint="eastAsia"/>
          <w:szCs w:val="21"/>
        </w:rPr>
        <w:t xml:space="preserve">the </w:t>
      </w:r>
      <w:r w:rsidR="0021372E">
        <w:rPr>
          <w:szCs w:val="21"/>
        </w:rPr>
        <w:t>USA</w:t>
      </w:r>
      <w:r w:rsidRPr="00D40B92">
        <w:rPr>
          <w:rFonts w:hint="eastAsia"/>
          <w:szCs w:val="21"/>
        </w:rPr>
        <w:t xml:space="preserve">, </w:t>
      </w:r>
      <w:r w:rsidR="0021372E">
        <w:rPr>
          <w:szCs w:val="21"/>
        </w:rPr>
        <w:t xml:space="preserve">the </w:t>
      </w:r>
      <w:r w:rsidRPr="00D40B92">
        <w:rPr>
          <w:rFonts w:hint="eastAsia"/>
          <w:szCs w:val="21"/>
        </w:rPr>
        <w:t xml:space="preserve">United </w:t>
      </w:r>
      <w:r w:rsidRPr="00D40B92">
        <w:rPr>
          <w:szCs w:val="21"/>
        </w:rPr>
        <w:t>Kingdom</w:t>
      </w:r>
      <w:r w:rsidRPr="00D40B92">
        <w:rPr>
          <w:rFonts w:hint="eastAsia"/>
          <w:szCs w:val="21"/>
        </w:rPr>
        <w:t xml:space="preserve"> and </w:t>
      </w:r>
      <w:r w:rsidRPr="00D40B92">
        <w:rPr>
          <w:szCs w:val="21"/>
        </w:rPr>
        <w:t>Canada</w:t>
      </w:r>
      <w:r w:rsidRPr="00D40B92">
        <w:rPr>
          <w:rFonts w:hint="eastAsia"/>
          <w:szCs w:val="21"/>
        </w:rPr>
        <w:t xml:space="preserve">. </w:t>
      </w:r>
      <w:r w:rsidRPr="00D40B92">
        <w:rPr>
          <w:szCs w:val="21"/>
        </w:rPr>
        <w:t>M</w:t>
      </w:r>
      <w:r w:rsidRPr="00D40B92">
        <w:rPr>
          <w:rFonts w:hint="eastAsia"/>
          <w:szCs w:val="21"/>
        </w:rPr>
        <w:t xml:space="preserve">ember countries </w:t>
      </w:r>
      <w:r w:rsidR="0021372E">
        <w:rPr>
          <w:szCs w:val="21"/>
        </w:rPr>
        <w:t xml:space="preserve">should </w:t>
      </w:r>
      <w:r w:rsidRPr="00D40B92">
        <w:rPr>
          <w:rFonts w:hint="eastAsia"/>
          <w:szCs w:val="21"/>
        </w:rPr>
        <w:t>cooperate and share information.</w:t>
      </w:r>
    </w:p>
    <w:p w14:paraId="177F4201" w14:textId="03425AC4" w:rsidR="00874916" w:rsidRPr="0021372E" w:rsidRDefault="00874916" w:rsidP="00D40B92">
      <w:pPr>
        <w:autoSpaceDE w:val="0"/>
        <w:autoSpaceDN w:val="0"/>
        <w:adjustRightInd w:val="0"/>
        <w:spacing w:after="100" w:afterAutospacing="1"/>
        <w:rPr>
          <w:szCs w:val="21"/>
        </w:rPr>
      </w:pPr>
      <w:r w:rsidRPr="00D40B92">
        <w:rPr>
          <w:rFonts w:hint="eastAsia"/>
          <w:szCs w:val="21"/>
        </w:rPr>
        <w:t xml:space="preserve">2. </w:t>
      </w:r>
      <w:r w:rsidRPr="0021372E">
        <w:rPr>
          <w:szCs w:val="21"/>
          <w:u w:val="single"/>
        </w:rPr>
        <w:t>The</w:t>
      </w:r>
      <w:r w:rsidRPr="0021372E">
        <w:rPr>
          <w:rFonts w:hint="eastAsia"/>
          <w:szCs w:val="21"/>
          <w:u w:val="single"/>
        </w:rPr>
        <w:t xml:space="preserve"> </w:t>
      </w:r>
      <w:r w:rsidRPr="0021372E">
        <w:rPr>
          <w:szCs w:val="21"/>
          <w:u w:val="single"/>
        </w:rPr>
        <w:t>First China International Tea Expo</w:t>
      </w:r>
      <w:r w:rsidRPr="00D40B92">
        <w:rPr>
          <w:rFonts w:hint="eastAsia"/>
          <w:szCs w:val="21"/>
        </w:rPr>
        <w:t xml:space="preserve">. </w:t>
      </w:r>
      <w:r w:rsidRPr="00AB38D6">
        <w:rPr>
          <w:szCs w:val="21"/>
        </w:rPr>
        <w:t xml:space="preserve">In order to promote the development of </w:t>
      </w:r>
      <w:r w:rsidR="0021372E">
        <w:rPr>
          <w:szCs w:val="21"/>
        </w:rPr>
        <w:t xml:space="preserve">the </w:t>
      </w:r>
      <w:r w:rsidRPr="00AB38D6">
        <w:rPr>
          <w:szCs w:val="21"/>
        </w:rPr>
        <w:t xml:space="preserve">tea industry, </w:t>
      </w:r>
      <w:r>
        <w:rPr>
          <w:rFonts w:hint="eastAsia"/>
          <w:szCs w:val="21"/>
        </w:rPr>
        <w:t>e</w:t>
      </w:r>
      <w:r w:rsidRPr="00AB38D6">
        <w:rPr>
          <w:szCs w:val="21"/>
        </w:rPr>
        <w:t xml:space="preserve">nhance </w:t>
      </w:r>
      <w:r>
        <w:rPr>
          <w:rFonts w:hint="eastAsia"/>
          <w:szCs w:val="21"/>
        </w:rPr>
        <w:t xml:space="preserve">tea </w:t>
      </w:r>
      <w:r w:rsidRPr="00AB38D6">
        <w:rPr>
          <w:szCs w:val="21"/>
        </w:rPr>
        <w:t>culture exchange and</w:t>
      </w:r>
      <w:r>
        <w:rPr>
          <w:rFonts w:hint="eastAsia"/>
          <w:szCs w:val="21"/>
        </w:rPr>
        <w:t xml:space="preserve"> </w:t>
      </w:r>
      <w:r w:rsidR="0021372E">
        <w:rPr>
          <w:rFonts w:hint="eastAsia"/>
          <w:szCs w:val="21"/>
        </w:rPr>
        <w:t>international tea trade</w:t>
      </w:r>
      <w:r>
        <w:rPr>
          <w:rFonts w:hint="eastAsia"/>
          <w:szCs w:val="21"/>
        </w:rPr>
        <w:t xml:space="preserve">, </w:t>
      </w:r>
      <w:r w:rsidRPr="00AB38D6">
        <w:rPr>
          <w:szCs w:val="21"/>
        </w:rPr>
        <w:t xml:space="preserve">China held the </w:t>
      </w:r>
      <w:r w:rsidR="0021372E">
        <w:rPr>
          <w:szCs w:val="21"/>
        </w:rPr>
        <w:t>F</w:t>
      </w:r>
      <w:r w:rsidRPr="00AB38D6">
        <w:rPr>
          <w:szCs w:val="21"/>
        </w:rPr>
        <w:t xml:space="preserve">irst China International Tea Expo </w:t>
      </w:r>
      <w:r w:rsidRPr="00D40B92">
        <w:rPr>
          <w:szCs w:val="21"/>
        </w:rPr>
        <w:t>in Hangzhou, Zhejiang Province,</w:t>
      </w:r>
      <w:r w:rsidRPr="00D40B92">
        <w:rPr>
          <w:rFonts w:hint="eastAsia"/>
          <w:szCs w:val="21"/>
        </w:rPr>
        <w:t xml:space="preserve"> </w:t>
      </w:r>
      <w:r w:rsidRPr="00AB38D6">
        <w:rPr>
          <w:szCs w:val="21"/>
        </w:rPr>
        <w:t xml:space="preserve">on </w:t>
      </w:r>
      <w:r w:rsidR="0021372E">
        <w:rPr>
          <w:szCs w:val="21"/>
        </w:rPr>
        <w:t xml:space="preserve">18-21 </w:t>
      </w:r>
      <w:r w:rsidRPr="00AB38D6">
        <w:rPr>
          <w:szCs w:val="21"/>
        </w:rPr>
        <w:t>May 18-21 2017</w:t>
      </w:r>
      <w:r w:rsidR="0021372E">
        <w:rPr>
          <w:szCs w:val="21"/>
        </w:rPr>
        <w:t>. The event</w:t>
      </w:r>
      <w:r w:rsidRPr="00AB38D6">
        <w:rPr>
          <w:szCs w:val="21"/>
        </w:rPr>
        <w:t xml:space="preserve"> attracted </w:t>
      </w:r>
      <w:r w:rsidR="0021372E">
        <w:rPr>
          <w:szCs w:val="21"/>
        </w:rPr>
        <w:t xml:space="preserve">participants from </w:t>
      </w:r>
      <w:r w:rsidRPr="00AB38D6">
        <w:rPr>
          <w:szCs w:val="21"/>
        </w:rPr>
        <w:t>47 tea and coffee produ</w:t>
      </w:r>
      <w:r>
        <w:rPr>
          <w:rFonts w:hint="eastAsia"/>
          <w:szCs w:val="21"/>
        </w:rPr>
        <w:t>cing</w:t>
      </w:r>
      <w:r w:rsidRPr="00AB38D6">
        <w:rPr>
          <w:szCs w:val="21"/>
        </w:rPr>
        <w:t xml:space="preserve"> </w:t>
      </w:r>
      <w:r>
        <w:rPr>
          <w:rFonts w:hint="eastAsia"/>
          <w:szCs w:val="21"/>
        </w:rPr>
        <w:t xml:space="preserve">countries, </w:t>
      </w:r>
      <w:r w:rsidRPr="00AB38D6">
        <w:rPr>
          <w:szCs w:val="21"/>
        </w:rPr>
        <w:t>international organizations</w:t>
      </w:r>
      <w:r>
        <w:rPr>
          <w:rFonts w:hint="eastAsia"/>
          <w:szCs w:val="21"/>
        </w:rPr>
        <w:t xml:space="preserve"> and </w:t>
      </w:r>
      <w:r w:rsidRPr="00AB38D6">
        <w:rPr>
          <w:szCs w:val="21"/>
        </w:rPr>
        <w:t>large-scale</w:t>
      </w:r>
      <w:r>
        <w:rPr>
          <w:rFonts w:hint="eastAsia"/>
          <w:szCs w:val="21"/>
        </w:rPr>
        <w:t xml:space="preserve"> international</w:t>
      </w:r>
      <w:r w:rsidRPr="00AB38D6">
        <w:rPr>
          <w:szCs w:val="21"/>
        </w:rPr>
        <w:t xml:space="preserve"> tea distribution enterprises</w:t>
      </w:r>
      <w:r>
        <w:rPr>
          <w:rFonts w:hint="eastAsia"/>
          <w:szCs w:val="21"/>
        </w:rPr>
        <w:t xml:space="preserve">, </w:t>
      </w:r>
      <w:r>
        <w:rPr>
          <w:szCs w:val="21"/>
        </w:rPr>
        <w:t>with</w:t>
      </w:r>
      <w:r>
        <w:rPr>
          <w:rFonts w:hint="eastAsia"/>
          <w:szCs w:val="21"/>
        </w:rPr>
        <w:t xml:space="preserve"> more than </w:t>
      </w:r>
      <w:r w:rsidRPr="00AB38D6">
        <w:rPr>
          <w:szCs w:val="21"/>
        </w:rPr>
        <w:t xml:space="preserve">260 </w:t>
      </w:r>
      <w:r>
        <w:rPr>
          <w:rFonts w:hint="eastAsia"/>
          <w:szCs w:val="21"/>
        </w:rPr>
        <w:t>international</w:t>
      </w:r>
      <w:r w:rsidRPr="00AB38D6">
        <w:rPr>
          <w:szCs w:val="21"/>
        </w:rPr>
        <w:t xml:space="preserve"> exhibitors</w:t>
      </w:r>
      <w:r>
        <w:rPr>
          <w:rFonts w:hint="eastAsia"/>
          <w:szCs w:val="21"/>
        </w:rPr>
        <w:t xml:space="preserve">. </w:t>
      </w:r>
      <w:r>
        <w:rPr>
          <w:szCs w:val="21"/>
        </w:rPr>
        <w:t>T</w:t>
      </w:r>
      <w:r>
        <w:rPr>
          <w:rFonts w:hint="eastAsia"/>
          <w:szCs w:val="21"/>
        </w:rPr>
        <w:t xml:space="preserve">he </w:t>
      </w:r>
      <w:r w:rsidR="0021372E">
        <w:rPr>
          <w:szCs w:val="21"/>
        </w:rPr>
        <w:t>E</w:t>
      </w:r>
      <w:r w:rsidRPr="00D40B92">
        <w:rPr>
          <w:szCs w:val="21"/>
        </w:rPr>
        <w:t>xpo will grow into an important platform for exchanges and cooperation between China and the rest of the world</w:t>
      </w:r>
      <w:r w:rsidRPr="00D40B92">
        <w:rPr>
          <w:rFonts w:hint="eastAsia"/>
          <w:szCs w:val="21"/>
        </w:rPr>
        <w:t xml:space="preserve"> and </w:t>
      </w:r>
      <w:r w:rsidRPr="00D40B92">
        <w:rPr>
          <w:szCs w:val="21"/>
        </w:rPr>
        <w:t>should promote</w:t>
      </w:r>
      <w:r>
        <w:t xml:space="preserve"> the development of the world's tea industry and start a new chapter for the tea industry and tea culture</w:t>
      </w:r>
      <w:r>
        <w:rPr>
          <w:rFonts w:hint="eastAsia"/>
        </w:rPr>
        <w:t>.</w:t>
      </w:r>
    </w:p>
    <w:p w14:paraId="0813E2E7" w14:textId="77777777" w:rsidR="00874916" w:rsidRPr="00D40B92" w:rsidRDefault="00874916" w:rsidP="00D40B92">
      <w:pPr>
        <w:pStyle w:val="Heading1"/>
        <w:keepLines/>
        <w:pageBreakBefore w:val="0"/>
        <w:widowControl w:val="0"/>
        <w:pBdr>
          <w:top w:val="none" w:sz="0" w:space="0" w:color="auto"/>
          <w:bottom w:val="none" w:sz="0" w:space="0" w:color="auto"/>
        </w:pBdr>
        <w:shd w:val="clear" w:color="auto" w:fill="auto"/>
        <w:spacing w:beforeLines="50" w:before="120" w:after="0" w:line="360" w:lineRule="auto"/>
        <w:jc w:val="both"/>
        <w:rPr>
          <w:rFonts w:ascii="Times New Roman" w:eastAsia="SimSun" w:hAnsi="Times New Roman"/>
          <w:bCs/>
          <w:color w:val="auto"/>
          <w:kern w:val="44"/>
          <w:sz w:val="30"/>
          <w:szCs w:val="44"/>
          <w:lang w:eastAsia="zh-CN"/>
        </w:rPr>
      </w:pPr>
      <w:r w:rsidRPr="00D40B92">
        <w:rPr>
          <w:rFonts w:ascii="Times New Roman" w:eastAsia="SimSun" w:hAnsi="Times New Roman"/>
          <w:bCs/>
          <w:color w:val="auto"/>
          <w:kern w:val="44"/>
          <w:sz w:val="30"/>
          <w:szCs w:val="44"/>
          <w:lang w:eastAsia="zh-CN"/>
        </w:rPr>
        <w:lastRenderedPageBreak/>
        <w:t>Action Plan</w:t>
      </w:r>
    </w:p>
    <w:p w14:paraId="7DF476C8" w14:textId="77777777" w:rsidR="00874916" w:rsidRPr="002C524B" w:rsidRDefault="00874916" w:rsidP="00D40B92">
      <w:pPr>
        <w:autoSpaceDE w:val="0"/>
        <w:autoSpaceDN w:val="0"/>
        <w:adjustRightInd w:val="0"/>
        <w:spacing w:after="100" w:afterAutospacing="1"/>
        <w:rPr>
          <w:szCs w:val="21"/>
        </w:rPr>
      </w:pPr>
      <w:r>
        <w:rPr>
          <w:rFonts w:hint="eastAsia"/>
          <w:szCs w:val="21"/>
        </w:rPr>
        <w:t xml:space="preserve">1. </w:t>
      </w:r>
      <w:r w:rsidRPr="002C524B">
        <w:rPr>
          <w:szCs w:val="21"/>
        </w:rPr>
        <w:t xml:space="preserve">Joint research and development and information-sharing among tea producing </w:t>
      </w:r>
      <w:r>
        <w:rPr>
          <w:rFonts w:hint="eastAsia"/>
          <w:szCs w:val="21"/>
        </w:rPr>
        <w:t xml:space="preserve">and consuming </w:t>
      </w:r>
      <w:r w:rsidRPr="002C524B">
        <w:rPr>
          <w:szCs w:val="21"/>
        </w:rPr>
        <w:t>countries</w:t>
      </w:r>
      <w:r>
        <w:rPr>
          <w:rFonts w:hint="eastAsia"/>
          <w:szCs w:val="21"/>
        </w:rPr>
        <w:t>.</w:t>
      </w:r>
    </w:p>
    <w:p w14:paraId="267DBFB5" w14:textId="68A36486" w:rsidR="00874916" w:rsidRPr="002C524B" w:rsidRDefault="00874916" w:rsidP="00D40B92">
      <w:pPr>
        <w:autoSpaceDE w:val="0"/>
        <w:autoSpaceDN w:val="0"/>
        <w:adjustRightInd w:val="0"/>
        <w:spacing w:after="100" w:afterAutospacing="1"/>
        <w:rPr>
          <w:szCs w:val="21"/>
        </w:rPr>
      </w:pPr>
      <w:r>
        <w:rPr>
          <w:rFonts w:hint="eastAsia"/>
          <w:szCs w:val="21"/>
        </w:rPr>
        <w:t>2. Undertake</w:t>
      </w:r>
      <w:r w:rsidRPr="002C524B">
        <w:rPr>
          <w:szCs w:val="21"/>
        </w:rPr>
        <w:t xml:space="preserve"> market studies, surveys, research proje</w:t>
      </w:r>
      <w:r w:rsidR="0021372E">
        <w:rPr>
          <w:szCs w:val="21"/>
        </w:rPr>
        <w:t>cts, analyze the collected data</w:t>
      </w:r>
      <w:r w:rsidRPr="002C524B">
        <w:rPr>
          <w:szCs w:val="21"/>
        </w:rPr>
        <w:t xml:space="preserve"> and provide market report</w:t>
      </w:r>
      <w:r>
        <w:rPr>
          <w:rFonts w:hint="eastAsia"/>
          <w:szCs w:val="21"/>
        </w:rPr>
        <w:t>.</w:t>
      </w:r>
    </w:p>
    <w:p w14:paraId="41304FB5" w14:textId="0C5C27FB" w:rsidR="00874916" w:rsidRPr="002C524B" w:rsidRDefault="00874916" w:rsidP="00D40B92">
      <w:pPr>
        <w:autoSpaceDE w:val="0"/>
        <w:autoSpaceDN w:val="0"/>
        <w:adjustRightInd w:val="0"/>
        <w:spacing w:after="100" w:afterAutospacing="1"/>
        <w:rPr>
          <w:szCs w:val="21"/>
        </w:rPr>
      </w:pPr>
      <w:r>
        <w:rPr>
          <w:rFonts w:hint="eastAsia"/>
          <w:szCs w:val="21"/>
        </w:rPr>
        <w:t xml:space="preserve">3. </w:t>
      </w:r>
      <w:r w:rsidRPr="002C524B">
        <w:rPr>
          <w:szCs w:val="21"/>
        </w:rPr>
        <w:t xml:space="preserve">Member countries </w:t>
      </w:r>
      <w:r w:rsidR="0021372E">
        <w:rPr>
          <w:szCs w:val="21"/>
        </w:rPr>
        <w:t xml:space="preserve">should </w:t>
      </w:r>
      <w:r w:rsidRPr="002C524B">
        <w:rPr>
          <w:szCs w:val="21"/>
        </w:rPr>
        <w:t>pr</w:t>
      </w:r>
      <w:r>
        <w:rPr>
          <w:szCs w:val="21"/>
        </w:rPr>
        <w:t>ovide their domestic tea consum</w:t>
      </w:r>
      <w:r>
        <w:rPr>
          <w:rFonts w:hint="eastAsia"/>
          <w:szCs w:val="21"/>
        </w:rPr>
        <w:t>ption</w:t>
      </w:r>
      <w:r w:rsidR="0021372E">
        <w:rPr>
          <w:szCs w:val="21"/>
        </w:rPr>
        <w:t xml:space="preserve"> market dynamics</w:t>
      </w:r>
      <w:r w:rsidRPr="002C524B">
        <w:rPr>
          <w:szCs w:val="21"/>
        </w:rPr>
        <w:t xml:space="preserve"> and possible marketing strategies</w:t>
      </w:r>
      <w:r>
        <w:rPr>
          <w:rFonts w:hint="eastAsia"/>
          <w:szCs w:val="21"/>
        </w:rPr>
        <w:t>.</w:t>
      </w:r>
    </w:p>
    <w:p w14:paraId="2F425306" w14:textId="46767AC3" w:rsidR="00874916" w:rsidRDefault="00874916" w:rsidP="0021372E">
      <w:pPr>
        <w:autoSpaceDE w:val="0"/>
        <w:autoSpaceDN w:val="0"/>
        <w:adjustRightInd w:val="0"/>
        <w:spacing w:after="100" w:afterAutospacing="1"/>
        <w:rPr>
          <w:szCs w:val="21"/>
        </w:rPr>
      </w:pPr>
      <w:r>
        <w:rPr>
          <w:rFonts w:hint="eastAsia"/>
          <w:szCs w:val="21"/>
        </w:rPr>
        <w:t xml:space="preserve">4. </w:t>
      </w:r>
      <w:r w:rsidRPr="002C524B">
        <w:rPr>
          <w:szCs w:val="21"/>
        </w:rPr>
        <w:t>Market promotion activities and events at the international level</w:t>
      </w:r>
      <w:r>
        <w:rPr>
          <w:rFonts w:hint="eastAsia"/>
          <w:szCs w:val="21"/>
        </w:rPr>
        <w:t>.</w:t>
      </w:r>
    </w:p>
    <w:p w14:paraId="1E77E7C5" w14:textId="77777777" w:rsidR="00874916" w:rsidRPr="00D40B92" w:rsidRDefault="00874916" w:rsidP="00D40B92">
      <w:pPr>
        <w:pStyle w:val="Heading1"/>
        <w:keepLines/>
        <w:pageBreakBefore w:val="0"/>
        <w:widowControl w:val="0"/>
        <w:pBdr>
          <w:top w:val="none" w:sz="0" w:space="0" w:color="auto"/>
          <w:bottom w:val="none" w:sz="0" w:space="0" w:color="auto"/>
        </w:pBdr>
        <w:shd w:val="clear" w:color="auto" w:fill="auto"/>
        <w:spacing w:after="100" w:afterAutospacing="1"/>
        <w:jc w:val="both"/>
        <w:rPr>
          <w:rFonts w:ascii="Times New Roman" w:eastAsia="SimSun" w:hAnsi="Times New Roman"/>
          <w:bCs/>
          <w:color w:val="auto"/>
          <w:kern w:val="44"/>
          <w:sz w:val="30"/>
          <w:szCs w:val="44"/>
          <w:lang w:eastAsia="zh-CN"/>
        </w:rPr>
      </w:pPr>
      <w:r w:rsidRPr="00D40B92">
        <w:rPr>
          <w:rFonts w:ascii="Times New Roman" w:eastAsia="SimSun" w:hAnsi="Times New Roman"/>
          <w:bCs/>
          <w:color w:val="auto"/>
          <w:kern w:val="44"/>
          <w:sz w:val="30"/>
          <w:szCs w:val="44"/>
          <w:lang w:eastAsia="zh-CN"/>
        </w:rPr>
        <w:t>Report of the Working Group on Global Tea Market Analysis and Promotion</w:t>
      </w:r>
    </w:p>
    <w:p w14:paraId="79033B31" w14:textId="77777777" w:rsidR="00874916" w:rsidRPr="00D40B92" w:rsidRDefault="00874916" w:rsidP="00584FB0">
      <w:pPr>
        <w:pStyle w:val="2"/>
        <w:spacing w:after="120" w:line="240" w:lineRule="auto"/>
        <w:ind w:hanging="864"/>
        <w:rPr>
          <w:sz w:val="30"/>
          <w:szCs w:val="30"/>
        </w:rPr>
      </w:pPr>
      <w:r w:rsidRPr="00D40B92">
        <w:rPr>
          <w:sz w:val="30"/>
          <w:szCs w:val="30"/>
        </w:rPr>
        <w:t>World tea consumption market</w:t>
      </w:r>
    </w:p>
    <w:p w14:paraId="0C02C3B6" w14:textId="09472A97" w:rsidR="00874916" w:rsidRDefault="00874916" w:rsidP="00D40B92">
      <w:pPr>
        <w:spacing w:after="100" w:afterAutospacing="1"/>
      </w:pPr>
      <w:r w:rsidRPr="002C524B">
        <w:rPr>
          <w:szCs w:val="21"/>
        </w:rPr>
        <w:t xml:space="preserve">Tea currently represents the world’s second most popular beverage after water. It is prepared by pouring hot or boiling water over cured tea leaves. </w:t>
      </w:r>
      <w:r>
        <w:t>A</w:t>
      </w:r>
      <w:r>
        <w:rPr>
          <w:rFonts w:hint="eastAsia"/>
        </w:rPr>
        <w:t xml:space="preserve">t present, there are about 50 countries and regions </w:t>
      </w:r>
      <w:r w:rsidR="0021372E">
        <w:t>where tea is grown</w:t>
      </w:r>
      <w:r>
        <w:rPr>
          <w:rFonts w:hint="eastAsia"/>
        </w:rPr>
        <w:t xml:space="preserve">, </w:t>
      </w:r>
      <w:r w:rsidR="0021372E">
        <w:t xml:space="preserve">and </w:t>
      </w:r>
      <w:r>
        <w:rPr>
          <w:rFonts w:hint="eastAsia"/>
        </w:rPr>
        <w:t>more than 160 countries and regions have tea drinking habits</w:t>
      </w:r>
      <w:r w:rsidR="0021372E">
        <w:t xml:space="preserve">. Approximately </w:t>
      </w:r>
      <w:r>
        <w:rPr>
          <w:rFonts w:hint="eastAsia"/>
        </w:rPr>
        <w:t xml:space="preserve">3 billion people </w:t>
      </w:r>
      <w:r w:rsidRPr="00215F01">
        <w:t xml:space="preserve">around the world </w:t>
      </w:r>
      <w:r w:rsidR="0021372E">
        <w:t xml:space="preserve">consume </w:t>
      </w:r>
      <w:r w:rsidRPr="00215F01">
        <w:t>tea.</w:t>
      </w:r>
    </w:p>
    <w:p w14:paraId="611AC8CC" w14:textId="77777777" w:rsidR="00874916" w:rsidRPr="002C524B" w:rsidRDefault="00874916" w:rsidP="00D40B92">
      <w:pPr>
        <w:pStyle w:val="2"/>
        <w:numPr>
          <w:ilvl w:val="0"/>
          <w:numId w:val="13"/>
        </w:numPr>
        <w:spacing w:after="120" w:line="240" w:lineRule="auto"/>
        <w:ind w:left="482" w:hanging="482"/>
        <w:rPr>
          <w:rFonts w:cs="Times New Roman"/>
        </w:rPr>
      </w:pPr>
      <w:r w:rsidRPr="002C524B">
        <w:rPr>
          <w:rFonts w:cs="Times New Roman"/>
        </w:rPr>
        <w:t>Quality preferences</w:t>
      </w:r>
    </w:p>
    <w:p w14:paraId="5B963657" w14:textId="666ACF17" w:rsidR="00874916" w:rsidRPr="002C524B" w:rsidRDefault="00874916" w:rsidP="00D40B92">
      <w:pPr>
        <w:autoSpaceDE w:val="0"/>
        <w:autoSpaceDN w:val="0"/>
        <w:adjustRightInd w:val="0"/>
        <w:spacing w:after="100" w:afterAutospacing="1"/>
        <w:rPr>
          <w:szCs w:val="21"/>
        </w:rPr>
      </w:pPr>
      <w:r w:rsidRPr="002C524B">
        <w:rPr>
          <w:szCs w:val="21"/>
        </w:rPr>
        <w:t xml:space="preserve">Quality preferences by importing countries impacted on trade flows and prices. For instance, Ceylon </w:t>
      </w:r>
      <w:r w:rsidR="0021372E">
        <w:rPr>
          <w:szCs w:val="21"/>
        </w:rPr>
        <w:t>T</w:t>
      </w:r>
      <w:r w:rsidRPr="002C524B">
        <w:rPr>
          <w:szCs w:val="21"/>
        </w:rPr>
        <w:t xml:space="preserve">ea was preferred by Russia and </w:t>
      </w:r>
      <w:r w:rsidR="0021372E">
        <w:rPr>
          <w:szCs w:val="21"/>
        </w:rPr>
        <w:t xml:space="preserve">the </w:t>
      </w:r>
      <w:r w:rsidR="00C25746">
        <w:rPr>
          <w:szCs w:val="21"/>
        </w:rPr>
        <w:t>Commonwealth of Independent States (</w:t>
      </w:r>
      <w:r w:rsidRPr="002C524B">
        <w:rPr>
          <w:szCs w:val="21"/>
        </w:rPr>
        <w:t>CIS</w:t>
      </w:r>
      <w:r w:rsidR="00C25746">
        <w:rPr>
          <w:szCs w:val="21"/>
        </w:rPr>
        <w:t>)</w:t>
      </w:r>
      <w:r w:rsidRPr="002C524B">
        <w:rPr>
          <w:szCs w:val="21"/>
        </w:rPr>
        <w:t xml:space="preserve"> countries; </w:t>
      </w:r>
      <w:r w:rsidR="00C25746">
        <w:rPr>
          <w:szCs w:val="21"/>
        </w:rPr>
        <w:t>cut-tear-curl (</w:t>
      </w:r>
      <w:r w:rsidRPr="002C524B">
        <w:rPr>
          <w:szCs w:val="21"/>
        </w:rPr>
        <w:t>CTC</w:t>
      </w:r>
      <w:r w:rsidR="00C25746">
        <w:rPr>
          <w:szCs w:val="21"/>
        </w:rPr>
        <w:t xml:space="preserve">) </w:t>
      </w:r>
      <w:r w:rsidRPr="002C524B">
        <w:rPr>
          <w:szCs w:val="21"/>
        </w:rPr>
        <w:t>t</w:t>
      </w:r>
      <w:r w:rsidR="00C25746">
        <w:rPr>
          <w:szCs w:val="21"/>
        </w:rPr>
        <w:t>ea was favored largely by the U</w:t>
      </w:r>
      <w:r w:rsidRPr="002C524B">
        <w:rPr>
          <w:szCs w:val="21"/>
        </w:rPr>
        <w:t>K, Pakistan and Egypt; and in North America</w:t>
      </w:r>
      <w:r w:rsidR="00C25746">
        <w:rPr>
          <w:szCs w:val="21"/>
        </w:rPr>
        <w:t>,</w:t>
      </w:r>
      <w:r w:rsidRPr="002C524B">
        <w:rPr>
          <w:szCs w:val="21"/>
        </w:rPr>
        <w:t xml:space="preserve"> light-liquoring teas were in demand.</w:t>
      </w:r>
    </w:p>
    <w:p w14:paraId="2CAF8797" w14:textId="50443CE8" w:rsidR="00874916" w:rsidRPr="002C524B" w:rsidRDefault="00874916" w:rsidP="00D40B92">
      <w:pPr>
        <w:autoSpaceDE w:val="0"/>
        <w:autoSpaceDN w:val="0"/>
        <w:adjustRightInd w:val="0"/>
        <w:spacing w:after="100" w:afterAutospacing="1"/>
        <w:rPr>
          <w:szCs w:val="21"/>
        </w:rPr>
      </w:pPr>
      <w:r w:rsidRPr="002C524B">
        <w:rPr>
          <w:szCs w:val="21"/>
        </w:rPr>
        <w:t xml:space="preserve">When it comes to flavors, tea consumption differs from one country to another. Overall, consumers in a country such as Korea, where green tea consumption has a long history, like teas with green vegetative characteristics the most. The consumers in countries such as Thailand or the </w:t>
      </w:r>
      <w:r w:rsidR="00C25746">
        <w:rPr>
          <w:szCs w:val="21"/>
        </w:rPr>
        <w:t>USA</w:t>
      </w:r>
      <w:r w:rsidRPr="002C524B">
        <w:rPr>
          <w:szCs w:val="21"/>
        </w:rPr>
        <w:t>, where green tea consumption is a more recent phenomenon, tea</w:t>
      </w:r>
      <w:r w:rsidR="00C25746">
        <w:rPr>
          <w:szCs w:val="21"/>
        </w:rPr>
        <w:t>s that are brown, fruity, honey-</w:t>
      </w:r>
      <w:r w:rsidRPr="002C524B">
        <w:rPr>
          <w:szCs w:val="21"/>
        </w:rPr>
        <w:t xml:space="preserve">like and that do not have strong green flavors are preferred. Those less liked teas did appeal to smaller groups of consumers and, thus, can be launched to target </w:t>
      </w:r>
      <w:r w:rsidR="00C25746">
        <w:rPr>
          <w:szCs w:val="21"/>
        </w:rPr>
        <w:t xml:space="preserve">specific </w:t>
      </w:r>
      <w:r w:rsidRPr="002C524B">
        <w:rPr>
          <w:szCs w:val="21"/>
        </w:rPr>
        <w:t xml:space="preserve">consumer groups </w:t>
      </w:r>
      <w:r w:rsidR="00C25746">
        <w:rPr>
          <w:szCs w:val="21"/>
        </w:rPr>
        <w:t xml:space="preserve">in the market </w:t>
      </w:r>
      <w:r w:rsidRPr="002C524B">
        <w:rPr>
          <w:szCs w:val="21"/>
        </w:rPr>
        <w:t>(Lee, et al., 2010).</w:t>
      </w:r>
    </w:p>
    <w:p w14:paraId="64F1797B" w14:textId="77777777" w:rsidR="00874916" w:rsidRPr="002C524B" w:rsidRDefault="00874916" w:rsidP="00D40B92">
      <w:pPr>
        <w:pStyle w:val="2"/>
        <w:numPr>
          <w:ilvl w:val="0"/>
          <w:numId w:val="13"/>
        </w:numPr>
        <w:spacing w:after="120" w:line="240" w:lineRule="auto"/>
        <w:ind w:left="482" w:hanging="482"/>
        <w:rPr>
          <w:rFonts w:cs="Times New Roman"/>
        </w:rPr>
      </w:pPr>
      <w:r w:rsidRPr="002C524B">
        <w:rPr>
          <w:rFonts w:cs="Times New Roman"/>
        </w:rPr>
        <w:t>Product and process development of tea</w:t>
      </w:r>
    </w:p>
    <w:p w14:paraId="1ECE446B" w14:textId="3DAAA0C5" w:rsidR="00874916" w:rsidRDefault="00874916" w:rsidP="00D40B92">
      <w:pPr>
        <w:autoSpaceDE w:val="0"/>
        <w:autoSpaceDN w:val="0"/>
        <w:adjustRightInd w:val="0"/>
        <w:spacing w:after="100" w:afterAutospacing="1"/>
        <w:rPr>
          <w:szCs w:val="21"/>
        </w:rPr>
      </w:pPr>
      <w:r w:rsidRPr="002C524B">
        <w:rPr>
          <w:szCs w:val="21"/>
        </w:rPr>
        <w:t>Traditional loose tea has been largely replaced by bagged tea in many forms, due to convenience. There are a range of preferences for tea styles and drinking habits among different consumers in various countries. This product and process development has added-value to the tea products</w:t>
      </w:r>
      <w:r w:rsidR="00C25746">
        <w:rPr>
          <w:szCs w:val="21"/>
        </w:rPr>
        <w:t xml:space="preserve"> (see Table 1 for some examples)</w:t>
      </w:r>
      <w:r w:rsidRPr="002C524B">
        <w:rPr>
          <w:szCs w:val="21"/>
        </w:rPr>
        <w:t>.</w:t>
      </w:r>
    </w:p>
    <w:p w14:paraId="43C33044" w14:textId="77777777" w:rsidR="00D40B92" w:rsidRDefault="00D40B92">
      <w:pPr>
        <w:rPr>
          <w:b/>
          <w:i/>
          <w:sz w:val="18"/>
          <w:szCs w:val="18"/>
        </w:rPr>
      </w:pPr>
      <w:r>
        <w:rPr>
          <w:b/>
          <w:sz w:val="18"/>
          <w:szCs w:val="18"/>
        </w:rPr>
        <w:br w:type="page"/>
      </w:r>
    </w:p>
    <w:p w14:paraId="6A238374" w14:textId="7C7586D9" w:rsidR="00874916" w:rsidRPr="00C25746" w:rsidRDefault="00874916" w:rsidP="00D40B92">
      <w:pPr>
        <w:pStyle w:val="Caption"/>
        <w:jc w:val="center"/>
        <w:rPr>
          <w:b/>
          <w:i w:val="0"/>
          <w:sz w:val="24"/>
        </w:rPr>
      </w:pPr>
      <w:r w:rsidRPr="00C25746">
        <w:rPr>
          <w:b/>
          <w:i w:val="0"/>
          <w:sz w:val="24"/>
        </w:rPr>
        <w:lastRenderedPageBreak/>
        <w:t>T</w:t>
      </w:r>
      <w:r w:rsidRPr="00C25746">
        <w:rPr>
          <w:rFonts w:hint="eastAsia"/>
          <w:b/>
          <w:i w:val="0"/>
          <w:sz w:val="24"/>
        </w:rPr>
        <w:t xml:space="preserve">able 1: </w:t>
      </w:r>
      <w:r w:rsidRPr="00C25746">
        <w:rPr>
          <w:b/>
          <w:i w:val="0"/>
          <w:sz w:val="24"/>
        </w:rPr>
        <w:t>T</w:t>
      </w:r>
      <w:r w:rsidRPr="00C25746">
        <w:rPr>
          <w:rFonts w:hint="eastAsia"/>
          <w:b/>
          <w:i w:val="0"/>
          <w:sz w:val="24"/>
        </w:rPr>
        <w:t>ea preferences in different countries</w:t>
      </w:r>
    </w:p>
    <w:tbl>
      <w:tblPr>
        <w:tblStyle w:val="TableGrid"/>
        <w:tblW w:w="0" w:type="auto"/>
        <w:jc w:val="center"/>
        <w:tblBorders>
          <w:top w:val="single" w:sz="12" w:space="0" w:color="auto"/>
          <w:left w:val="none" w:sz="0" w:space="0" w:color="auto"/>
          <w:bottom w:val="single" w:sz="12" w:space="0" w:color="auto"/>
          <w:right w:val="none" w:sz="0" w:space="0" w:color="auto"/>
          <w:insideH w:val="none" w:sz="0" w:space="0" w:color="auto"/>
          <w:insideV w:val="none" w:sz="0" w:space="0" w:color="auto"/>
        </w:tblBorders>
        <w:tblLook w:val="04A0" w:firstRow="1" w:lastRow="0" w:firstColumn="1" w:lastColumn="0" w:noHBand="0" w:noVBand="1"/>
      </w:tblPr>
      <w:tblGrid>
        <w:gridCol w:w="4318"/>
        <w:gridCol w:w="4322"/>
      </w:tblGrid>
      <w:tr w:rsidR="00874916" w:rsidRPr="00C25746" w14:paraId="2702D90C" w14:textId="77777777" w:rsidTr="00EA28C4">
        <w:trPr>
          <w:jc w:val="center"/>
        </w:trPr>
        <w:tc>
          <w:tcPr>
            <w:tcW w:w="4428" w:type="dxa"/>
            <w:tcBorders>
              <w:bottom w:val="single" w:sz="4" w:space="0" w:color="auto"/>
            </w:tcBorders>
            <w:vAlign w:val="center"/>
          </w:tcPr>
          <w:p w14:paraId="6F76D706" w14:textId="77777777" w:rsidR="00874916" w:rsidRPr="00C25746" w:rsidRDefault="00874916" w:rsidP="00D40B92">
            <w:pPr>
              <w:autoSpaceDE w:val="0"/>
              <w:autoSpaceDN w:val="0"/>
              <w:adjustRightInd w:val="0"/>
              <w:jc w:val="center"/>
              <w:rPr>
                <w:rStyle w:val="fontstyle01"/>
                <w:b/>
              </w:rPr>
            </w:pPr>
            <w:r w:rsidRPr="00C25746">
              <w:rPr>
                <w:rStyle w:val="fontstyle01"/>
                <w:b/>
              </w:rPr>
              <w:t>Types of tea</w:t>
            </w:r>
          </w:p>
        </w:tc>
        <w:tc>
          <w:tcPr>
            <w:tcW w:w="4428" w:type="dxa"/>
            <w:tcBorders>
              <w:bottom w:val="single" w:sz="4" w:space="0" w:color="auto"/>
            </w:tcBorders>
            <w:vAlign w:val="center"/>
          </w:tcPr>
          <w:p w14:paraId="3D23F1DF" w14:textId="77777777" w:rsidR="00874916" w:rsidRPr="00C25746" w:rsidRDefault="00874916" w:rsidP="00D40B92">
            <w:pPr>
              <w:autoSpaceDE w:val="0"/>
              <w:autoSpaceDN w:val="0"/>
              <w:adjustRightInd w:val="0"/>
              <w:jc w:val="center"/>
              <w:rPr>
                <w:rStyle w:val="fontstyle01"/>
                <w:b/>
              </w:rPr>
            </w:pPr>
            <w:r w:rsidRPr="00C25746">
              <w:rPr>
                <w:rStyle w:val="fontstyle01"/>
                <w:b/>
              </w:rPr>
              <w:t>Countries</w:t>
            </w:r>
          </w:p>
        </w:tc>
      </w:tr>
      <w:tr w:rsidR="00874916" w:rsidRPr="00C25746" w14:paraId="3879B853" w14:textId="77777777" w:rsidTr="00EA28C4">
        <w:trPr>
          <w:jc w:val="center"/>
        </w:trPr>
        <w:tc>
          <w:tcPr>
            <w:tcW w:w="4428" w:type="dxa"/>
            <w:tcBorders>
              <w:top w:val="single" w:sz="4" w:space="0" w:color="auto"/>
              <w:bottom w:val="nil"/>
            </w:tcBorders>
            <w:vAlign w:val="center"/>
          </w:tcPr>
          <w:p w14:paraId="334D5D74" w14:textId="77777777" w:rsidR="00874916" w:rsidRPr="00C25746" w:rsidRDefault="00874916" w:rsidP="00D40B92">
            <w:pPr>
              <w:autoSpaceDE w:val="0"/>
              <w:autoSpaceDN w:val="0"/>
              <w:adjustRightInd w:val="0"/>
              <w:jc w:val="center"/>
              <w:rPr>
                <w:rStyle w:val="fontstyle01"/>
              </w:rPr>
            </w:pPr>
            <w:r w:rsidRPr="00C25746">
              <w:rPr>
                <w:rStyle w:val="fontstyle01"/>
              </w:rPr>
              <w:t>Iced-tea</w:t>
            </w:r>
          </w:p>
        </w:tc>
        <w:tc>
          <w:tcPr>
            <w:tcW w:w="4428" w:type="dxa"/>
            <w:tcBorders>
              <w:top w:val="single" w:sz="4" w:space="0" w:color="auto"/>
              <w:bottom w:val="nil"/>
            </w:tcBorders>
            <w:vAlign w:val="center"/>
          </w:tcPr>
          <w:p w14:paraId="3A06F88B" w14:textId="77777777" w:rsidR="00874916" w:rsidRPr="00C25746" w:rsidRDefault="00874916" w:rsidP="00D40B92">
            <w:pPr>
              <w:autoSpaceDE w:val="0"/>
              <w:autoSpaceDN w:val="0"/>
              <w:adjustRightInd w:val="0"/>
              <w:jc w:val="center"/>
              <w:rPr>
                <w:rStyle w:val="fontstyle01"/>
              </w:rPr>
            </w:pPr>
            <w:r w:rsidRPr="00C25746">
              <w:rPr>
                <w:rStyle w:val="fontstyle01"/>
              </w:rPr>
              <w:t>USA</w:t>
            </w:r>
          </w:p>
        </w:tc>
      </w:tr>
      <w:tr w:rsidR="00874916" w:rsidRPr="00C25746" w14:paraId="2BA4B55D" w14:textId="77777777" w:rsidTr="00EA28C4">
        <w:trPr>
          <w:jc w:val="center"/>
        </w:trPr>
        <w:tc>
          <w:tcPr>
            <w:tcW w:w="4428" w:type="dxa"/>
            <w:tcBorders>
              <w:top w:val="nil"/>
            </w:tcBorders>
            <w:vAlign w:val="center"/>
          </w:tcPr>
          <w:p w14:paraId="30A11B19" w14:textId="77777777" w:rsidR="00874916" w:rsidRPr="00C25746" w:rsidRDefault="00874916" w:rsidP="00D40B92">
            <w:pPr>
              <w:autoSpaceDE w:val="0"/>
              <w:autoSpaceDN w:val="0"/>
              <w:adjustRightInd w:val="0"/>
              <w:jc w:val="center"/>
              <w:rPr>
                <w:rStyle w:val="fontstyle01"/>
              </w:rPr>
            </w:pPr>
            <w:r w:rsidRPr="00C25746">
              <w:rPr>
                <w:rStyle w:val="fontstyle01"/>
              </w:rPr>
              <w:t>Fruit flavored tea</w:t>
            </w:r>
          </w:p>
        </w:tc>
        <w:tc>
          <w:tcPr>
            <w:tcW w:w="4428" w:type="dxa"/>
            <w:tcBorders>
              <w:top w:val="nil"/>
            </w:tcBorders>
            <w:vAlign w:val="center"/>
          </w:tcPr>
          <w:p w14:paraId="2F996AD8" w14:textId="77777777" w:rsidR="00874916" w:rsidRPr="00C25746" w:rsidRDefault="00874916" w:rsidP="00D40B92">
            <w:pPr>
              <w:autoSpaceDE w:val="0"/>
              <w:autoSpaceDN w:val="0"/>
              <w:adjustRightInd w:val="0"/>
              <w:jc w:val="center"/>
              <w:rPr>
                <w:rStyle w:val="fontstyle01"/>
              </w:rPr>
            </w:pPr>
            <w:r w:rsidRPr="00C25746">
              <w:rPr>
                <w:rStyle w:val="fontstyle01"/>
              </w:rPr>
              <w:t>Europe</w:t>
            </w:r>
          </w:p>
        </w:tc>
      </w:tr>
      <w:tr w:rsidR="00874916" w:rsidRPr="00C25746" w14:paraId="4B62E9C3" w14:textId="77777777" w:rsidTr="00EA28C4">
        <w:trPr>
          <w:jc w:val="center"/>
        </w:trPr>
        <w:tc>
          <w:tcPr>
            <w:tcW w:w="4428" w:type="dxa"/>
            <w:vAlign w:val="center"/>
          </w:tcPr>
          <w:p w14:paraId="68CE82E8" w14:textId="507C6BE6" w:rsidR="00874916" w:rsidRPr="00C25746" w:rsidRDefault="00C25746" w:rsidP="00D40B92">
            <w:pPr>
              <w:autoSpaceDE w:val="0"/>
              <w:autoSpaceDN w:val="0"/>
              <w:adjustRightInd w:val="0"/>
              <w:jc w:val="center"/>
              <w:rPr>
                <w:rStyle w:val="fontstyle01"/>
              </w:rPr>
            </w:pPr>
            <w:r>
              <w:rPr>
                <w:rStyle w:val="fontstyle01"/>
              </w:rPr>
              <w:t>“Foamy”</w:t>
            </w:r>
            <w:r w:rsidR="00874916" w:rsidRPr="00C25746">
              <w:rPr>
                <w:rStyle w:val="fontstyle01"/>
              </w:rPr>
              <w:t xml:space="preserve"> tea</w:t>
            </w:r>
          </w:p>
        </w:tc>
        <w:tc>
          <w:tcPr>
            <w:tcW w:w="4428" w:type="dxa"/>
            <w:vAlign w:val="center"/>
          </w:tcPr>
          <w:p w14:paraId="5580DB1E" w14:textId="77777777" w:rsidR="00874916" w:rsidRPr="00C25746" w:rsidRDefault="00874916" w:rsidP="00D40B92">
            <w:pPr>
              <w:autoSpaceDE w:val="0"/>
              <w:autoSpaceDN w:val="0"/>
              <w:adjustRightInd w:val="0"/>
              <w:jc w:val="center"/>
              <w:rPr>
                <w:rStyle w:val="fontstyle01"/>
              </w:rPr>
            </w:pPr>
            <w:r w:rsidRPr="00C25746">
              <w:rPr>
                <w:rStyle w:val="fontstyle01"/>
              </w:rPr>
              <w:t>Taiwan</w:t>
            </w:r>
          </w:p>
        </w:tc>
      </w:tr>
      <w:tr w:rsidR="00874916" w:rsidRPr="00C25746" w14:paraId="49FADFC4" w14:textId="77777777" w:rsidTr="00EA28C4">
        <w:trPr>
          <w:jc w:val="center"/>
        </w:trPr>
        <w:tc>
          <w:tcPr>
            <w:tcW w:w="4428" w:type="dxa"/>
            <w:vAlign w:val="center"/>
          </w:tcPr>
          <w:p w14:paraId="2CAEABD7" w14:textId="77777777" w:rsidR="00874916" w:rsidRPr="00C25746" w:rsidRDefault="00874916" w:rsidP="00D40B92">
            <w:pPr>
              <w:autoSpaceDE w:val="0"/>
              <w:autoSpaceDN w:val="0"/>
              <w:adjustRightInd w:val="0"/>
              <w:jc w:val="center"/>
              <w:rPr>
                <w:rStyle w:val="fontstyle01"/>
              </w:rPr>
            </w:pPr>
            <w:r w:rsidRPr="00C25746">
              <w:rPr>
                <w:rStyle w:val="fontstyle01"/>
              </w:rPr>
              <w:t>Herbal tea</w:t>
            </w:r>
          </w:p>
        </w:tc>
        <w:tc>
          <w:tcPr>
            <w:tcW w:w="4428" w:type="dxa"/>
            <w:vAlign w:val="center"/>
          </w:tcPr>
          <w:p w14:paraId="44033451" w14:textId="77777777" w:rsidR="00874916" w:rsidRPr="00C25746" w:rsidRDefault="00874916" w:rsidP="00D40B92">
            <w:pPr>
              <w:autoSpaceDE w:val="0"/>
              <w:autoSpaceDN w:val="0"/>
              <w:adjustRightInd w:val="0"/>
              <w:jc w:val="center"/>
              <w:rPr>
                <w:rStyle w:val="fontstyle01"/>
              </w:rPr>
            </w:pPr>
            <w:r w:rsidRPr="00C25746">
              <w:rPr>
                <w:rStyle w:val="fontstyle01"/>
              </w:rPr>
              <w:t>USA, China, Japan, Thailand</w:t>
            </w:r>
          </w:p>
        </w:tc>
      </w:tr>
      <w:tr w:rsidR="00874916" w:rsidRPr="00C25746" w14:paraId="61267DDF" w14:textId="77777777" w:rsidTr="00EA28C4">
        <w:trPr>
          <w:jc w:val="center"/>
        </w:trPr>
        <w:tc>
          <w:tcPr>
            <w:tcW w:w="4428" w:type="dxa"/>
            <w:vAlign w:val="center"/>
          </w:tcPr>
          <w:p w14:paraId="386741F6" w14:textId="77777777" w:rsidR="00874916" w:rsidRPr="00C25746" w:rsidRDefault="00874916" w:rsidP="00D40B92">
            <w:pPr>
              <w:autoSpaceDE w:val="0"/>
              <w:autoSpaceDN w:val="0"/>
              <w:adjustRightInd w:val="0"/>
              <w:jc w:val="center"/>
              <w:rPr>
                <w:rStyle w:val="fontstyle01"/>
              </w:rPr>
            </w:pPr>
            <w:r w:rsidRPr="00C25746">
              <w:rPr>
                <w:rStyle w:val="fontstyle01"/>
              </w:rPr>
              <w:t>Ready to drink tea</w:t>
            </w:r>
          </w:p>
        </w:tc>
        <w:tc>
          <w:tcPr>
            <w:tcW w:w="4428" w:type="dxa"/>
            <w:vAlign w:val="center"/>
          </w:tcPr>
          <w:p w14:paraId="6C5A5973" w14:textId="77777777" w:rsidR="00874916" w:rsidRPr="00C25746" w:rsidRDefault="00874916" w:rsidP="00D40B92">
            <w:pPr>
              <w:autoSpaceDE w:val="0"/>
              <w:autoSpaceDN w:val="0"/>
              <w:adjustRightInd w:val="0"/>
              <w:jc w:val="center"/>
              <w:rPr>
                <w:rStyle w:val="fontstyle01"/>
              </w:rPr>
            </w:pPr>
            <w:r w:rsidRPr="00C25746">
              <w:rPr>
                <w:rStyle w:val="fontstyle01"/>
              </w:rPr>
              <w:t>Japan, USA, Taiwan (in cans)</w:t>
            </w:r>
          </w:p>
        </w:tc>
      </w:tr>
    </w:tbl>
    <w:p w14:paraId="1CB7BFD6" w14:textId="77777777" w:rsidR="00874916" w:rsidRPr="00C25746" w:rsidRDefault="00874916" w:rsidP="00D40B92">
      <w:pPr>
        <w:autoSpaceDE w:val="0"/>
        <w:autoSpaceDN w:val="0"/>
        <w:adjustRightInd w:val="0"/>
        <w:rPr>
          <w:rStyle w:val="fontstyle01"/>
          <w:b/>
        </w:rPr>
      </w:pPr>
    </w:p>
    <w:p w14:paraId="504736D4" w14:textId="5DEA7C3D" w:rsidR="00874916" w:rsidRPr="00C25746" w:rsidRDefault="00874916" w:rsidP="00D40B92">
      <w:pPr>
        <w:autoSpaceDE w:val="0"/>
        <w:autoSpaceDN w:val="0"/>
        <w:adjustRightInd w:val="0"/>
        <w:spacing w:after="100" w:afterAutospacing="1"/>
        <w:rPr>
          <w:rStyle w:val="fontstyle01"/>
        </w:rPr>
      </w:pPr>
      <w:r w:rsidRPr="00C25746">
        <w:rPr>
          <w:rStyle w:val="fontstyle01"/>
          <w:b/>
        </w:rPr>
        <w:t>Green and black tea will still be major forms of tea.</w:t>
      </w:r>
      <w:r w:rsidRPr="00C25746">
        <w:rPr>
          <w:rStyle w:val="fontstyle01"/>
        </w:rPr>
        <w:t xml:space="preserve"> However, instant tea, flavored tea, decaffeinat</w:t>
      </w:r>
      <w:r w:rsidR="00C25746">
        <w:rPr>
          <w:rStyle w:val="fontstyle01"/>
        </w:rPr>
        <w:t>ed tea, organically-grown tea, “foamy”</w:t>
      </w:r>
      <w:r w:rsidRPr="00C25746">
        <w:rPr>
          <w:rStyle w:val="fontstyle01"/>
        </w:rPr>
        <w:t xml:space="preserve"> tea, herbal tea, ready-to-drink tea (canned and bottled) will develop in-roads into the market. Food products which are being developed are tea-rice, tea-noodles, tea-cake, te</w:t>
      </w:r>
      <w:r w:rsidR="00C25746">
        <w:rPr>
          <w:rStyle w:val="fontstyle01"/>
        </w:rPr>
        <w:t>a-biscuits, tea-wine, tea-candy and</w:t>
      </w:r>
      <w:r w:rsidRPr="00C25746">
        <w:rPr>
          <w:rStyle w:val="fontstyle01"/>
        </w:rPr>
        <w:t xml:space="preserve"> tea-ice cream.</w:t>
      </w:r>
    </w:p>
    <w:p w14:paraId="570F44CC" w14:textId="5246FC41" w:rsidR="00874916" w:rsidRPr="00584FB0" w:rsidRDefault="00C25746" w:rsidP="00584FB0">
      <w:pPr>
        <w:pStyle w:val="2"/>
        <w:spacing w:after="120" w:line="240" w:lineRule="auto"/>
        <w:ind w:hanging="864"/>
        <w:rPr>
          <w:sz w:val="30"/>
          <w:szCs w:val="30"/>
        </w:rPr>
      </w:pPr>
      <w:r w:rsidRPr="00584FB0">
        <w:rPr>
          <w:sz w:val="30"/>
          <w:szCs w:val="30"/>
        </w:rPr>
        <w:t xml:space="preserve">The US </w:t>
      </w:r>
      <w:r w:rsidR="00874916" w:rsidRPr="00584FB0">
        <w:rPr>
          <w:sz w:val="30"/>
          <w:szCs w:val="30"/>
        </w:rPr>
        <w:t>tea market</w:t>
      </w:r>
    </w:p>
    <w:p w14:paraId="7FCF2185" w14:textId="33EE6E23" w:rsidR="00874916" w:rsidRPr="002C524B" w:rsidRDefault="00874916" w:rsidP="00C25746">
      <w:pPr>
        <w:autoSpaceDE w:val="0"/>
        <w:autoSpaceDN w:val="0"/>
        <w:adjustRightInd w:val="0"/>
        <w:spacing w:after="100" w:afterAutospacing="1"/>
        <w:rPr>
          <w:szCs w:val="21"/>
        </w:rPr>
      </w:pPr>
      <w:r w:rsidRPr="002C524B">
        <w:rPr>
          <w:szCs w:val="21"/>
        </w:rPr>
        <w:t>Tea can be found in almost 80</w:t>
      </w:r>
      <w:r w:rsidR="00C25746">
        <w:rPr>
          <w:szCs w:val="21"/>
        </w:rPr>
        <w:t xml:space="preserve"> percent </w:t>
      </w:r>
      <w:r w:rsidRPr="002C524B">
        <w:rPr>
          <w:szCs w:val="21"/>
        </w:rPr>
        <w:t xml:space="preserve">of </w:t>
      </w:r>
      <w:r w:rsidR="00C25746">
        <w:rPr>
          <w:szCs w:val="21"/>
        </w:rPr>
        <w:t>US</w:t>
      </w:r>
      <w:r w:rsidRPr="002C524B">
        <w:rPr>
          <w:szCs w:val="21"/>
        </w:rPr>
        <w:t xml:space="preserve"> households, and it is the only beverage commonly served hot or iced, anytime, anywhere, for any occasion. According to the Tea Association of the USA, on any given day, over 158 million Americans are drinking tea.</w:t>
      </w:r>
    </w:p>
    <w:p w14:paraId="4845DC3C" w14:textId="0321328D" w:rsidR="00874916" w:rsidRPr="002C524B" w:rsidRDefault="00C25746" w:rsidP="00C25746">
      <w:pPr>
        <w:autoSpaceDE w:val="0"/>
        <w:autoSpaceDN w:val="0"/>
        <w:adjustRightInd w:val="0"/>
        <w:spacing w:after="100" w:afterAutospacing="1"/>
        <w:rPr>
          <w:szCs w:val="21"/>
        </w:rPr>
      </w:pPr>
      <w:r>
        <w:rPr>
          <w:szCs w:val="21"/>
        </w:rPr>
        <w:t xml:space="preserve">For the US tea industry, </w:t>
      </w:r>
      <w:r w:rsidR="00874916" w:rsidRPr="002C524B">
        <w:rPr>
          <w:szCs w:val="21"/>
        </w:rPr>
        <w:t xml:space="preserve">2016 continued to be a year of growth. In 2015, the </w:t>
      </w:r>
      <w:r>
        <w:rPr>
          <w:szCs w:val="21"/>
        </w:rPr>
        <w:t>US</w:t>
      </w:r>
      <w:r w:rsidR="00874916" w:rsidRPr="002C524B">
        <w:rPr>
          <w:szCs w:val="21"/>
        </w:rPr>
        <w:t xml:space="preserve"> </w:t>
      </w:r>
      <w:r>
        <w:rPr>
          <w:szCs w:val="21"/>
        </w:rPr>
        <w:t xml:space="preserve">was </w:t>
      </w:r>
      <w:r w:rsidR="00874916" w:rsidRPr="002C524B">
        <w:rPr>
          <w:szCs w:val="21"/>
        </w:rPr>
        <w:t xml:space="preserve">the fourth largest importer of tea in the world, after Russia, Pakistan and United Kingdom, and the only western country to grow in tea imports and consumption. The total wholesale value of tea sold in the US grew from less than </w:t>
      </w:r>
      <w:r>
        <w:rPr>
          <w:szCs w:val="21"/>
        </w:rPr>
        <w:t xml:space="preserve">USD </w:t>
      </w:r>
      <w:r w:rsidR="00874916" w:rsidRPr="002C524B">
        <w:rPr>
          <w:szCs w:val="21"/>
        </w:rPr>
        <w:t xml:space="preserve">2 billion in 1990 to over </w:t>
      </w:r>
      <w:r>
        <w:rPr>
          <w:szCs w:val="21"/>
        </w:rPr>
        <w:t>USD </w:t>
      </w:r>
      <w:r w:rsidR="00874916" w:rsidRPr="002C524B">
        <w:rPr>
          <w:szCs w:val="21"/>
        </w:rPr>
        <w:t xml:space="preserve">10 billion in 2014. In 2016, total </w:t>
      </w:r>
      <w:r>
        <w:rPr>
          <w:szCs w:val="21"/>
        </w:rPr>
        <w:t>US</w:t>
      </w:r>
      <w:r w:rsidR="00874916" w:rsidRPr="002C524B">
        <w:rPr>
          <w:szCs w:val="21"/>
        </w:rPr>
        <w:t xml:space="preserve"> </w:t>
      </w:r>
      <w:r>
        <w:rPr>
          <w:szCs w:val="21"/>
        </w:rPr>
        <w:t>b</w:t>
      </w:r>
      <w:r w:rsidR="00874916" w:rsidRPr="002C524B">
        <w:rPr>
          <w:szCs w:val="21"/>
        </w:rPr>
        <w:t xml:space="preserve">lack and </w:t>
      </w:r>
      <w:r>
        <w:rPr>
          <w:szCs w:val="21"/>
        </w:rPr>
        <w:t>g</w:t>
      </w:r>
      <w:r w:rsidR="00874916" w:rsidRPr="002C524B">
        <w:rPr>
          <w:szCs w:val="21"/>
        </w:rPr>
        <w:t xml:space="preserve">reen </w:t>
      </w:r>
      <w:r>
        <w:rPr>
          <w:szCs w:val="21"/>
        </w:rPr>
        <w:t>t</w:t>
      </w:r>
      <w:r w:rsidR="00874916" w:rsidRPr="002C524B">
        <w:rPr>
          <w:szCs w:val="21"/>
        </w:rPr>
        <w:t xml:space="preserve">ea imports were approximately 130.64 thousand </w:t>
      </w:r>
      <w:r w:rsidR="00874916">
        <w:rPr>
          <w:szCs w:val="21"/>
        </w:rPr>
        <w:t>tons</w:t>
      </w:r>
      <w:r w:rsidR="00874916" w:rsidRPr="002C524B">
        <w:rPr>
          <w:szCs w:val="21"/>
        </w:rPr>
        <w:t xml:space="preserve">, with an estimated wholesale value of approximately USD </w:t>
      </w:r>
      <w:r>
        <w:rPr>
          <w:szCs w:val="21"/>
        </w:rPr>
        <w:t>1</w:t>
      </w:r>
      <w:r w:rsidR="00874916" w:rsidRPr="002C524B">
        <w:rPr>
          <w:szCs w:val="21"/>
        </w:rPr>
        <w:t>2 billion. The preference for healthier beverages is driving consumers away from soda and boosting the demand for tea and other categories like bottled water.</w:t>
      </w:r>
    </w:p>
    <w:p w14:paraId="3B1EB972" w14:textId="77777777" w:rsidR="00874916" w:rsidRPr="002C524B" w:rsidRDefault="00874916" w:rsidP="00874916">
      <w:pPr>
        <w:pStyle w:val="2"/>
        <w:numPr>
          <w:ilvl w:val="0"/>
          <w:numId w:val="14"/>
        </w:numPr>
        <w:spacing w:after="120"/>
        <w:ind w:left="482" w:hanging="482"/>
        <w:rPr>
          <w:rFonts w:cs="Times New Roman"/>
        </w:rPr>
      </w:pPr>
      <w:r w:rsidRPr="002C524B">
        <w:rPr>
          <w:rFonts w:cs="Times New Roman"/>
        </w:rPr>
        <w:t>Annual consumption</w:t>
      </w:r>
    </w:p>
    <w:p w14:paraId="24BD277A" w14:textId="2E9E253E" w:rsidR="00874916" w:rsidRDefault="00874916" w:rsidP="00584FB0">
      <w:pPr>
        <w:autoSpaceDE w:val="0"/>
        <w:autoSpaceDN w:val="0"/>
        <w:adjustRightInd w:val="0"/>
        <w:spacing w:after="100" w:afterAutospacing="1"/>
        <w:rPr>
          <w:szCs w:val="21"/>
        </w:rPr>
      </w:pPr>
      <w:r w:rsidRPr="002C524B">
        <w:rPr>
          <w:szCs w:val="21"/>
        </w:rPr>
        <w:t>In 2016, almost 84 billion servings of tea, or more than 3.8 billion gallons</w:t>
      </w:r>
      <w:r w:rsidR="00584FB0">
        <w:rPr>
          <w:szCs w:val="21"/>
        </w:rPr>
        <w:t>, were consumed in the US</w:t>
      </w:r>
      <w:r w:rsidRPr="002C524B">
        <w:rPr>
          <w:szCs w:val="21"/>
        </w:rPr>
        <w:t>. About 80</w:t>
      </w:r>
      <w:r w:rsidR="000772E9">
        <w:rPr>
          <w:szCs w:val="21"/>
        </w:rPr>
        <w:t xml:space="preserve"> percent</w:t>
      </w:r>
      <w:r w:rsidRPr="002C524B">
        <w:rPr>
          <w:szCs w:val="21"/>
        </w:rPr>
        <w:t xml:space="preserve"> of all tea consumed was </w:t>
      </w:r>
      <w:r w:rsidR="000772E9">
        <w:rPr>
          <w:szCs w:val="21"/>
        </w:rPr>
        <w:t>black tea</w:t>
      </w:r>
      <w:r w:rsidRPr="002C524B">
        <w:rPr>
          <w:szCs w:val="21"/>
        </w:rPr>
        <w:t>, 16</w:t>
      </w:r>
      <w:r w:rsidR="000772E9">
        <w:rPr>
          <w:szCs w:val="21"/>
        </w:rPr>
        <w:t xml:space="preserve"> percent </w:t>
      </w:r>
      <w:r w:rsidRPr="002C524B">
        <w:rPr>
          <w:szCs w:val="21"/>
        </w:rPr>
        <w:t xml:space="preserve">was </w:t>
      </w:r>
      <w:r w:rsidR="000772E9">
        <w:rPr>
          <w:szCs w:val="21"/>
        </w:rPr>
        <w:t>green tea</w:t>
      </w:r>
      <w:r w:rsidRPr="002C524B">
        <w:rPr>
          <w:szCs w:val="21"/>
        </w:rPr>
        <w:t xml:space="preserve">, and the remaining </w:t>
      </w:r>
      <w:r w:rsidR="000772E9">
        <w:rPr>
          <w:szCs w:val="21"/>
        </w:rPr>
        <w:t>4 percent of tea consumption was o</w:t>
      </w:r>
      <w:r w:rsidRPr="002C524B">
        <w:rPr>
          <w:szCs w:val="21"/>
        </w:rPr>
        <w:t xml:space="preserve">olong, </w:t>
      </w:r>
      <w:r w:rsidR="000772E9">
        <w:rPr>
          <w:szCs w:val="21"/>
        </w:rPr>
        <w:t>w</w:t>
      </w:r>
      <w:r w:rsidRPr="002C524B">
        <w:rPr>
          <w:szCs w:val="21"/>
        </w:rPr>
        <w:t xml:space="preserve">hite and </w:t>
      </w:r>
      <w:r w:rsidR="000772E9">
        <w:rPr>
          <w:szCs w:val="21"/>
        </w:rPr>
        <w:t>d</w:t>
      </w:r>
      <w:r w:rsidRPr="002C524B">
        <w:rPr>
          <w:szCs w:val="21"/>
        </w:rPr>
        <w:t xml:space="preserve">ark </w:t>
      </w:r>
      <w:r w:rsidR="000772E9">
        <w:rPr>
          <w:szCs w:val="21"/>
        </w:rPr>
        <w:t>t</w:t>
      </w:r>
      <w:r w:rsidRPr="002C524B">
        <w:rPr>
          <w:szCs w:val="21"/>
        </w:rPr>
        <w:t>ea (</w:t>
      </w:r>
      <w:r w:rsidRPr="00584FB0">
        <w:rPr>
          <w:szCs w:val="21"/>
        </w:rPr>
        <w:t>Table</w:t>
      </w:r>
      <w:r w:rsidRPr="00584FB0">
        <w:rPr>
          <w:rFonts w:hint="eastAsia"/>
          <w:szCs w:val="21"/>
        </w:rPr>
        <w:t xml:space="preserve"> 2</w:t>
      </w:r>
      <w:r w:rsidRPr="002C524B">
        <w:rPr>
          <w:szCs w:val="21"/>
        </w:rPr>
        <w:t>).</w:t>
      </w:r>
    </w:p>
    <w:p w14:paraId="07A03DBA" w14:textId="77777777" w:rsidR="00874916" w:rsidRPr="000772E9" w:rsidRDefault="00874916" w:rsidP="000772E9">
      <w:pPr>
        <w:pStyle w:val="Caption"/>
        <w:jc w:val="center"/>
        <w:rPr>
          <w:b/>
          <w:i w:val="0"/>
          <w:sz w:val="24"/>
        </w:rPr>
      </w:pPr>
      <w:bookmarkStart w:id="1" w:name="_Ref484284145"/>
      <w:r w:rsidRPr="000772E9">
        <w:rPr>
          <w:b/>
          <w:i w:val="0"/>
          <w:sz w:val="24"/>
        </w:rPr>
        <w:t>Table</w:t>
      </w:r>
      <w:bookmarkEnd w:id="1"/>
      <w:r w:rsidRPr="000772E9">
        <w:rPr>
          <w:rFonts w:hint="eastAsia"/>
          <w:b/>
          <w:i w:val="0"/>
          <w:sz w:val="24"/>
        </w:rPr>
        <w:t xml:space="preserve"> 2:</w:t>
      </w:r>
      <w:r w:rsidRPr="000772E9">
        <w:rPr>
          <w:b/>
          <w:i w:val="0"/>
          <w:sz w:val="24"/>
        </w:rPr>
        <w:t xml:space="preserve"> Tea Consumption structure in US</w:t>
      </w:r>
    </w:p>
    <w:tbl>
      <w:tblPr>
        <w:tblW w:w="5000" w:type="pct"/>
        <w:tblBorders>
          <w:top w:val="single" w:sz="12" w:space="0" w:color="auto"/>
          <w:bottom w:val="single" w:sz="12" w:space="0" w:color="auto"/>
        </w:tblBorders>
        <w:tblLook w:val="04A0" w:firstRow="1" w:lastRow="0" w:firstColumn="1" w:lastColumn="0" w:noHBand="0" w:noVBand="1"/>
      </w:tblPr>
      <w:tblGrid>
        <w:gridCol w:w="3929"/>
        <w:gridCol w:w="2185"/>
        <w:gridCol w:w="2526"/>
      </w:tblGrid>
      <w:tr w:rsidR="00874916" w:rsidRPr="000772E9" w14:paraId="15717E29" w14:textId="77777777" w:rsidTr="00EA28C4">
        <w:trPr>
          <w:trHeight w:val="270"/>
        </w:trPr>
        <w:tc>
          <w:tcPr>
            <w:tcW w:w="1977" w:type="pct"/>
            <w:tcBorders>
              <w:bottom w:val="single" w:sz="4" w:space="0" w:color="auto"/>
            </w:tcBorders>
            <w:noWrap/>
            <w:vAlign w:val="center"/>
            <w:hideMark/>
          </w:tcPr>
          <w:p w14:paraId="296CCA36" w14:textId="77777777" w:rsidR="00874916" w:rsidRPr="000772E9" w:rsidRDefault="00874916" w:rsidP="000772E9">
            <w:pPr>
              <w:pStyle w:val="Caption"/>
              <w:jc w:val="center"/>
              <w:rPr>
                <w:b/>
                <w:i w:val="0"/>
                <w:sz w:val="24"/>
              </w:rPr>
            </w:pPr>
            <w:r w:rsidRPr="000772E9">
              <w:rPr>
                <w:b/>
                <w:i w:val="0"/>
                <w:sz w:val="24"/>
              </w:rPr>
              <w:t>Tea category</w:t>
            </w:r>
          </w:p>
        </w:tc>
        <w:tc>
          <w:tcPr>
            <w:tcW w:w="1413" w:type="pct"/>
            <w:tcBorders>
              <w:bottom w:val="single" w:sz="4" w:space="0" w:color="auto"/>
            </w:tcBorders>
            <w:noWrap/>
            <w:vAlign w:val="center"/>
            <w:hideMark/>
          </w:tcPr>
          <w:p w14:paraId="4D963197" w14:textId="77777777" w:rsidR="00874916" w:rsidRPr="000772E9" w:rsidRDefault="00874916" w:rsidP="000772E9">
            <w:pPr>
              <w:pStyle w:val="Caption"/>
              <w:jc w:val="center"/>
              <w:rPr>
                <w:b/>
                <w:i w:val="0"/>
                <w:sz w:val="24"/>
              </w:rPr>
            </w:pPr>
            <w:r w:rsidRPr="000772E9">
              <w:rPr>
                <w:b/>
                <w:i w:val="0"/>
                <w:sz w:val="24"/>
              </w:rPr>
              <w:t>2014</w:t>
            </w:r>
          </w:p>
        </w:tc>
        <w:tc>
          <w:tcPr>
            <w:tcW w:w="1610" w:type="pct"/>
            <w:tcBorders>
              <w:bottom w:val="single" w:sz="4" w:space="0" w:color="auto"/>
            </w:tcBorders>
            <w:noWrap/>
            <w:vAlign w:val="center"/>
            <w:hideMark/>
          </w:tcPr>
          <w:p w14:paraId="15F93BA2" w14:textId="77777777" w:rsidR="00874916" w:rsidRPr="000772E9" w:rsidRDefault="00874916" w:rsidP="000772E9">
            <w:pPr>
              <w:pStyle w:val="Caption"/>
              <w:jc w:val="center"/>
              <w:rPr>
                <w:b/>
                <w:i w:val="0"/>
                <w:sz w:val="24"/>
              </w:rPr>
            </w:pPr>
            <w:r w:rsidRPr="000772E9">
              <w:rPr>
                <w:b/>
                <w:i w:val="0"/>
                <w:sz w:val="24"/>
              </w:rPr>
              <w:t>2016</w:t>
            </w:r>
          </w:p>
        </w:tc>
      </w:tr>
      <w:tr w:rsidR="00874916" w:rsidRPr="000772E9" w14:paraId="2A75F8DC" w14:textId="77777777" w:rsidTr="00EA28C4">
        <w:trPr>
          <w:trHeight w:val="270"/>
        </w:trPr>
        <w:tc>
          <w:tcPr>
            <w:tcW w:w="1977" w:type="pct"/>
            <w:tcBorders>
              <w:top w:val="single" w:sz="4" w:space="0" w:color="auto"/>
              <w:bottom w:val="nil"/>
            </w:tcBorders>
            <w:noWrap/>
            <w:vAlign w:val="center"/>
            <w:hideMark/>
          </w:tcPr>
          <w:p w14:paraId="3E01A93C" w14:textId="77777777" w:rsidR="00874916" w:rsidRPr="000772E9" w:rsidRDefault="00874916" w:rsidP="00EA28C4">
            <w:pPr>
              <w:jc w:val="center"/>
            </w:pPr>
            <w:r w:rsidRPr="000772E9">
              <w:t>Black Tea</w:t>
            </w:r>
          </w:p>
        </w:tc>
        <w:tc>
          <w:tcPr>
            <w:tcW w:w="1413" w:type="pct"/>
            <w:tcBorders>
              <w:top w:val="single" w:sz="4" w:space="0" w:color="auto"/>
              <w:bottom w:val="nil"/>
            </w:tcBorders>
            <w:noWrap/>
            <w:vAlign w:val="center"/>
            <w:hideMark/>
          </w:tcPr>
          <w:p w14:paraId="60C6416E" w14:textId="77777777" w:rsidR="00874916" w:rsidRPr="000772E9" w:rsidRDefault="00874916" w:rsidP="00EA28C4">
            <w:pPr>
              <w:jc w:val="center"/>
            </w:pPr>
            <w:r w:rsidRPr="000772E9">
              <w:t>84%</w:t>
            </w:r>
          </w:p>
        </w:tc>
        <w:tc>
          <w:tcPr>
            <w:tcW w:w="1610" w:type="pct"/>
            <w:tcBorders>
              <w:top w:val="single" w:sz="4" w:space="0" w:color="auto"/>
              <w:bottom w:val="nil"/>
            </w:tcBorders>
            <w:noWrap/>
            <w:vAlign w:val="center"/>
            <w:hideMark/>
          </w:tcPr>
          <w:p w14:paraId="30C9029C" w14:textId="77777777" w:rsidR="00874916" w:rsidRPr="000772E9" w:rsidRDefault="00874916" w:rsidP="00EA28C4">
            <w:pPr>
              <w:jc w:val="center"/>
            </w:pPr>
            <w:r w:rsidRPr="000772E9">
              <w:t>80%</w:t>
            </w:r>
          </w:p>
        </w:tc>
      </w:tr>
      <w:tr w:rsidR="00874916" w:rsidRPr="000772E9" w14:paraId="5A526E0C" w14:textId="77777777" w:rsidTr="00EA28C4">
        <w:trPr>
          <w:trHeight w:val="270"/>
        </w:trPr>
        <w:tc>
          <w:tcPr>
            <w:tcW w:w="1977" w:type="pct"/>
            <w:tcBorders>
              <w:top w:val="nil"/>
            </w:tcBorders>
            <w:noWrap/>
            <w:vAlign w:val="center"/>
            <w:hideMark/>
          </w:tcPr>
          <w:p w14:paraId="0AD8CFC4" w14:textId="77777777" w:rsidR="00874916" w:rsidRPr="000772E9" w:rsidRDefault="00874916" w:rsidP="00EA28C4">
            <w:pPr>
              <w:jc w:val="center"/>
            </w:pPr>
            <w:r w:rsidRPr="000772E9">
              <w:t>Green Tea</w:t>
            </w:r>
          </w:p>
        </w:tc>
        <w:tc>
          <w:tcPr>
            <w:tcW w:w="1413" w:type="pct"/>
            <w:tcBorders>
              <w:top w:val="nil"/>
            </w:tcBorders>
            <w:noWrap/>
            <w:vAlign w:val="center"/>
            <w:hideMark/>
          </w:tcPr>
          <w:p w14:paraId="3AA73C63" w14:textId="77777777" w:rsidR="00874916" w:rsidRPr="000772E9" w:rsidRDefault="00874916" w:rsidP="00EA28C4">
            <w:pPr>
              <w:jc w:val="center"/>
            </w:pPr>
            <w:r w:rsidRPr="000772E9">
              <w:t>15%</w:t>
            </w:r>
          </w:p>
        </w:tc>
        <w:tc>
          <w:tcPr>
            <w:tcW w:w="1610" w:type="pct"/>
            <w:tcBorders>
              <w:top w:val="nil"/>
            </w:tcBorders>
            <w:noWrap/>
            <w:vAlign w:val="center"/>
            <w:hideMark/>
          </w:tcPr>
          <w:p w14:paraId="3CC485EB" w14:textId="77777777" w:rsidR="00874916" w:rsidRPr="000772E9" w:rsidRDefault="00874916" w:rsidP="00EA28C4">
            <w:pPr>
              <w:jc w:val="center"/>
            </w:pPr>
            <w:r w:rsidRPr="000772E9">
              <w:t>16%</w:t>
            </w:r>
          </w:p>
        </w:tc>
      </w:tr>
      <w:tr w:rsidR="00874916" w:rsidRPr="000772E9" w14:paraId="0C1F233D" w14:textId="77777777" w:rsidTr="00EA28C4">
        <w:trPr>
          <w:trHeight w:val="270"/>
        </w:trPr>
        <w:tc>
          <w:tcPr>
            <w:tcW w:w="1977" w:type="pct"/>
            <w:noWrap/>
            <w:vAlign w:val="center"/>
            <w:hideMark/>
          </w:tcPr>
          <w:p w14:paraId="2754AEDB" w14:textId="77777777" w:rsidR="00874916" w:rsidRPr="000772E9" w:rsidRDefault="00874916" w:rsidP="00EA28C4">
            <w:pPr>
              <w:jc w:val="center"/>
            </w:pPr>
            <w:r w:rsidRPr="000772E9">
              <w:t>Others (Oolong, White, and Dark Tea)</w:t>
            </w:r>
          </w:p>
        </w:tc>
        <w:tc>
          <w:tcPr>
            <w:tcW w:w="1413" w:type="pct"/>
            <w:noWrap/>
            <w:vAlign w:val="center"/>
            <w:hideMark/>
          </w:tcPr>
          <w:p w14:paraId="76C4E1FE" w14:textId="77777777" w:rsidR="00874916" w:rsidRPr="000772E9" w:rsidRDefault="00874916" w:rsidP="00EA28C4">
            <w:pPr>
              <w:jc w:val="center"/>
            </w:pPr>
            <w:r w:rsidRPr="000772E9">
              <w:t>1%</w:t>
            </w:r>
          </w:p>
        </w:tc>
        <w:tc>
          <w:tcPr>
            <w:tcW w:w="1610" w:type="pct"/>
            <w:noWrap/>
            <w:vAlign w:val="center"/>
            <w:hideMark/>
          </w:tcPr>
          <w:p w14:paraId="7A1ED6B0" w14:textId="77777777" w:rsidR="00874916" w:rsidRPr="000772E9" w:rsidRDefault="00874916" w:rsidP="00EA28C4">
            <w:pPr>
              <w:jc w:val="center"/>
            </w:pPr>
            <w:r w:rsidRPr="000772E9">
              <w:t>4%</w:t>
            </w:r>
          </w:p>
        </w:tc>
      </w:tr>
    </w:tbl>
    <w:p w14:paraId="21979408" w14:textId="77777777" w:rsidR="00874916" w:rsidRPr="000772E9" w:rsidRDefault="00874916" w:rsidP="00874916">
      <w:pPr>
        <w:autoSpaceDE w:val="0"/>
        <w:autoSpaceDN w:val="0"/>
        <w:adjustRightInd w:val="0"/>
        <w:spacing w:after="312" w:line="360" w:lineRule="auto"/>
      </w:pPr>
      <w:r w:rsidRPr="000772E9">
        <w:t>Source: Tea Association of the USA</w:t>
      </w:r>
    </w:p>
    <w:p w14:paraId="4F16CB93" w14:textId="77777777" w:rsidR="00874916" w:rsidRPr="002C524B" w:rsidRDefault="00874916" w:rsidP="00874916">
      <w:pPr>
        <w:pStyle w:val="2"/>
        <w:numPr>
          <w:ilvl w:val="0"/>
          <w:numId w:val="14"/>
        </w:numPr>
        <w:spacing w:after="120"/>
        <w:ind w:left="482" w:hanging="482"/>
        <w:rPr>
          <w:rFonts w:cs="Times New Roman"/>
        </w:rPr>
      </w:pPr>
      <w:r w:rsidRPr="002C524B">
        <w:rPr>
          <w:rFonts w:cs="Times New Roman"/>
        </w:rPr>
        <w:lastRenderedPageBreak/>
        <w:t>Anticipated sales</w:t>
      </w:r>
    </w:p>
    <w:p w14:paraId="388CA9FC" w14:textId="77777777" w:rsidR="00874916" w:rsidRDefault="00874916" w:rsidP="000772E9">
      <w:pPr>
        <w:autoSpaceDE w:val="0"/>
        <w:autoSpaceDN w:val="0"/>
        <w:adjustRightInd w:val="0"/>
        <w:spacing w:after="100" w:afterAutospacing="1"/>
        <w:rPr>
          <w:szCs w:val="21"/>
        </w:rPr>
      </w:pPr>
      <w:r w:rsidRPr="002C524B">
        <w:rPr>
          <w:szCs w:val="21"/>
        </w:rPr>
        <w:t xml:space="preserve">The industry anticipates strong, continuous growth, with a CAGR (Compound Annual Growth Rate) of 4-6%. This growth will come from all segments driven by variety, convenience, health benefits, sustainability, availability, continued innovation and the discovery of unique, flavorful and high-end Specialty Tea. Future success also relies on the adoption of tea by new consumers who are looking for healthy beverage options. </w:t>
      </w:r>
    </w:p>
    <w:p w14:paraId="50256B5E" w14:textId="541245E3" w:rsidR="000772E9" w:rsidRPr="000772E9" w:rsidRDefault="000772E9" w:rsidP="000772E9">
      <w:pPr>
        <w:pStyle w:val="Caption"/>
        <w:jc w:val="center"/>
        <w:rPr>
          <w:b/>
          <w:i w:val="0"/>
          <w:sz w:val="28"/>
          <w:szCs w:val="28"/>
        </w:rPr>
      </w:pPr>
      <w:bookmarkStart w:id="2" w:name="_Ref484284336"/>
      <w:r w:rsidRPr="000772E9">
        <w:rPr>
          <w:b/>
          <w:i w:val="0"/>
          <w:sz w:val="28"/>
          <w:szCs w:val="28"/>
        </w:rPr>
        <w:t>Figure</w:t>
      </w:r>
      <w:bookmarkEnd w:id="2"/>
      <w:r w:rsidRPr="000772E9">
        <w:rPr>
          <w:rFonts w:hint="eastAsia"/>
          <w:b/>
          <w:i w:val="0"/>
          <w:sz w:val="28"/>
          <w:szCs w:val="28"/>
        </w:rPr>
        <w:t xml:space="preserve"> 1:</w:t>
      </w:r>
      <w:r>
        <w:rPr>
          <w:b/>
          <w:i w:val="0"/>
          <w:sz w:val="28"/>
          <w:szCs w:val="28"/>
        </w:rPr>
        <w:t xml:space="preserve"> U</w:t>
      </w:r>
      <w:r w:rsidRPr="000772E9">
        <w:rPr>
          <w:b/>
          <w:i w:val="0"/>
          <w:sz w:val="28"/>
          <w:szCs w:val="28"/>
        </w:rPr>
        <w:t>S tea market: total wholesale value 1990-2015</w:t>
      </w:r>
    </w:p>
    <w:p w14:paraId="0761EB63" w14:textId="77777777" w:rsidR="00874916" w:rsidRPr="002C524B" w:rsidRDefault="00874916" w:rsidP="00874916">
      <w:pPr>
        <w:autoSpaceDE w:val="0"/>
        <w:autoSpaceDN w:val="0"/>
        <w:adjustRightInd w:val="0"/>
        <w:jc w:val="center"/>
        <w:rPr>
          <w:sz w:val="18"/>
          <w:szCs w:val="18"/>
        </w:rPr>
      </w:pPr>
      <w:r w:rsidRPr="002C524B">
        <w:rPr>
          <w:noProof/>
        </w:rPr>
        <w:drawing>
          <wp:inline distT="0" distB="0" distL="0" distR="0" wp14:anchorId="01C1BAB7" wp14:editId="0024A29A">
            <wp:extent cx="4572000" cy="274320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75F7872B" w14:textId="77777777" w:rsidR="00874916" w:rsidRPr="000772E9" w:rsidRDefault="00874916" w:rsidP="000772E9">
      <w:pPr>
        <w:autoSpaceDE w:val="0"/>
        <w:autoSpaceDN w:val="0"/>
        <w:adjustRightInd w:val="0"/>
        <w:jc w:val="center"/>
        <w:rPr>
          <w:sz w:val="20"/>
          <w:szCs w:val="20"/>
        </w:rPr>
      </w:pPr>
      <w:r w:rsidRPr="000772E9">
        <w:rPr>
          <w:sz w:val="20"/>
          <w:szCs w:val="20"/>
        </w:rPr>
        <w:t>Total wholesale tea sales in the United States from 1990 to 2015 (in billion U.S. dollars)</w:t>
      </w:r>
    </w:p>
    <w:p w14:paraId="34097149" w14:textId="77777777" w:rsidR="00874916" w:rsidRPr="000772E9" w:rsidRDefault="00874916" w:rsidP="000772E9">
      <w:pPr>
        <w:autoSpaceDE w:val="0"/>
        <w:autoSpaceDN w:val="0"/>
        <w:adjustRightInd w:val="0"/>
        <w:spacing w:afterLines="100" w:after="240"/>
        <w:jc w:val="center"/>
        <w:rPr>
          <w:sz w:val="20"/>
          <w:szCs w:val="20"/>
        </w:rPr>
      </w:pPr>
      <w:r w:rsidRPr="000772E9">
        <w:rPr>
          <w:b/>
          <w:sz w:val="20"/>
          <w:szCs w:val="20"/>
        </w:rPr>
        <w:t>Source:</w:t>
      </w:r>
      <w:r w:rsidRPr="000772E9">
        <w:rPr>
          <w:sz w:val="20"/>
          <w:szCs w:val="20"/>
        </w:rPr>
        <w:t xml:space="preserve"> Tea Association of the USA; Statista 2017</w:t>
      </w:r>
    </w:p>
    <w:p w14:paraId="694BD050" w14:textId="77777777" w:rsidR="00874916" w:rsidRPr="002C524B" w:rsidRDefault="00874916" w:rsidP="000772E9">
      <w:pPr>
        <w:autoSpaceDE w:val="0"/>
        <w:autoSpaceDN w:val="0"/>
        <w:adjustRightInd w:val="0"/>
        <w:spacing w:after="100" w:afterAutospacing="1"/>
        <w:rPr>
          <w:szCs w:val="21"/>
          <w:highlight w:val="white"/>
        </w:rPr>
      </w:pPr>
      <w:r w:rsidRPr="002C524B">
        <w:rPr>
          <w:szCs w:val="21"/>
          <w:highlight w:val="white"/>
        </w:rPr>
        <w:t>The statistic (</w:t>
      </w:r>
      <w:r w:rsidRPr="002C524B">
        <w:t>Figure</w:t>
      </w:r>
      <w:r>
        <w:rPr>
          <w:rFonts w:hint="eastAsia"/>
        </w:rPr>
        <w:t xml:space="preserve"> 1</w:t>
      </w:r>
      <w:r w:rsidRPr="002C524B">
        <w:rPr>
          <w:szCs w:val="21"/>
          <w:highlight w:val="white"/>
        </w:rPr>
        <w:t>) shows the wholesale tea value in the United States from 1990 to 2015. Total wholesale sales amounted to 1.84 billion U.S. dollars in 1990 and increased to about 11.5 billion U.S. dollars by 2015.</w:t>
      </w:r>
    </w:p>
    <w:p w14:paraId="1C838241" w14:textId="77777777" w:rsidR="00874916" w:rsidRPr="000772E9" w:rsidRDefault="00874916" w:rsidP="000772E9">
      <w:pPr>
        <w:pStyle w:val="2"/>
        <w:spacing w:after="120" w:line="240" w:lineRule="auto"/>
        <w:ind w:hanging="864"/>
        <w:rPr>
          <w:sz w:val="30"/>
          <w:szCs w:val="30"/>
        </w:rPr>
      </w:pPr>
      <w:r w:rsidRPr="000772E9">
        <w:rPr>
          <w:sz w:val="30"/>
          <w:szCs w:val="30"/>
        </w:rPr>
        <w:t>UK tea market</w:t>
      </w:r>
    </w:p>
    <w:p w14:paraId="7C28AE62" w14:textId="24108B77" w:rsidR="00874916" w:rsidRPr="000772E9" w:rsidRDefault="000772E9" w:rsidP="000772E9">
      <w:pPr>
        <w:autoSpaceDE w:val="0"/>
        <w:autoSpaceDN w:val="0"/>
        <w:adjustRightInd w:val="0"/>
        <w:spacing w:after="100" w:afterAutospacing="1"/>
        <w:rPr>
          <w:szCs w:val="21"/>
          <w:highlight w:val="white"/>
        </w:rPr>
      </w:pPr>
      <w:r>
        <w:rPr>
          <w:szCs w:val="21"/>
          <w:highlight w:val="white"/>
        </w:rPr>
        <w:t xml:space="preserve">Approximately </w:t>
      </w:r>
      <w:r w:rsidR="00874916" w:rsidRPr="000772E9">
        <w:rPr>
          <w:szCs w:val="21"/>
          <w:highlight w:val="white"/>
        </w:rPr>
        <w:t xml:space="preserve">165 million cups of tea </w:t>
      </w:r>
      <w:r>
        <w:rPr>
          <w:szCs w:val="21"/>
          <w:highlight w:val="white"/>
        </w:rPr>
        <w:t>are consumed daily in the UK</w:t>
      </w:r>
      <w:r w:rsidR="00874916" w:rsidRPr="000772E9">
        <w:rPr>
          <w:szCs w:val="21"/>
          <w:highlight w:val="white"/>
        </w:rPr>
        <w:t>. In 2015, black tea accounted for 69.6</w:t>
      </w:r>
      <w:r>
        <w:rPr>
          <w:szCs w:val="21"/>
          <w:highlight w:val="white"/>
        </w:rPr>
        <w:t xml:space="preserve"> percent </w:t>
      </w:r>
      <w:r w:rsidR="00874916" w:rsidRPr="000772E9">
        <w:rPr>
          <w:szCs w:val="21"/>
          <w:highlight w:val="white"/>
        </w:rPr>
        <w:t xml:space="preserve">of the total sales of the </w:t>
      </w:r>
      <w:r>
        <w:rPr>
          <w:szCs w:val="21"/>
          <w:highlight w:val="white"/>
        </w:rPr>
        <w:t xml:space="preserve">UK </w:t>
      </w:r>
      <w:r w:rsidR="00874916" w:rsidRPr="000772E9">
        <w:rPr>
          <w:szCs w:val="21"/>
          <w:highlight w:val="white"/>
        </w:rPr>
        <w:t xml:space="preserve">tea market, followed by </w:t>
      </w:r>
      <w:r w:rsidR="00874916" w:rsidRPr="000772E9">
        <w:rPr>
          <w:rFonts w:hint="eastAsia"/>
          <w:szCs w:val="21"/>
          <w:highlight w:val="white"/>
        </w:rPr>
        <w:t xml:space="preserve">fruit </w:t>
      </w:r>
      <w:r w:rsidR="00874916" w:rsidRPr="000772E9">
        <w:rPr>
          <w:szCs w:val="21"/>
          <w:highlight w:val="white"/>
        </w:rPr>
        <w:t>and herbal tea, green tea, specialty tea and other tea</w:t>
      </w:r>
      <w:r>
        <w:rPr>
          <w:szCs w:val="21"/>
          <w:highlight w:val="white"/>
        </w:rPr>
        <w:t>s</w:t>
      </w:r>
      <w:r w:rsidR="00874916" w:rsidRPr="000772E9">
        <w:rPr>
          <w:rFonts w:hint="eastAsia"/>
          <w:highlight w:val="white"/>
        </w:rPr>
        <w:t>.</w:t>
      </w:r>
    </w:p>
    <w:p w14:paraId="3FB6DD56" w14:textId="10AE61FB" w:rsidR="00874916" w:rsidRPr="000772E9" w:rsidRDefault="00663C2D" w:rsidP="00663C2D">
      <w:pPr>
        <w:pStyle w:val="2"/>
        <w:numPr>
          <w:ilvl w:val="1"/>
          <w:numId w:val="25"/>
        </w:numPr>
        <w:spacing w:after="120"/>
      </w:pPr>
      <w:r>
        <w:t xml:space="preserve">       </w:t>
      </w:r>
      <w:r w:rsidR="00874916" w:rsidRPr="000772E9">
        <w:t>The downward trajectory within t</w:t>
      </w:r>
      <w:r>
        <w:t>he overall tea market continues</w:t>
      </w:r>
      <w:r w:rsidR="00874916" w:rsidRPr="000772E9">
        <w:t> </w:t>
      </w:r>
    </w:p>
    <w:p w14:paraId="65561045" w14:textId="0E2BFAD5" w:rsidR="00874916" w:rsidRDefault="00874916" w:rsidP="000772E9">
      <w:pPr>
        <w:autoSpaceDE w:val="0"/>
        <w:autoSpaceDN w:val="0"/>
        <w:adjustRightInd w:val="0"/>
        <w:spacing w:after="100" w:afterAutospacing="1"/>
        <w:rPr>
          <w:szCs w:val="21"/>
          <w:highlight w:val="white"/>
        </w:rPr>
      </w:pPr>
      <w:r w:rsidRPr="000772E9">
        <w:rPr>
          <w:szCs w:val="21"/>
          <w:highlight w:val="white"/>
        </w:rPr>
        <w:t>Tea consumption in the UK has dropped by more</w:t>
      </w:r>
      <w:r w:rsidR="000772E9">
        <w:rPr>
          <w:szCs w:val="21"/>
          <w:highlight w:val="white"/>
        </w:rPr>
        <w:t xml:space="preserve"> than 20 percent</w:t>
      </w:r>
      <w:r w:rsidRPr="000772E9">
        <w:rPr>
          <w:szCs w:val="21"/>
          <w:highlight w:val="white"/>
        </w:rPr>
        <w:t xml:space="preserve"> in the past </w:t>
      </w:r>
      <w:r w:rsidR="000772E9">
        <w:rPr>
          <w:szCs w:val="21"/>
          <w:highlight w:val="white"/>
        </w:rPr>
        <w:t>6</w:t>
      </w:r>
      <w:r w:rsidRPr="000772E9">
        <w:rPr>
          <w:szCs w:val="21"/>
          <w:highlight w:val="white"/>
        </w:rPr>
        <w:t xml:space="preserve"> years, with the</w:t>
      </w:r>
      <w:r w:rsidRPr="002C524B">
        <w:rPr>
          <w:szCs w:val="21"/>
          <w:highlight w:val="white"/>
        </w:rPr>
        <w:t xml:space="preserve"> volume of tea sold dropping from 97 thousand </w:t>
      </w:r>
      <w:r>
        <w:rPr>
          <w:szCs w:val="21"/>
          <w:highlight w:val="white"/>
        </w:rPr>
        <w:t>tons</w:t>
      </w:r>
      <w:r w:rsidRPr="002C524B">
        <w:rPr>
          <w:szCs w:val="21"/>
          <w:highlight w:val="white"/>
        </w:rPr>
        <w:t xml:space="preserve"> in 2010 to 76 thousand </w:t>
      </w:r>
      <w:r>
        <w:rPr>
          <w:szCs w:val="21"/>
          <w:highlight w:val="white"/>
        </w:rPr>
        <w:t>tons</w:t>
      </w:r>
      <w:r w:rsidRPr="002C524B">
        <w:rPr>
          <w:szCs w:val="21"/>
          <w:highlight w:val="white"/>
        </w:rPr>
        <w:t xml:space="preserve"> in 2015 (</w:t>
      </w:r>
      <w:r w:rsidRPr="000772E9">
        <w:rPr>
          <w:szCs w:val="21"/>
          <w:highlight w:val="white"/>
        </w:rPr>
        <w:t>Figure</w:t>
      </w:r>
      <w:r w:rsidRPr="000772E9">
        <w:rPr>
          <w:rFonts w:hint="eastAsia"/>
          <w:szCs w:val="21"/>
          <w:highlight w:val="white"/>
        </w:rPr>
        <w:t xml:space="preserve"> 2</w:t>
      </w:r>
      <w:r w:rsidRPr="002C524B">
        <w:rPr>
          <w:szCs w:val="21"/>
          <w:highlight w:val="white"/>
        </w:rPr>
        <w:t xml:space="preserve">). </w:t>
      </w:r>
      <w:r w:rsidRPr="000772E9">
        <w:rPr>
          <w:szCs w:val="21"/>
          <w:highlight w:val="white"/>
        </w:rPr>
        <w:t>The value of the market has also been steadily slipping over the 2010-2015 period, with an overall decline of 6</w:t>
      </w:r>
      <w:r w:rsidR="000772E9">
        <w:rPr>
          <w:szCs w:val="21"/>
          <w:highlight w:val="white"/>
        </w:rPr>
        <w:t xml:space="preserve"> percent </w:t>
      </w:r>
      <w:r w:rsidRPr="000772E9">
        <w:rPr>
          <w:szCs w:val="21"/>
          <w:highlight w:val="white"/>
        </w:rPr>
        <w:t xml:space="preserve">to </w:t>
      </w:r>
      <w:r w:rsidR="000772E9">
        <w:rPr>
          <w:szCs w:val="21"/>
          <w:highlight w:val="white"/>
        </w:rPr>
        <w:t xml:space="preserve">GBP </w:t>
      </w:r>
      <w:r w:rsidRPr="000772E9">
        <w:rPr>
          <w:szCs w:val="21"/>
          <w:highlight w:val="white"/>
        </w:rPr>
        <w:t xml:space="preserve">654 million. </w:t>
      </w:r>
      <w:r w:rsidRPr="002C524B">
        <w:rPr>
          <w:szCs w:val="21"/>
          <w:highlight w:val="white"/>
        </w:rPr>
        <w:t xml:space="preserve">Consumers are opting for more exciting hot beverages (Mintel). </w:t>
      </w:r>
    </w:p>
    <w:p w14:paraId="663314F8" w14:textId="77777777" w:rsidR="000772E9" w:rsidRDefault="000772E9" w:rsidP="000772E9">
      <w:pPr>
        <w:autoSpaceDE w:val="0"/>
        <w:autoSpaceDN w:val="0"/>
        <w:adjustRightInd w:val="0"/>
        <w:spacing w:after="100" w:afterAutospacing="1"/>
        <w:rPr>
          <w:szCs w:val="21"/>
          <w:highlight w:val="white"/>
        </w:rPr>
      </w:pPr>
    </w:p>
    <w:p w14:paraId="50B851D3" w14:textId="74073E86" w:rsidR="000772E9" w:rsidRPr="002C524B" w:rsidRDefault="000772E9" w:rsidP="000772E9">
      <w:pPr>
        <w:pStyle w:val="Caption"/>
        <w:jc w:val="center"/>
        <w:rPr>
          <w:szCs w:val="21"/>
          <w:highlight w:val="white"/>
        </w:rPr>
      </w:pPr>
      <w:r w:rsidRPr="000772E9">
        <w:rPr>
          <w:b/>
          <w:i w:val="0"/>
          <w:sz w:val="28"/>
          <w:szCs w:val="28"/>
        </w:rPr>
        <w:lastRenderedPageBreak/>
        <w:t xml:space="preserve">Figure </w:t>
      </w:r>
      <w:r w:rsidRPr="000772E9">
        <w:rPr>
          <w:rFonts w:hint="eastAsia"/>
          <w:b/>
          <w:i w:val="0"/>
          <w:sz w:val="28"/>
          <w:szCs w:val="28"/>
        </w:rPr>
        <w:t>2:</w:t>
      </w:r>
      <w:r w:rsidRPr="000772E9">
        <w:rPr>
          <w:b/>
          <w:i w:val="0"/>
          <w:sz w:val="28"/>
          <w:szCs w:val="28"/>
        </w:rPr>
        <w:t xml:space="preserve"> Market share of tea in the United Kingdom (UK) in 2015, based on value</w:t>
      </w:r>
    </w:p>
    <w:p w14:paraId="31BB13B7" w14:textId="77777777" w:rsidR="00874916" w:rsidRPr="002C524B" w:rsidRDefault="00874916" w:rsidP="00874916">
      <w:pPr>
        <w:autoSpaceDE w:val="0"/>
        <w:autoSpaceDN w:val="0"/>
        <w:adjustRightInd w:val="0"/>
        <w:jc w:val="center"/>
        <w:rPr>
          <w:noProof/>
        </w:rPr>
      </w:pPr>
      <w:r w:rsidRPr="002C524B">
        <w:rPr>
          <w:noProof/>
        </w:rPr>
        <w:t> </w:t>
      </w:r>
      <w:r w:rsidRPr="002C524B">
        <w:rPr>
          <w:noProof/>
        </w:rPr>
        <w:drawing>
          <wp:inline distT="0" distB="0" distL="0" distR="0" wp14:anchorId="187E9031" wp14:editId="4A6E72A6">
            <wp:extent cx="4993005" cy="2941955"/>
            <wp:effectExtent l="0" t="0" r="0" b="0"/>
            <wp:docPr id="11" name="图表 11"/>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45755D96" w14:textId="37243C6A" w:rsidR="00874916" w:rsidRPr="002C524B" w:rsidRDefault="00874916" w:rsidP="00874916">
      <w:pPr>
        <w:autoSpaceDE w:val="0"/>
        <w:autoSpaceDN w:val="0"/>
        <w:adjustRightInd w:val="0"/>
        <w:spacing w:afterLines="100" w:after="240"/>
        <w:jc w:val="center"/>
        <w:rPr>
          <w:sz w:val="18"/>
          <w:szCs w:val="18"/>
          <w:highlight w:val="white"/>
        </w:rPr>
      </w:pPr>
      <w:r w:rsidRPr="000772E9">
        <w:rPr>
          <w:b/>
          <w:sz w:val="18"/>
          <w:szCs w:val="18"/>
          <w:highlight w:val="white"/>
        </w:rPr>
        <w:t>Source</w:t>
      </w:r>
      <w:r w:rsidR="000772E9" w:rsidRPr="000772E9">
        <w:rPr>
          <w:b/>
          <w:sz w:val="18"/>
          <w:szCs w:val="18"/>
          <w:highlight w:val="white"/>
        </w:rPr>
        <w:t>:</w:t>
      </w:r>
      <w:r w:rsidR="000772E9">
        <w:rPr>
          <w:sz w:val="18"/>
          <w:szCs w:val="18"/>
          <w:highlight w:val="white"/>
        </w:rPr>
        <w:t xml:space="preserve"> </w:t>
      </w:r>
      <w:r w:rsidRPr="002C524B">
        <w:rPr>
          <w:sz w:val="18"/>
          <w:szCs w:val="18"/>
          <w:highlight w:val="white"/>
        </w:rPr>
        <w:t>Statista 2017</w:t>
      </w:r>
    </w:p>
    <w:p w14:paraId="42942307" w14:textId="77777777" w:rsidR="00874916" w:rsidRDefault="00874916" w:rsidP="00874916">
      <w:pPr>
        <w:autoSpaceDE w:val="0"/>
        <w:autoSpaceDN w:val="0"/>
        <w:adjustRightInd w:val="0"/>
        <w:spacing w:line="360" w:lineRule="auto"/>
        <w:rPr>
          <w:szCs w:val="21"/>
          <w:highlight w:val="white"/>
        </w:rPr>
      </w:pPr>
    </w:p>
    <w:p w14:paraId="6E6BCA82" w14:textId="77777777" w:rsidR="000772E9" w:rsidRDefault="000772E9" w:rsidP="00874916">
      <w:pPr>
        <w:autoSpaceDE w:val="0"/>
        <w:autoSpaceDN w:val="0"/>
        <w:adjustRightInd w:val="0"/>
        <w:spacing w:line="360" w:lineRule="auto"/>
        <w:rPr>
          <w:szCs w:val="21"/>
          <w:highlight w:val="white"/>
        </w:rPr>
      </w:pPr>
    </w:p>
    <w:p w14:paraId="05FB497C" w14:textId="775E0ED4" w:rsidR="000772E9" w:rsidRPr="002C524B" w:rsidRDefault="000772E9" w:rsidP="000772E9">
      <w:pPr>
        <w:pStyle w:val="Caption"/>
        <w:spacing w:line="360" w:lineRule="auto"/>
        <w:jc w:val="center"/>
        <w:rPr>
          <w:szCs w:val="21"/>
          <w:highlight w:val="white"/>
        </w:rPr>
      </w:pPr>
      <w:r w:rsidRPr="000772E9">
        <w:rPr>
          <w:b/>
          <w:i w:val="0"/>
          <w:sz w:val="28"/>
          <w:szCs w:val="28"/>
        </w:rPr>
        <w:t xml:space="preserve">Figure </w:t>
      </w:r>
      <w:r w:rsidRPr="000772E9">
        <w:rPr>
          <w:rFonts w:hint="eastAsia"/>
          <w:b/>
          <w:i w:val="0"/>
          <w:sz w:val="28"/>
          <w:szCs w:val="28"/>
        </w:rPr>
        <w:t>3:</w:t>
      </w:r>
      <w:r w:rsidRPr="000772E9">
        <w:rPr>
          <w:b/>
          <w:i w:val="0"/>
          <w:sz w:val="28"/>
          <w:szCs w:val="28"/>
        </w:rPr>
        <w:t xml:space="preserve"> Tea consumption has dropped by 22% in six years in UK</w:t>
      </w:r>
    </w:p>
    <w:p w14:paraId="48108DB9" w14:textId="77777777" w:rsidR="00874916" w:rsidRPr="002C524B" w:rsidRDefault="00874916" w:rsidP="00874916">
      <w:pPr>
        <w:autoSpaceDE w:val="0"/>
        <w:autoSpaceDN w:val="0"/>
        <w:adjustRightInd w:val="0"/>
        <w:jc w:val="center"/>
        <w:rPr>
          <w:noProof/>
        </w:rPr>
      </w:pPr>
      <w:r w:rsidRPr="002C524B">
        <w:rPr>
          <w:noProof/>
        </w:rPr>
        <w:drawing>
          <wp:inline distT="0" distB="0" distL="0" distR="0" wp14:anchorId="0A31257F" wp14:editId="1A782ECA">
            <wp:extent cx="4572000" cy="2752725"/>
            <wp:effectExtent l="0" t="0" r="0" b="0"/>
            <wp:docPr id="12" name="图表 12"/>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DB305AB" w14:textId="77777777" w:rsidR="00874916" w:rsidRPr="002C524B" w:rsidRDefault="00874916" w:rsidP="00874916">
      <w:pPr>
        <w:autoSpaceDE w:val="0"/>
        <w:autoSpaceDN w:val="0"/>
        <w:adjustRightInd w:val="0"/>
        <w:spacing w:afterLines="100" w:after="240"/>
        <w:jc w:val="center"/>
        <w:rPr>
          <w:sz w:val="18"/>
          <w:szCs w:val="18"/>
          <w:highlight w:val="white"/>
        </w:rPr>
      </w:pPr>
      <w:r w:rsidRPr="000772E9">
        <w:rPr>
          <w:b/>
          <w:sz w:val="18"/>
          <w:szCs w:val="18"/>
          <w:highlight w:val="white"/>
        </w:rPr>
        <w:t>Source:</w:t>
      </w:r>
      <w:r w:rsidRPr="002C524B">
        <w:rPr>
          <w:sz w:val="18"/>
          <w:szCs w:val="18"/>
          <w:highlight w:val="white"/>
        </w:rPr>
        <w:t xml:space="preserve"> Mintel</w:t>
      </w:r>
    </w:p>
    <w:p w14:paraId="57ED6423" w14:textId="2D0D58F4" w:rsidR="00874916" w:rsidRPr="00663C2D" w:rsidRDefault="00874916" w:rsidP="00663C2D">
      <w:pPr>
        <w:pStyle w:val="Heading2"/>
        <w:keepLines/>
        <w:widowControl w:val="0"/>
        <w:numPr>
          <w:ilvl w:val="1"/>
          <w:numId w:val="25"/>
        </w:numPr>
        <w:pBdr>
          <w:top w:val="none" w:sz="0" w:space="0" w:color="auto"/>
          <w:bottom w:val="none" w:sz="0" w:space="0" w:color="auto"/>
        </w:pBdr>
        <w:shd w:val="clear" w:color="auto" w:fill="auto"/>
        <w:spacing w:before="260" w:after="260" w:line="416" w:lineRule="auto"/>
        <w:jc w:val="both"/>
        <w:rPr>
          <w:rFonts w:ascii="Times New Roman" w:eastAsiaTheme="majorEastAsia" w:hAnsi="Times New Roman" w:cstheme="majorBidi"/>
          <w:bCs/>
          <w:color w:val="auto"/>
          <w:kern w:val="2"/>
          <w:sz w:val="24"/>
          <w:szCs w:val="32"/>
          <w:lang w:eastAsia="zh-CN"/>
        </w:rPr>
      </w:pPr>
      <w:r w:rsidRPr="00663C2D">
        <w:rPr>
          <w:rFonts w:ascii="Times New Roman" w:eastAsiaTheme="majorEastAsia" w:hAnsi="Times New Roman" w:cstheme="majorBidi"/>
          <w:bCs/>
          <w:color w:val="auto"/>
          <w:kern w:val="2"/>
          <w:sz w:val="24"/>
          <w:szCs w:val="32"/>
          <w:lang w:eastAsia="zh-CN"/>
        </w:rPr>
        <w:lastRenderedPageBreak/>
        <w:t>Sales of ordinary teabags drops, while other tea grows</w:t>
      </w:r>
    </w:p>
    <w:p w14:paraId="492765A9" w14:textId="16B3D3AE" w:rsidR="00874916" w:rsidRDefault="00874916" w:rsidP="00663C2D">
      <w:pPr>
        <w:autoSpaceDE w:val="0"/>
        <w:autoSpaceDN w:val="0"/>
        <w:adjustRightInd w:val="0"/>
        <w:spacing w:after="100" w:afterAutospacing="1"/>
        <w:rPr>
          <w:szCs w:val="21"/>
          <w:highlight w:val="white"/>
        </w:rPr>
      </w:pPr>
      <w:r w:rsidRPr="00663C2D">
        <w:rPr>
          <w:szCs w:val="21"/>
          <w:highlight w:val="white"/>
        </w:rPr>
        <w:t>This poor performance, however, masks very contrasting performances from the different segments within the tea market. The downfall is almost completely attributable to diminishing sales of ordinary teabags, which dominate the market. Meanw</w:t>
      </w:r>
      <w:r w:rsidR="00663C2D">
        <w:rPr>
          <w:szCs w:val="21"/>
          <w:highlight w:val="white"/>
        </w:rPr>
        <w:t>hile, fruit/herbal tea, special</w:t>
      </w:r>
      <w:r w:rsidRPr="00663C2D">
        <w:rPr>
          <w:szCs w:val="21"/>
          <w:highlight w:val="white"/>
        </w:rPr>
        <w:t>ty tea and green tea continue to enjoy strong growth (Figure</w:t>
      </w:r>
      <w:r w:rsidRPr="00663C2D">
        <w:rPr>
          <w:rFonts w:hint="eastAsia"/>
          <w:szCs w:val="21"/>
          <w:highlight w:val="white"/>
        </w:rPr>
        <w:t xml:space="preserve"> 4</w:t>
      </w:r>
      <w:r w:rsidRPr="00663C2D">
        <w:rPr>
          <w:szCs w:val="21"/>
          <w:highlight w:val="white"/>
        </w:rPr>
        <w:t>). As such, these segments have become hotbeds of innovation activity.</w:t>
      </w:r>
      <w:r w:rsidRPr="002C524B">
        <w:rPr>
          <w:szCs w:val="21"/>
          <w:highlight w:val="white"/>
        </w:rPr>
        <w:t xml:space="preserve"> Sales of ordinary teabags dropped 17.5</w:t>
      </w:r>
      <w:r w:rsidR="00663C2D">
        <w:rPr>
          <w:szCs w:val="21"/>
          <w:highlight w:val="white"/>
        </w:rPr>
        <w:t xml:space="preserve"> percent </w:t>
      </w:r>
      <w:r w:rsidRPr="002C524B">
        <w:rPr>
          <w:szCs w:val="21"/>
          <w:highlight w:val="white"/>
        </w:rPr>
        <w:t>in two years, falling from 80</w:t>
      </w:r>
      <w:r w:rsidR="00663C2D">
        <w:rPr>
          <w:szCs w:val="21"/>
          <w:highlight w:val="white"/>
        </w:rPr>
        <w:t xml:space="preserve"> million </w:t>
      </w:r>
      <w:r w:rsidRPr="002C524B">
        <w:rPr>
          <w:szCs w:val="21"/>
          <w:highlight w:val="white"/>
        </w:rPr>
        <w:t>kg in 2012 to 66</w:t>
      </w:r>
      <w:r w:rsidR="00663C2D">
        <w:rPr>
          <w:szCs w:val="21"/>
          <w:highlight w:val="white"/>
        </w:rPr>
        <w:t xml:space="preserve"> million </w:t>
      </w:r>
      <w:r w:rsidRPr="002C524B">
        <w:rPr>
          <w:szCs w:val="21"/>
          <w:highlight w:val="white"/>
        </w:rPr>
        <w:t>kg in 2014.</w:t>
      </w:r>
    </w:p>
    <w:p w14:paraId="49A66369" w14:textId="3A3C936B" w:rsidR="00663C2D" w:rsidRPr="00663C2D" w:rsidRDefault="00663C2D" w:rsidP="00663C2D">
      <w:pPr>
        <w:pStyle w:val="Caption"/>
        <w:spacing w:line="360" w:lineRule="auto"/>
        <w:jc w:val="center"/>
        <w:rPr>
          <w:b/>
          <w:i w:val="0"/>
          <w:sz w:val="28"/>
          <w:szCs w:val="28"/>
        </w:rPr>
      </w:pPr>
      <w:r w:rsidRPr="00663C2D">
        <w:rPr>
          <w:b/>
          <w:i w:val="0"/>
          <w:sz w:val="28"/>
          <w:szCs w:val="28"/>
        </w:rPr>
        <w:t xml:space="preserve">Figure </w:t>
      </w:r>
      <w:r w:rsidRPr="00663C2D">
        <w:rPr>
          <w:rFonts w:hint="eastAsia"/>
          <w:b/>
          <w:i w:val="0"/>
          <w:sz w:val="28"/>
          <w:szCs w:val="28"/>
        </w:rPr>
        <w:t xml:space="preserve">4: </w:t>
      </w:r>
      <w:r w:rsidRPr="00663C2D">
        <w:rPr>
          <w:b/>
          <w:i w:val="0"/>
          <w:sz w:val="28"/>
          <w:szCs w:val="28"/>
        </w:rPr>
        <w:t>Ordinary tea is suffering but novelty teas are growing in UK</w:t>
      </w:r>
    </w:p>
    <w:p w14:paraId="0773E129" w14:textId="0718489D" w:rsidR="00874916" w:rsidRPr="00663C2D" w:rsidRDefault="00874916" w:rsidP="00874916">
      <w:pPr>
        <w:pStyle w:val="Caption"/>
        <w:spacing w:line="360" w:lineRule="auto"/>
        <w:jc w:val="center"/>
        <w:rPr>
          <w:b/>
          <w:i w:val="0"/>
          <w:sz w:val="28"/>
          <w:szCs w:val="28"/>
        </w:rPr>
      </w:pPr>
      <w:r w:rsidRPr="002C524B">
        <w:rPr>
          <w:noProof/>
        </w:rPr>
        <w:drawing>
          <wp:inline distT="0" distB="0" distL="0" distR="0" wp14:anchorId="0FA7B0F6" wp14:editId="6D746D67">
            <wp:extent cx="5486400" cy="2452370"/>
            <wp:effectExtent l="0" t="0" r="0" b="0"/>
            <wp:docPr id="13" name="图表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0391906E" w14:textId="77777777" w:rsidR="00874916" w:rsidRPr="00663C2D" w:rsidRDefault="00874916" w:rsidP="00874916">
      <w:pPr>
        <w:pStyle w:val="Caption"/>
        <w:spacing w:line="360" w:lineRule="auto"/>
        <w:jc w:val="center"/>
        <w:rPr>
          <w:i w:val="0"/>
          <w:sz w:val="18"/>
          <w:szCs w:val="18"/>
        </w:rPr>
      </w:pPr>
      <w:r w:rsidRPr="00663C2D">
        <w:rPr>
          <w:b/>
          <w:i w:val="0"/>
          <w:sz w:val="18"/>
          <w:szCs w:val="18"/>
        </w:rPr>
        <w:t>Source:</w:t>
      </w:r>
      <w:r w:rsidRPr="00663C2D">
        <w:rPr>
          <w:i w:val="0"/>
          <w:sz w:val="18"/>
          <w:szCs w:val="18"/>
        </w:rPr>
        <w:t xml:space="preserve"> Mintel</w:t>
      </w:r>
    </w:p>
    <w:p w14:paraId="025E77B9" w14:textId="77777777" w:rsidR="00874916" w:rsidRPr="00663C2D" w:rsidRDefault="00874916" w:rsidP="00663C2D">
      <w:pPr>
        <w:pStyle w:val="Heading2"/>
        <w:keepLines/>
        <w:widowControl w:val="0"/>
        <w:numPr>
          <w:ilvl w:val="1"/>
          <w:numId w:val="25"/>
        </w:numPr>
        <w:pBdr>
          <w:top w:val="none" w:sz="0" w:space="0" w:color="auto"/>
          <w:bottom w:val="none" w:sz="0" w:space="0" w:color="auto"/>
        </w:pBdr>
        <w:shd w:val="clear" w:color="auto" w:fill="auto"/>
        <w:spacing w:before="260" w:after="260" w:line="416" w:lineRule="auto"/>
        <w:jc w:val="both"/>
        <w:rPr>
          <w:rFonts w:ascii="Times New Roman" w:eastAsiaTheme="majorEastAsia" w:hAnsi="Times New Roman" w:cstheme="majorBidi"/>
          <w:bCs/>
          <w:color w:val="auto"/>
          <w:kern w:val="2"/>
          <w:sz w:val="24"/>
          <w:szCs w:val="32"/>
          <w:lang w:eastAsia="zh-CN"/>
        </w:rPr>
      </w:pPr>
      <w:r w:rsidRPr="00663C2D">
        <w:rPr>
          <w:rFonts w:ascii="Times New Roman" w:eastAsiaTheme="majorEastAsia" w:hAnsi="Times New Roman" w:cstheme="majorBidi"/>
          <w:bCs/>
          <w:color w:val="auto"/>
          <w:kern w:val="2"/>
          <w:sz w:val="24"/>
          <w:szCs w:val="32"/>
          <w:lang w:eastAsia="zh-CN"/>
        </w:rPr>
        <w:t>Tea consumption style in the United Kingdom</w:t>
      </w:r>
    </w:p>
    <w:p w14:paraId="7D23AAAD" w14:textId="69A42B14" w:rsidR="00874916" w:rsidRDefault="00B575B0" w:rsidP="00663C2D">
      <w:pPr>
        <w:autoSpaceDE w:val="0"/>
        <w:autoSpaceDN w:val="0"/>
        <w:adjustRightInd w:val="0"/>
        <w:spacing w:after="100" w:afterAutospacing="1"/>
        <w:rPr>
          <w:szCs w:val="21"/>
          <w:highlight w:val="white"/>
        </w:rPr>
      </w:pPr>
      <w:r>
        <w:rPr>
          <w:szCs w:val="21"/>
          <w:highlight w:val="white"/>
        </w:rPr>
        <w:t xml:space="preserve">Figure 5 </w:t>
      </w:r>
      <w:r w:rsidR="00874916" w:rsidRPr="002C524B">
        <w:rPr>
          <w:szCs w:val="21"/>
          <w:highlight w:val="white"/>
        </w:rPr>
        <w:t xml:space="preserve">displays how individuals in the United Kingdom prefer to take their tea in 2016. Of respondents, over 34 percent take their tea with </w:t>
      </w:r>
      <w:r>
        <w:rPr>
          <w:szCs w:val="21"/>
          <w:highlight w:val="white"/>
        </w:rPr>
        <w:t>milk and no sugar. A further 16 </w:t>
      </w:r>
      <w:r w:rsidR="00874916" w:rsidRPr="002C524B">
        <w:rPr>
          <w:szCs w:val="21"/>
          <w:highlight w:val="white"/>
        </w:rPr>
        <w:t>percent prefer to take tea with milk and two or more sugars.</w:t>
      </w:r>
    </w:p>
    <w:p w14:paraId="323901DB" w14:textId="5613E747" w:rsidR="00B575B0" w:rsidRPr="00B575B0" w:rsidRDefault="00B575B0" w:rsidP="00B575B0">
      <w:pPr>
        <w:autoSpaceDE w:val="0"/>
        <w:autoSpaceDN w:val="0"/>
        <w:adjustRightInd w:val="0"/>
        <w:spacing w:after="100" w:afterAutospacing="1"/>
        <w:rPr>
          <w:szCs w:val="21"/>
          <w:highlight w:val="white"/>
        </w:rPr>
      </w:pPr>
      <w:r w:rsidRPr="00B575B0">
        <w:rPr>
          <w:szCs w:val="21"/>
          <w:highlight w:val="white"/>
        </w:rPr>
        <w:t xml:space="preserve">The future of tea is both positive and bleak dependent on perspective. As millennial consumers continue to explore the more novel variants of green tea and fruit/herbal tea, black standard tea, the cultural mainstay of the UK, keeps losing share. Bucking this trend, however, will be </w:t>
      </w:r>
      <w:r>
        <w:rPr>
          <w:szCs w:val="21"/>
          <w:highlight w:val="white"/>
        </w:rPr>
        <w:t>the increased role that special</w:t>
      </w:r>
      <w:r w:rsidRPr="00B575B0">
        <w:rPr>
          <w:szCs w:val="21"/>
          <w:highlight w:val="white"/>
        </w:rPr>
        <w:t>ty tea brands will play.</w:t>
      </w:r>
    </w:p>
    <w:p w14:paraId="2C83033C" w14:textId="77777777" w:rsidR="00B575B0" w:rsidRDefault="00B575B0" w:rsidP="00663C2D">
      <w:pPr>
        <w:autoSpaceDE w:val="0"/>
        <w:autoSpaceDN w:val="0"/>
        <w:adjustRightInd w:val="0"/>
        <w:spacing w:after="100" w:afterAutospacing="1"/>
        <w:rPr>
          <w:szCs w:val="21"/>
          <w:highlight w:val="white"/>
        </w:rPr>
      </w:pPr>
    </w:p>
    <w:p w14:paraId="12C259DC" w14:textId="77777777" w:rsidR="00B575B0" w:rsidRDefault="00B575B0">
      <w:pPr>
        <w:rPr>
          <w:b/>
          <w:sz w:val="28"/>
          <w:szCs w:val="28"/>
        </w:rPr>
      </w:pPr>
      <w:r>
        <w:rPr>
          <w:b/>
          <w:i/>
          <w:sz w:val="28"/>
          <w:szCs w:val="28"/>
        </w:rPr>
        <w:br w:type="page"/>
      </w:r>
    </w:p>
    <w:p w14:paraId="17C26405" w14:textId="549C7F09" w:rsidR="00B575B0" w:rsidRPr="00B575B0" w:rsidRDefault="00B575B0" w:rsidP="00B575B0">
      <w:pPr>
        <w:pStyle w:val="Caption"/>
        <w:spacing w:line="360" w:lineRule="auto"/>
        <w:jc w:val="center"/>
        <w:rPr>
          <w:b/>
          <w:i w:val="0"/>
          <w:sz w:val="28"/>
          <w:szCs w:val="28"/>
        </w:rPr>
      </w:pPr>
      <w:r w:rsidRPr="00B575B0">
        <w:rPr>
          <w:b/>
          <w:i w:val="0"/>
          <w:sz w:val="28"/>
          <w:szCs w:val="28"/>
        </w:rPr>
        <w:lastRenderedPageBreak/>
        <w:t>Figure</w:t>
      </w:r>
      <w:r w:rsidRPr="00B575B0">
        <w:rPr>
          <w:rFonts w:hint="eastAsia"/>
          <w:b/>
          <w:i w:val="0"/>
          <w:sz w:val="28"/>
          <w:szCs w:val="28"/>
        </w:rPr>
        <w:t xml:space="preserve"> 5:</w:t>
      </w:r>
      <w:r w:rsidRPr="00B575B0">
        <w:rPr>
          <w:b/>
          <w:i w:val="0"/>
          <w:sz w:val="28"/>
          <w:szCs w:val="28"/>
        </w:rPr>
        <w:t xml:space="preserve"> Tea consumption by style in the United Kingdom (UK) 2016</w:t>
      </w:r>
    </w:p>
    <w:p w14:paraId="391FE5DF" w14:textId="77777777" w:rsidR="00B575B0" w:rsidRPr="002C524B" w:rsidRDefault="00B575B0" w:rsidP="00663C2D">
      <w:pPr>
        <w:autoSpaceDE w:val="0"/>
        <w:autoSpaceDN w:val="0"/>
        <w:adjustRightInd w:val="0"/>
        <w:spacing w:after="100" w:afterAutospacing="1"/>
        <w:rPr>
          <w:szCs w:val="21"/>
          <w:highlight w:val="white"/>
        </w:rPr>
      </w:pPr>
    </w:p>
    <w:p w14:paraId="5C57B113" w14:textId="77777777" w:rsidR="00874916" w:rsidRPr="002C524B" w:rsidRDefault="00874916" w:rsidP="00874916">
      <w:pPr>
        <w:autoSpaceDE w:val="0"/>
        <w:autoSpaceDN w:val="0"/>
        <w:adjustRightInd w:val="0"/>
        <w:jc w:val="center"/>
        <w:rPr>
          <w:noProof/>
        </w:rPr>
      </w:pPr>
      <w:r w:rsidRPr="002C524B">
        <w:rPr>
          <w:noProof/>
        </w:rPr>
        <w:drawing>
          <wp:inline distT="0" distB="0" distL="0" distR="0" wp14:anchorId="3E6CD88C" wp14:editId="70BC4B92">
            <wp:extent cx="4930140" cy="2680335"/>
            <wp:effectExtent l="0" t="0" r="3810" b="5715"/>
            <wp:docPr id="14" name="图表 14"/>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14:paraId="0E20AAA8" w14:textId="21B1BB47" w:rsidR="00874916" w:rsidRPr="002C524B" w:rsidRDefault="00874916" w:rsidP="00874916">
      <w:pPr>
        <w:autoSpaceDE w:val="0"/>
        <w:autoSpaceDN w:val="0"/>
        <w:adjustRightInd w:val="0"/>
        <w:spacing w:line="360" w:lineRule="auto"/>
        <w:jc w:val="center"/>
        <w:rPr>
          <w:b/>
          <w:bCs/>
          <w:sz w:val="18"/>
          <w:szCs w:val="18"/>
          <w:highlight w:val="white"/>
        </w:rPr>
      </w:pPr>
      <w:r w:rsidRPr="002C524B">
        <w:rPr>
          <w:b/>
          <w:bCs/>
          <w:sz w:val="18"/>
          <w:szCs w:val="18"/>
          <w:highlight w:val="white"/>
        </w:rPr>
        <w:t>Source</w:t>
      </w:r>
      <w:r w:rsidR="00B575B0">
        <w:rPr>
          <w:b/>
          <w:bCs/>
          <w:sz w:val="18"/>
          <w:szCs w:val="18"/>
          <w:highlight w:val="white"/>
        </w:rPr>
        <w:t>:</w:t>
      </w:r>
      <w:r w:rsidRPr="00B575B0">
        <w:rPr>
          <w:bCs/>
          <w:sz w:val="18"/>
          <w:szCs w:val="18"/>
          <w:highlight w:val="white"/>
        </w:rPr>
        <w:t> </w:t>
      </w:r>
      <w:r w:rsidR="00B575B0">
        <w:rPr>
          <w:bCs/>
          <w:sz w:val="18"/>
          <w:szCs w:val="18"/>
          <w:highlight w:val="white"/>
        </w:rPr>
        <w:t>Survey on “</w:t>
      </w:r>
      <w:r w:rsidR="00B575B0" w:rsidRPr="00B575B0">
        <w:rPr>
          <w:bCs/>
          <w:sz w:val="18"/>
          <w:szCs w:val="18"/>
          <w:highlight w:val="white"/>
        </w:rPr>
        <w:t>How do you take your tea?”</w:t>
      </w:r>
      <w:r w:rsidR="00B575B0">
        <w:rPr>
          <w:bCs/>
          <w:sz w:val="18"/>
          <w:szCs w:val="18"/>
          <w:highlight w:val="white"/>
        </w:rPr>
        <w:t xml:space="preserve"> -</w:t>
      </w:r>
      <w:r w:rsidR="00B575B0" w:rsidRPr="00B575B0">
        <w:rPr>
          <w:bCs/>
          <w:sz w:val="18"/>
          <w:szCs w:val="18"/>
          <w:highlight w:val="white"/>
        </w:rPr>
        <w:t xml:space="preserve"> </w:t>
      </w:r>
      <w:r w:rsidRPr="00B575B0">
        <w:rPr>
          <w:bCs/>
          <w:sz w:val="18"/>
          <w:szCs w:val="18"/>
          <w:highlight w:val="white"/>
        </w:rPr>
        <w:t>Statista 2017</w:t>
      </w:r>
      <w:r w:rsidR="00B575B0">
        <w:rPr>
          <w:bCs/>
          <w:sz w:val="18"/>
          <w:szCs w:val="18"/>
          <w:highlight w:val="white"/>
        </w:rPr>
        <w:t>.</w:t>
      </w:r>
    </w:p>
    <w:p w14:paraId="163FA8BB" w14:textId="77777777" w:rsidR="00874916" w:rsidRPr="002C524B" w:rsidRDefault="00874916" w:rsidP="00874916">
      <w:pPr>
        <w:autoSpaceDE w:val="0"/>
        <w:autoSpaceDN w:val="0"/>
        <w:adjustRightInd w:val="0"/>
        <w:spacing w:afterLines="100" w:after="240"/>
        <w:jc w:val="center"/>
        <w:rPr>
          <w:sz w:val="18"/>
          <w:szCs w:val="18"/>
          <w:highlight w:val="white"/>
        </w:rPr>
      </w:pPr>
      <w:r w:rsidRPr="00B575B0">
        <w:rPr>
          <w:b/>
          <w:sz w:val="18"/>
          <w:szCs w:val="18"/>
          <w:highlight w:val="white"/>
        </w:rPr>
        <w:t>Note:</w:t>
      </w:r>
      <w:r w:rsidRPr="002C524B">
        <w:rPr>
          <w:sz w:val="18"/>
          <w:szCs w:val="18"/>
          <w:highlight w:val="white"/>
        </w:rPr>
        <w:t xml:space="preserve"> The source did not provide the number of respondents.</w:t>
      </w:r>
    </w:p>
    <w:p w14:paraId="529773DE" w14:textId="19F56F26" w:rsidR="00874916" w:rsidRPr="00B575B0" w:rsidRDefault="008469AC" w:rsidP="00B575B0">
      <w:pPr>
        <w:pStyle w:val="2"/>
        <w:spacing w:after="120" w:line="240" w:lineRule="auto"/>
        <w:ind w:hanging="864"/>
        <w:rPr>
          <w:sz w:val="30"/>
          <w:szCs w:val="30"/>
        </w:rPr>
      </w:pPr>
      <w:r>
        <w:rPr>
          <w:sz w:val="30"/>
          <w:szCs w:val="30"/>
        </w:rPr>
        <w:t>Canadian</w:t>
      </w:r>
      <w:r w:rsidR="00874916" w:rsidRPr="00B575B0">
        <w:rPr>
          <w:rFonts w:hint="eastAsia"/>
          <w:sz w:val="30"/>
          <w:szCs w:val="30"/>
        </w:rPr>
        <w:t xml:space="preserve"> </w:t>
      </w:r>
      <w:r w:rsidR="00874916" w:rsidRPr="00B575B0">
        <w:rPr>
          <w:sz w:val="30"/>
          <w:szCs w:val="30"/>
        </w:rPr>
        <w:t>tea market</w:t>
      </w:r>
    </w:p>
    <w:p w14:paraId="1744F8F9" w14:textId="0EB6C674" w:rsidR="00874916" w:rsidRPr="00B575B0" w:rsidRDefault="00874916" w:rsidP="00B575B0">
      <w:pPr>
        <w:autoSpaceDE w:val="0"/>
        <w:autoSpaceDN w:val="0"/>
        <w:adjustRightInd w:val="0"/>
        <w:spacing w:after="100" w:afterAutospacing="1"/>
        <w:rPr>
          <w:szCs w:val="21"/>
          <w:highlight w:val="white"/>
        </w:rPr>
      </w:pPr>
      <w:r w:rsidRPr="00B575B0">
        <w:rPr>
          <w:szCs w:val="21"/>
          <w:highlight w:val="white"/>
        </w:rPr>
        <w:t>Retail sales of tea, which includes black tea, green tea, fruit/herbal tea and other tea, increased by 3</w:t>
      </w:r>
      <w:r w:rsidR="00B575B0">
        <w:rPr>
          <w:szCs w:val="21"/>
          <w:highlight w:val="white"/>
        </w:rPr>
        <w:t xml:space="preserve"> percent </w:t>
      </w:r>
      <w:r w:rsidRPr="00B575B0">
        <w:rPr>
          <w:szCs w:val="21"/>
          <w:highlight w:val="white"/>
        </w:rPr>
        <w:t>in volume terms and by 10</w:t>
      </w:r>
      <w:r w:rsidR="00B575B0">
        <w:rPr>
          <w:szCs w:val="21"/>
          <w:highlight w:val="white"/>
        </w:rPr>
        <w:t xml:space="preserve"> percent </w:t>
      </w:r>
      <w:r w:rsidRPr="00B575B0">
        <w:rPr>
          <w:szCs w:val="21"/>
          <w:highlight w:val="white"/>
        </w:rPr>
        <w:t>in current value terms in 2016</w:t>
      </w:r>
      <w:r w:rsidRPr="00B575B0">
        <w:rPr>
          <w:rFonts w:hint="eastAsia"/>
          <w:szCs w:val="21"/>
          <w:highlight w:val="white"/>
        </w:rPr>
        <w:t xml:space="preserve">. </w:t>
      </w:r>
      <w:r w:rsidRPr="00B575B0">
        <w:rPr>
          <w:szCs w:val="21"/>
          <w:highlight w:val="white"/>
        </w:rPr>
        <w:t>The most significant drivers behind the strong growth, particularly in value sales, include the rising popularity of loose leaf tea, the expansion of special</w:t>
      </w:r>
      <w:r w:rsidR="00B575B0">
        <w:rPr>
          <w:szCs w:val="21"/>
          <w:highlight w:val="white"/>
        </w:rPr>
        <w:t>ty tea retailers</w:t>
      </w:r>
      <w:r w:rsidRPr="00B575B0">
        <w:rPr>
          <w:szCs w:val="21"/>
          <w:highlight w:val="white"/>
        </w:rPr>
        <w:t xml:space="preserve"> </w:t>
      </w:r>
      <w:r w:rsidRPr="00B575B0">
        <w:rPr>
          <w:rFonts w:hint="eastAsia"/>
          <w:szCs w:val="21"/>
          <w:highlight w:val="white"/>
        </w:rPr>
        <w:t>and the</w:t>
      </w:r>
      <w:r w:rsidRPr="00B575B0">
        <w:rPr>
          <w:szCs w:val="21"/>
          <w:highlight w:val="white"/>
        </w:rPr>
        <w:t xml:space="preserve"> marked increase in fruit/herbal tea offerings</w:t>
      </w:r>
      <w:r w:rsidRPr="00B575B0">
        <w:rPr>
          <w:rFonts w:hint="eastAsia"/>
          <w:szCs w:val="21"/>
          <w:highlight w:val="white"/>
        </w:rPr>
        <w:t>.</w:t>
      </w:r>
    </w:p>
    <w:p w14:paraId="4C101C75" w14:textId="5C47B7EE" w:rsidR="00874916" w:rsidRDefault="00874916" w:rsidP="00B575B0">
      <w:pPr>
        <w:autoSpaceDE w:val="0"/>
        <w:autoSpaceDN w:val="0"/>
        <w:adjustRightInd w:val="0"/>
        <w:spacing w:after="100" w:afterAutospacing="1"/>
        <w:rPr>
          <w:szCs w:val="21"/>
          <w:highlight w:val="white"/>
        </w:rPr>
      </w:pPr>
      <w:r w:rsidRPr="00B575B0">
        <w:rPr>
          <w:szCs w:val="21"/>
          <w:highlight w:val="white"/>
        </w:rPr>
        <w:t xml:space="preserve">When consumers </w:t>
      </w:r>
      <w:r w:rsidR="00B575B0">
        <w:rPr>
          <w:szCs w:val="21"/>
          <w:highlight w:val="white"/>
        </w:rPr>
        <w:t xml:space="preserve">in Canada </w:t>
      </w:r>
      <w:r w:rsidRPr="00B575B0">
        <w:rPr>
          <w:szCs w:val="21"/>
          <w:highlight w:val="white"/>
        </w:rPr>
        <w:t>were asked</w:t>
      </w:r>
      <w:r w:rsidR="00B575B0">
        <w:rPr>
          <w:szCs w:val="21"/>
          <w:highlight w:val="white"/>
        </w:rPr>
        <w:t>,</w:t>
      </w:r>
      <w:r w:rsidRPr="00B575B0">
        <w:rPr>
          <w:szCs w:val="21"/>
          <w:highlight w:val="white"/>
        </w:rPr>
        <w:t xml:space="preserve"> “Which of the following types of tea have you consumed in the last month</w:t>
      </w:r>
      <w:r w:rsidR="00B575B0">
        <w:rPr>
          <w:szCs w:val="21"/>
          <w:highlight w:val="white"/>
        </w:rPr>
        <w:t>?”</w:t>
      </w:r>
      <w:r w:rsidR="008B24D9">
        <w:rPr>
          <w:szCs w:val="21"/>
          <w:highlight w:val="white"/>
        </w:rPr>
        <w:t>,</w:t>
      </w:r>
      <w:r w:rsidR="00B575B0">
        <w:rPr>
          <w:szCs w:val="21"/>
          <w:highlight w:val="white"/>
        </w:rPr>
        <w:t xml:space="preserve"> </w:t>
      </w:r>
      <w:r w:rsidRPr="00B575B0">
        <w:rPr>
          <w:szCs w:val="21"/>
          <w:highlight w:val="white"/>
        </w:rPr>
        <w:t>39</w:t>
      </w:r>
      <w:r w:rsidR="00B575B0">
        <w:rPr>
          <w:szCs w:val="21"/>
          <w:highlight w:val="white"/>
        </w:rPr>
        <w:t xml:space="preserve"> percent </w:t>
      </w:r>
      <w:r w:rsidR="002A0F23">
        <w:rPr>
          <w:szCs w:val="21"/>
          <w:highlight w:val="white"/>
        </w:rPr>
        <w:t xml:space="preserve">replied </w:t>
      </w:r>
      <w:r w:rsidRPr="00B575B0">
        <w:rPr>
          <w:szCs w:val="21"/>
          <w:highlight w:val="white"/>
        </w:rPr>
        <w:t>green tea, 36</w:t>
      </w:r>
      <w:r w:rsidR="002A0F23">
        <w:rPr>
          <w:szCs w:val="21"/>
          <w:highlight w:val="white"/>
        </w:rPr>
        <w:t xml:space="preserve"> percent </w:t>
      </w:r>
      <w:r w:rsidRPr="00B575B0">
        <w:rPr>
          <w:szCs w:val="21"/>
          <w:highlight w:val="white"/>
        </w:rPr>
        <w:t>black tea</w:t>
      </w:r>
      <w:r w:rsidR="002A0F23">
        <w:rPr>
          <w:szCs w:val="21"/>
          <w:highlight w:val="white"/>
        </w:rPr>
        <w:t xml:space="preserve"> </w:t>
      </w:r>
      <w:r w:rsidRPr="00B575B0">
        <w:rPr>
          <w:szCs w:val="21"/>
          <w:highlight w:val="white"/>
        </w:rPr>
        <w:t xml:space="preserve">and the </w:t>
      </w:r>
      <w:r w:rsidR="002A0F23">
        <w:rPr>
          <w:szCs w:val="21"/>
          <w:highlight w:val="white"/>
        </w:rPr>
        <w:t xml:space="preserve">remaining 27 percent </w:t>
      </w:r>
      <w:r w:rsidRPr="00B575B0">
        <w:rPr>
          <w:szCs w:val="21"/>
          <w:highlight w:val="white"/>
        </w:rPr>
        <w:t>fruit/herbal/botanical tea</w:t>
      </w:r>
      <w:r w:rsidRPr="00B575B0">
        <w:rPr>
          <w:rFonts w:hint="eastAsia"/>
          <w:szCs w:val="21"/>
          <w:highlight w:val="white"/>
        </w:rPr>
        <w:t xml:space="preserve"> (</w:t>
      </w:r>
      <w:r w:rsidRPr="00B575B0">
        <w:rPr>
          <w:szCs w:val="21"/>
          <w:highlight w:val="white"/>
        </w:rPr>
        <w:t>Figure</w:t>
      </w:r>
      <w:r w:rsidRPr="00B575B0">
        <w:rPr>
          <w:rFonts w:hint="eastAsia"/>
          <w:szCs w:val="21"/>
          <w:highlight w:val="white"/>
        </w:rPr>
        <w:t xml:space="preserve"> 6)</w:t>
      </w:r>
      <w:r w:rsidRPr="00B575B0">
        <w:rPr>
          <w:szCs w:val="21"/>
          <w:highlight w:val="white"/>
        </w:rPr>
        <w:t>.</w:t>
      </w:r>
      <w:r w:rsidRPr="00B575B0">
        <w:rPr>
          <w:rFonts w:hint="eastAsia"/>
          <w:szCs w:val="21"/>
          <w:highlight w:val="white"/>
        </w:rPr>
        <w:t xml:space="preserve"> </w:t>
      </w:r>
      <w:r w:rsidR="008B24D9">
        <w:rPr>
          <w:szCs w:val="21"/>
          <w:highlight w:val="white"/>
        </w:rPr>
        <w:t>A</w:t>
      </w:r>
      <w:r w:rsidRPr="00B575B0">
        <w:rPr>
          <w:rFonts w:hint="eastAsia"/>
          <w:szCs w:val="21"/>
          <w:highlight w:val="white"/>
        </w:rPr>
        <w:t xml:space="preserve">bout half of </w:t>
      </w:r>
      <w:r w:rsidRPr="00B575B0">
        <w:rPr>
          <w:szCs w:val="21"/>
          <w:highlight w:val="white"/>
        </w:rPr>
        <w:t>Canadian</w:t>
      </w:r>
      <w:r w:rsidRPr="00B575B0">
        <w:rPr>
          <w:rFonts w:hint="eastAsia"/>
          <w:szCs w:val="21"/>
          <w:highlight w:val="white"/>
        </w:rPr>
        <w:t xml:space="preserve"> tea drinkers buy </w:t>
      </w:r>
      <w:r w:rsidR="008B24D9">
        <w:rPr>
          <w:szCs w:val="21"/>
          <w:highlight w:val="white"/>
        </w:rPr>
        <w:t xml:space="preserve">their </w:t>
      </w:r>
      <w:r w:rsidRPr="00B575B0">
        <w:rPr>
          <w:rFonts w:hint="eastAsia"/>
          <w:szCs w:val="21"/>
          <w:highlight w:val="white"/>
        </w:rPr>
        <w:t>tea from grocery stores, and only 12</w:t>
      </w:r>
      <w:r w:rsidR="008B24D9">
        <w:rPr>
          <w:szCs w:val="21"/>
          <w:highlight w:val="white"/>
        </w:rPr>
        <w:t xml:space="preserve"> percent </w:t>
      </w:r>
      <w:r w:rsidRPr="00B575B0">
        <w:rPr>
          <w:rFonts w:hint="eastAsia"/>
          <w:szCs w:val="21"/>
          <w:highlight w:val="white"/>
        </w:rPr>
        <w:t xml:space="preserve">buy </w:t>
      </w:r>
      <w:r w:rsidR="008B24D9">
        <w:rPr>
          <w:szCs w:val="21"/>
          <w:highlight w:val="white"/>
        </w:rPr>
        <w:t xml:space="preserve">it </w:t>
      </w:r>
      <w:r w:rsidRPr="00B575B0">
        <w:rPr>
          <w:rFonts w:hint="eastAsia"/>
          <w:szCs w:val="21"/>
          <w:highlight w:val="white"/>
        </w:rPr>
        <w:t>from specialty tea shop</w:t>
      </w:r>
      <w:r w:rsidR="008B24D9">
        <w:rPr>
          <w:szCs w:val="21"/>
          <w:highlight w:val="white"/>
        </w:rPr>
        <w:t>s</w:t>
      </w:r>
      <w:r w:rsidRPr="00B575B0">
        <w:rPr>
          <w:rFonts w:hint="eastAsia"/>
          <w:szCs w:val="21"/>
          <w:highlight w:val="white"/>
        </w:rPr>
        <w:t xml:space="preserve"> (</w:t>
      </w:r>
      <w:r w:rsidRPr="00B575B0">
        <w:rPr>
          <w:szCs w:val="21"/>
          <w:highlight w:val="white"/>
        </w:rPr>
        <w:t>Figure</w:t>
      </w:r>
      <w:r w:rsidR="008B24D9">
        <w:rPr>
          <w:rFonts w:hint="eastAsia"/>
          <w:szCs w:val="21"/>
          <w:highlight w:val="white"/>
        </w:rPr>
        <w:t xml:space="preserve"> 7)</w:t>
      </w:r>
      <w:r w:rsidRPr="00B575B0">
        <w:rPr>
          <w:rFonts w:hint="eastAsia"/>
          <w:szCs w:val="21"/>
          <w:highlight w:val="white"/>
        </w:rPr>
        <w:t>.</w:t>
      </w:r>
    </w:p>
    <w:p w14:paraId="4667FCAD" w14:textId="77777777" w:rsidR="008B24D9" w:rsidRDefault="008B24D9" w:rsidP="00B575B0">
      <w:pPr>
        <w:autoSpaceDE w:val="0"/>
        <w:autoSpaceDN w:val="0"/>
        <w:adjustRightInd w:val="0"/>
        <w:spacing w:after="100" w:afterAutospacing="1"/>
        <w:rPr>
          <w:szCs w:val="21"/>
          <w:highlight w:val="white"/>
        </w:rPr>
      </w:pPr>
    </w:p>
    <w:p w14:paraId="3953ED34" w14:textId="77777777" w:rsidR="008B24D9" w:rsidRDefault="008B24D9">
      <w:pPr>
        <w:rPr>
          <w:b/>
          <w:sz w:val="28"/>
          <w:szCs w:val="28"/>
        </w:rPr>
      </w:pPr>
      <w:bookmarkStart w:id="3" w:name="_Ref485109912"/>
      <w:r>
        <w:rPr>
          <w:b/>
          <w:i/>
          <w:sz w:val="28"/>
          <w:szCs w:val="28"/>
        </w:rPr>
        <w:br w:type="page"/>
      </w:r>
    </w:p>
    <w:p w14:paraId="1E55632C" w14:textId="75808CAA" w:rsidR="008B24D9" w:rsidRPr="00B575B0" w:rsidRDefault="008B24D9" w:rsidP="008B24D9">
      <w:pPr>
        <w:pStyle w:val="Caption"/>
        <w:spacing w:line="360" w:lineRule="auto"/>
        <w:jc w:val="center"/>
        <w:rPr>
          <w:szCs w:val="21"/>
          <w:highlight w:val="white"/>
        </w:rPr>
      </w:pPr>
      <w:r w:rsidRPr="008B24D9">
        <w:rPr>
          <w:b/>
          <w:i w:val="0"/>
          <w:sz w:val="28"/>
          <w:szCs w:val="28"/>
        </w:rPr>
        <w:lastRenderedPageBreak/>
        <w:t>Figure</w:t>
      </w:r>
      <w:bookmarkEnd w:id="3"/>
      <w:r w:rsidRPr="008B24D9">
        <w:rPr>
          <w:rFonts w:hint="eastAsia"/>
          <w:b/>
          <w:i w:val="0"/>
          <w:sz w:val="28"/>
          <w:szCs w:val="28"/>
        </w:rPr>
        <w:t xml:space="preserve"> 6:</w:t>
      </w:r>
      <w:r w:rsidRPr="008B24D9">
        <w:rPr>
          <w:b/>
          <w:i w:val="0"/>
          <w:sz w:val="28"/>
          <w:szCs w:val="28"/>
        </w:rPr>
        <w:t xml:space="preserve"> What are Canadians drinking</w:t>
      </w:r>
      <w:r w:rsidRPr="008B24D9">
        <w:rPr>
          <w:rFonts w:ascii="MS Mincho" w:eastAsia="MS Mincho" w:hAnsi="MS Mincho" w:cs="MS Mincho" w:hint="eastAsia"/>
          <w:b/>
          <w:i w:val="0"/>
          <w:sz w:val="28"/>
          <w:szCs w:val="28"/>
        </w:rPr>
        <w:t>？</w:t>
      </w:r>
    </w:p>
    <w:p w14:paraId="21209098" w14:textId="77777777" w:rsidR="00874916" w:rsidRPr="002C524B" w:rsidRDefault="00874916" w:rsidP="00874916">
      <w:pPr>
        <w:jc w:val="center"/>
      </w:pPr>
      <w:r w:rsidRPr="002C524B">
        <w:rPr>
          <w:noProof/>
        </w:rPr>
        <w:drawing>
          <wp:inline distT="0" distB="0" distL="0" distR="0" wp14:anchorId="02AC22A5" wp14:editId="20B9B822">
            <wp:extent cx="4572000" cy="2743200"/>
            <wp:effectExtent l="0" t="0" r="0" b="0"/>
            <wp:docPr id="2" name="图表 2"/>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14:paraId="3963B0B0" w14:textId="77777777" w:rsidR="00874916" w:rsidRPr="002C524B" w:rsidRDefault="00874916" w:rsidP="00874916">
      <w:pPr>
        <w:autoSpaceDE w:val="0"/>
        <w:autoSpaceDN w:val="0"/>
        <w:adjustRightInd w:val="0"/>
        <w:spacing w:afterLines="100" w:after="240"/>
        <w:jc w:val="center"/>
        <w:rPr>
          <w:sz w:val="18"/>
          <w:szCs w:val="18"/>
          <w:highlight w:val="white"/>
        </w:rPr>
      </w:pPr>
      <w:r w:rsidRPr="008B24D9">
        <w:rPr>
          <w:b/>
          <w:sz w:val="18"/>
          <w:szCs w:val="18"/>
          <w:highlight w:val="white"/>
        </w:rPr>
        <w:t>Source:</w:t>
      </w:r>
      <w:r w:rsidRPr="002C524B">
        <w:rPr>
          <w:sz w:val="18"/>
          <w:szCs w:val="18"/>
          <w:highlight w:val="white"/>
        </w:rPr>
        <w:t xml:space="preserve"> Mintel, 2016</w:t>
      </w:r>
    </w:p>
    <w:p w14:paraId="7D930CB2" w14:textId="77777777" w:rsidR="008B24D9" w:rsidRDefault="008B24D9" w:rsidP="008B24D9">
      <w:pPr>
        <w:pStyle w:val="Caption"/>
        <w:spacing w:line="360" w:lineRule="auto"/>
        <w:jc w:val="center"/>
        <w:rPr>
          <w:b/>
          <w:i w:val="0"/>
          <w:sz w:val="28"/>
          <w:szCs w:val="28"/>
        </w:rPr>
      </w:pPr>
    </w:p>
    <w:p w14:paraId="5FA155F5" w14:textId="77777777" w:rsidR="008B24D9" w:rsidRPr="008B24D9" w:rsidRDefault="008B24D9" w:rsidP="008B24D9">
      <w:pPr>
        <w:pStyle w:val="BodyText"/>
      </w:pPr>
    </w:p>
    <w:p w14:paraId="0D5B153C" w14:textId="4F39BFD1" w:rsidR="008B24D9" w:rsidRPr="002C524B" w:rsidRDefault="008B24D9" w:rsidP="008B24D9">
      <w:pPr>
        <w:pStyle w:val="Caption"/>
        <w:tabs>
          <w:tab w:val="left" w:pos="7380"/>
        </w:tabs>
        <w:spacing w:line="360" w:lineRule="auto"/>
        <w:jc w:val="center"/>
      </w:pPr>
      <w:r w:rsidRPr="008B24D9">
        <w:rPr>
          <w:b/>
          <w:i w:val="0"/>
          <w:sz w:val="28"/>
          <w:szCs w:val="28"/>
        </w:rPr>
        <w:t xml:space="preserve">Figure </w:t>
      </w:r>
      <w:r w:rsidRPr="008B24D9">
        <w:rPr>
          <w:rFonts w:hint="eastAsia"/>
          <w:b/>
          <w:i w:val="0"/>
          <w:sz w:val="28"/>
          <w:szCs w:val="28"/>
        </w:rPr>
        <w:t xml:space="preserve">7: </w:t>
      </w:r>
      <w:r w:rsidRPr="008B24D9">
        <w:rPr>
          <w:b/>
          <w:i w:val="0"/>
          <w:sz w:val="28"/>
          <w:szCs w:val="28"/>
        </w:rPr>
        <w:t>Where the Canadians buy tea</w:t>
      </w:r>
      <w:r w:rsidRPr="008B24D9">
        <w:rPr>
          <w:rFonts w:hint="eastAsia"/>
          <w:b/>
          <w:i w:val="0"/>
          <w:sz w:val="28"/>
          <w:szCs w:val="28"/>
        </w:rPr>
        <w:t>?</w:t>
      </w:r>
    </w:p>
    <w:p w14:paraId="430A097B" w14:textId="4E967854" w:rsidR="00874916" w:rsidRPr="00DD0F34" w:rsidRDefault="00874916" w:rsidP="00874916">
      <w:pPr>
        <w:pStyle w:val="Caption"/>
        <w:spacing w:line="360" w:lineRule="auto"/>
        <w:jc w:val="center"/>
        <w:rPr>
          <w:b/>
          <w:sz w:val="18"/>
          <w:szCs w:val="18"/>
        </w:rPr>
      </w:pPr>
      <w:r w:rsidRPr="002C524B">
        <w:rPr>
          <w:noProof/>
        </w:rPr>
        <w:drawing>
          <wp:inline distT="0" distB="0" distL="0" distR="0" wp14:anchorId="0FD9BFEE" wp14:editId="2FA4D432">
            <wp:extent cx="5276851" cy="2843214"/>
            <wp:effectExtent l="0" t="0" r="0" b="0"/>
            <wp:docPr id="22" name="图表 22"/>
            <wp:cNvGraphicFramePr/>
            <a:graphic xmlns:a="http://schemas.openxmlformats.org/drawingml/2006/main">
              <a:graphicData uri="http://schemas.openxmlformats.org/drawingml/2006/chart">
                <c:chart xmlns:c="http://schemas.openxmlformats.org/drawingml/2006/chart" xmlns:r="http://schemas.openxmlformats.org/officeDocument/2006/relationships" r:id="rId20"/>
              </a:graphicData>
            </a:graphic>
          </wp:inline>
        </w:drawing>
      </w:r>
    </w:p>
    <w:p w14:paraId="731A9D8E" w14:textId="77777777" w:rsidR="00874916" w:rsidRDefault="00874916" w:rsidP="00874916">
      <w:pPr>
        <w:autoSpaceDE w:val="0"/>
        <w:autoSpaceDN w:val="0"/>
        <w:adjustRightInd w:val="0"/>
        <w:spacing w:afterLines="100" w:after="240"/>
        <w:jc w:val="center"/>
        <w:rPr>
          <w:sz w:val="18"/>
          <w:szCs w:val="18"/>
          <w:highlight w:val="white"/>
        </w:rPr>
      </w:pPr>
      <w:r w:rsidRPr="008B24D9">
        <w:rPr>
          <w:b/>
          <w:sz w:val="18"/>
          <w:szCs w:val="18"/>
          <w:highlight w:val="white"/>
        </w:rPr>
        <w:t>Source:</w:t>
      </w:r>
      <w:r w:rsidRPr="002C524B">
        <w:rPr>
          <w:sz w:val="18"/>
          <w:szCs w:val="18"/>
          <w:highlight w:val="white"/>
        </w:rPr>
        <w:t xml:space="preserve"> Mintel, 2016</w:t>
      </w:r>
    </w:p>
    <w:p w14:paraId="5F1B43AD" w14:textId="313FE894" w:rsidR="00874916" w:rsidRPr="008469AC" w:rsidRDefault="00874916" w:rsidP="008469AC">
      <w:pPr>
        <w:pStyle w:val="2"/>
        <w:spacing w:after="120" w:line="240" w:lineRule="auto"/>
        <w:ind w:hanging="864"/>
        <w:rPr>
          <w:sz w:val="30"/>
          <w:szCs w:val="30"/>
        </w:rPr>
      </w:pPr>
      <w:r w:rsidRPr="008469AC">
        <w:rPr>
          <w:sz w:val="30"/>
          <w:szCs w:val="30"/>
        </w:rPr>
        <w:lastRenderedPageBreak/>
        <w:t>C</w:t>
      </w:r>
      <w:r w:rsidR="008469AC">
        <w:rPr>
          <w:rFonts w:hint="eastAsia"/>
          <w:sz w:val="30"/>
          <w:szCs w:val="30"/>
        </w:rPr>
        <w:t>hinese</w:t>
      </w:r>
      <w:r w:rsidRPr="008469AC">
        <w:rPr>
          <w:rFonts w:hint="eastAsia"/>
          <w:sz w:val="30"/>
          <w:szCs w:val="30"/>
        </w:rPr>
        <w:t xml:space="preserve"> tea market</w:t>
      </w:r>
    </w:p>
    <w:p w14:paraId="34001DB0" w14:textId="13D29828" w:rsidR="00874916" w:rsidRDefault="008469AC" w:rsidP="00874916">
      <w:pPr>
        <w:pStyle w:val="2"/>
        <w:numPr>
          <w:ilvl w:val="0"/>
          <w:numId w:val="0"/>
        </w:numPr>
        <w:spacing w:after="120"/>
        <w:ind w:left="420" w:hanging="420"/>
        <w:rPr>
          <w:shd w:val="clear" w:color="auto" w:fill="FFFFFF"/>
        </w:rPr>
      </w:pPr>
      <w:r>
        <w:rPr>
          <w:rFonts w:hint="eastAsia"/>
          <w:shd w:val="clear" w:color="auto" w:fill="FFFFFF"/>
        </w:rPr>
        <w:t xml:space="preserve">5.1 </w:t>
      </w:r>
      <w:r>
        <w:rPr>
          <w:rFonts w:hint="eastAsia"/>
          <w:shd w:val="clear" w:color="auto" w:fill="FFFFFF"/>
        </w:rPr>
        <w:tab/>
      </w:r>
      <w:r>
        <w:rPr>
          <w:rFonts w:hint="eastAsia"/>
          <w:shd w:val="clear" w:color="auto" w:fill="FFFFFF"/>
        </w:rPr>
        <w:tab/>
        <w:t xml:space="preserve">   </w:t>
      </w:r>
      <w:r w:rsidR="00874916">
        <w:rPr>
          <w:shd w:val="clear" w:color="auto" w:fill="FFFFFF"/>
        </w:rPr>
        <w:t>T</w:t>
      </w:r>
      <w:r w:rsidR="00874916">
        <w:rPr>
          <w:rFonts w:hint="eastAsia"/>
          <w:shd w:val="clear" w:color="auto" w:fill="FFFFFF"/>
        </w:rPr>
        <w:t xml:space="preserve">ea </w:t>
      </w:r>
      <w:r w:rsidR="00874916">
        <w:rPr>
          <w:shd w:val="clear" w:color="auto" w:fill="FFFFFF"/>
        </w:rPr>
        <w:t>pro</w:t>
      </w:r>
      <w:r w:rsidR="00874916">
        <w:rPr>
          <w:rFonts w:hint="eastAsia"/>
          <w:shd w:val="clear" w:color="auto" w:fill="FFFFFF"/>
        </w:rPr>
        <w:t>duction</w:t>
      </w:r>
    </w:p>
    <w:p w14:paraId="037FBA9D" w14:textId="7F4ABBFF" w:rsidR="00874916" w:rsidRDefault="00874916" w:rsidP="008469AC">
      <w:pPr>
        <w:rPr>
          <w:rFonts w:eastAsiaTheme="minorEastAsia"/>
        </w:rPr>
      </w:pPr>
      <w:r w:rsidRPr="00EB4BCC">
        <w:rPr>
          <w:rFonts w:eastAsiaTheme="minorEastAsia"/>
        </w:rPr>
        <w:t>Since 2010, China has been the largest tea producer and consumer in the world. In recent years, the production</w:t>
      </w:r>
      <w:r>
        <w:rPr>
          <w:rFonts w:eastAsiaTheme="minorEastAsia"/>
        </w:rPr>
        <w:t xml:space="preserve"> scale of </w:t>
      </w:r>
      <w:r w:rsidR="008469AC">
        <w:rPr>
          <w:rFonts w:eastAsiaTheme="minorEastAsia"/>
        </w:rPr>
        <w:t xml:space="preserve">the </w:t>
      </w:r>
      <w:r>
        <w:rPr>
          <w:rFonts w:eastAsiaTheme="minorEastAsia"/>
        </w:rPr>
        <w:t xml:space="preserve">Chinese tea industry </w:t>
      </w:r>
      <w:r w:rsidR="008469AC">
        <w:rPr>
          <w:rFonts w:eastAsiaTheme="minorEastAsia"/>
        </w:rPr>
        <w:t xml:space="preserve">continued to expand </w:t>
      </w:r>
      <w:r w:rsidRPr="00EB4BCC">
        <w:rPr>
          <w:rFonts w:eastAsiaTheme="minorEastAsia"/>
        </w:rPr>
        <w:t>rapid</w:t>
      </w:r>
      <w:r>
        <w:rPr>
          <w:rFonts w:eastAsiaTheme="minorEastAsia"/>
        </w:rPr>
        <w:t>ly</w:t>
      </w:r>
      <w:r w:rsidRPr="00EB4BCC">
        <w:rPr>
          <w:rFonts w:eastAsiaTheme="minorEastAsia"/>
        </w:rPr>
        <w:t xml:space="preserve">. The total </w:t>
      </w:r>
      <w:r w:rsidR="008469AC">
        <w:rPr>
          <w:rFonts w:eastAsiaTheme="minorEastAsia"/>
        </w:rPr>
        <w:t xml:space="preserve">area planted to </w:t>
      </w:r>
      <w:r>
        <w:rPr>
          <w:rFonts w:eastAsiaTheme="minorEastAsia" w:hint="eastAsia"/>
        </w:rPr>
        <w:t xml:space="preserve">tea </w:t>
      </w:r>
      <w:r w:rsidRPr="00EB4BCC">
        <w:rPr>
          <w:rFonts w:eastAsiaTheme="minorEastAsia"/>
        </w:rPr>
        <w:t xml:space="preserve">increased from 1.9702 million hectares in 2010 to </w:t>
      </w:r>
      <w:r>
        <w:rPr>
          <w:rFonts w:eastAsiaTheme="minorEastAsia" w:hint="eastAsia"/>
        </w:rPr>
        <w:t>2.965</w:t>
      </w:r>
      <w:r>
        <w:rPr>
          <w:rFonts w:eastAsiaTheme="minorEastAsia"/>
        </w:rPr>
        <w:t xml:space="preserve"> million hectares in 201</w:t>
      </w:r>
      <w:r>
        <w:rPr>
          <w:rFonts w:eastAsiaTheme="minorEastAsia" w:hint="eastAsia"/>
        </w:rPr>
        <w:t>6</w:t>
      </w:r>
      <w:r w:rsidR="00382B9A">
        <w:rPr>
          <w:rFonts w:eastAsiaTheme="minorEastAsia"/>
        </w:rPr>
        <w:t>, with a year-on-</w:t>
      </w:r>
      <w:r>
        <w:rPr>
          <w:rFonts w:eastAsiaTheme="minorEastAsia"/>
        </w:rPr>
        <w:t>year growth rate of 3.05</w:t>
      </w:r>
      <w:r w:rsidR="00382B9A">
        <w:rPr>
          <w:rFonts w:eastAsiaTheme="minorEastAsia"/>
        </w:rPr>
        <w:t xml:space="preserve"> percent</w:t>
      </w:r>
      <w:r>
        <w:rPr>
          <w:rFonts w:eastAsiaTheme="minorEastAsia"/>
        </w:rPr>
        <w:t>.</w:t>
      </w:r>
      <w:r w:rsidRPr="00EB4BCC">
        <w:rPr>
          <w:rFonts w:eastAsiaTheme="minorEastAsia"/>
        </w:rPr>
        <w:t xml:space="preserve"> </w:t>
      </w:r>
      <w:r w:rsidR="00382B9A">
        <w:rPr>
          <w:rFonts w:eastAsiaTheme="minorEastAsia"/>
        </w:rPr>
        <w:t xml:space="preserve">The total tea production in China </w:t>
      </w:r>
      <w:r w:rsidRPr="00EB4BCC">
        <w:rPr>
          <w:rFonts w:eastAsiaTheme="minorEastAsia"/>
        </w:rPr>
        <w:t>in 201</w:t>
      </w:r>
      <w:r>
        <w:rPr>
          <w:rFonts w:eastAsiaTheme="minorEastAsia" w:hint="eastAsia"/>
        </w:rPr>
        <w:t>6</w:t>
      </w:r>
      <w:r w:rsidRPr="00EB4BCC">
        <w:rPr>
          <w:rFonts w:eastAsiaTheme="minorEastAsia"/>
        </w:rPr>
        <w:t xml:space="preserve"> reached </w:t>
      </w:r>
      <w:r>
        <w:rPr>
          <w:rFonts w:eastAsiaTheme="minorEastAsia" w:hint="eastAsia"/>
        </w:rPr>
        <w:t>2.445</w:t>
      </w:r>
      <w:r w:rsidRPr="00EB4BCC">
        <w:rPr>
          <w:rFonts w:eastAsiaTheme="minorEastAsia"/>
        </w:rPr>
        <w:t xml:space="preserve"> million tons. As </w:t>
      </w:r>
      <w:r w:rsidR="00382B9A">
        <w:rPr>
          <w:rFonts w:eastAsiaTheme="minorEastAsia"/>
        </w:rPr>
        <w:t>production increased, so did</w:t>
      </w:r>
      <w:r w:rsidRPr="00EB4BCC">
        <w:rPr>
          <w:rFonts w:eastAsiaTheme="minorEastAsia"/>
        </w:rPr>
        <w:t xml:space="preserve"> China’s tea agricultural value, </w:t>
      </w:r>
      <w:r w:rsidR="00382B9A">
        <w:rPr>
          <w:rFonts w:eastAsiaTheme="minorEastAsia"/>
        </w:rPr>
        <w:t xml:space="preserve">to approximately Yuan </w:t>
      </w:r>
      <w:r>
        <w:rPr>
          <w:rFonts w:eastAsiaTheme="minorEastAsia" w:hint="eastAsia"/>
        </w:rPr>
        <w:t>170.2</w:t>
      </w:r>
      <w:r w:rsidRPr="00EB4BCC">
        <w:rPr>
          <w:rFonts w:eastAsiaTheme="minorEastAsia"/>
        </w:rPr>
        <w:t xml:space="preserve"> billion in 201</w:t>
      </w:r>
      <w:r>
        <w:rPr>
          <w:rFonts w:eastAsiaTheme="minorEastAsia" w:hint="eastAsia"/>
        </w:rPr>
        <w:t xml:space="preserve">6, </w:t>
      </w:r>
      <w:r w:rsidRPr="00AC0F20">
        <w:rPr>
          <w:rFonts w:eastAsiaTheme="minorEastAsia"/>
        </w:rPr>
        <w:t xml:space="preserve">up by </w:t>
      </w:r>
      <w:r>
        <w:rPr>
          <w:rFonts w:eastAsiaTheme="minorEastAsia" w:hint="eastAsia"/>
        </w:rPr>
        <w:t>12.04</w:t>
      </w:r>
      <w:r w:rsidR="00382B9A">
        <w:rPr>
          <w:rFonts w:eastAsiaTheme="minorEastAsia"/>
        </w:rPr>
        <w:t xml:space="preserve"> percent </w:t>
      </w:r>
      <w:r w:rsidRPr="00AC0F20">
        <w:rPr>
          <w:rFonts w:eastAsiaTheme="minorEastAsia"/>
        </w:rPr>
        <w:t>from the previous year.</w:t>
      </w:r>
    </w:p>
    <w:p w14:paraId="030D2856" w14:textId="77777777" w:rsidR="008469AC" w:rsidRDefault="008469AC" w:rsidP="008469AC">
      <w:pPr>
        <w:rPr>
          <w:rFonts w:eastAsiaTheme="minorEastAsia"/>
        </w:rPr>
      </w:pPr>
    </w:p>
    <w:p w14:paraId="2AD110DC" w14:textId="1D773EC2" w:rsidR="008469AC" w:rsidRPr="008469AC" w:rsidRDefault="008469AC" w:rsidP="008469AC">
      <w:pPr>
        <w:pStyle w:val="Caption"/>
        <w:tabs>
          <w:tab w:val="left" w:pos="7380"/>
        </w:tabs>
        <w:spacing w:line="360" w:lineRule="auto"/>
        <w:jc w:val="center"/>
        <w:rPr>
          <w:b/>
          <w:i w:val="0"/>
          <w:sz w:val="28"/>
          <w:szCs w:val="28"/>
        </w:rPr>
      </w:pPr>
      <w:r w:rsidRPr="008469AC">
        <w:rPr>
          <w:b/>
          <w:i w:val="0"/>
          <w:sz w:val="28"/>
          <w:szCs w:val="28"/>
        </w:rPr>
        <w:t xml:space="preserve">Figure </w:t>
      </w:r>
      <w:r w:rsidRPr="008469AC">
        <w:rPr>
          <w:rFonts w:hint="eastAsia"/>
          <w:b/>
          <w:i w:val="0"/>
          <w:sz w:val="28"/>
          <w:szCs w:val="28"/>
        </w:rPr>
        <w:t xml:space="preserve">8: </w:t>
      </w:r>
      <w:r>
        <w:rPr>
          <w:b/>
          <w:i w:val="0"/>
          <w:sz w:val="28"/>
          <w:szCs w:val="28"/>
        </w:rPr>
        <w:t>Area of t</w:t>
      </w:r>
      <w:r w:rsidRPr="008469AC">
        <w:rPr>
          <w:b/>
          <w:i w:val="0"/>
          <w:sz w:val="28"/>
          <w:szCs w:val="28"/>
        </w:rPr>
        <w:t xml:space="preserve">ea planted and </w:t>
      </w:r>
      <w:r>
        <w:rPr>
          <w:b/>
          <w:i w:val="0"/>
          <w:sz w:val="28"/>
          <w:szCs w:val="28"/>
        </w:rPr>
        <w:t xml:space="preserve">tea </w:t>
      </w:r>
      <w:r w:rsidRPr="008469AC">
        <w:rPr>
          <w:b/>
          <w:i w:val="0"/>
          <w:sz w:val="28"/>
          <w:szCs w:val="28"/>
        </w:rPr>
        <w:t xml:space="preserve">production </w:t>
      </w:r>
      <w:r>
        <w:rPr>
          <w:b/>
          <w:i w:val="0"/>
          <w:sz w:val="28"/>
          <w:szCs w:val="28"/>
        </w:rPr>
        <w:t xml:space="preserve">in China </w:t>
      </w:r>
      <w:r>
        <w:rPr>
          <w:b/>
          <w:i w:val="0"/>
          <w:sz w:val="28"/>
          <w:szCs w:val="28"/>
        </w:rPr>
        <w:br/>
        <w:t>(</w:t>
      </w:r>
      <w:r w:rsidRPr="008469AC">
        <w:rPr>
          <w:b/>
          <w:i w:val="0"/>
          <w:sz w:val="28"/>
          <w:szCs w:val="28"/>
        </w:rPr>
        <w:t>2010 to 201</w:t>
      </w:r>
      <w:r w:rsidRPr="008469AC">
        <w:rPr>
          <w:rFonts w:hint="eastAsia"/>
          <w:b/>
          <w:i w:val="0"/>
          <w:sz w:val="28"/>
          <w:szCs w:val="28"/>
        </w:rPr>
        <w:t>6</w:t>
      </w:r>
      <w:r>
        <w:rPr>
          <w:b/>
          <w:i w:val="0"/>
          <w:sz w:val="28"/>
          <w:szCs w:val="28"/>
        </w:rPr>
        <w:t>)</w:t>
      </w:r>
    </w:p>
    <w:p w14:paraId="5626CC0F" w14:textId="77777777" w:rsidR="00874916" w:rsidRDefault="00874916" w:rsidP="008469AC">
      <w:pPr>
        <w:rPr>
          <w:rFonts w:eastAsiaTheme="minorEastAsia"/>
        </w:rPr>
      </w:pPr>
      <w:r w:rsidRPr="008469AC">
        <w:rPr>
          <w:rFonts w:eastAsiaTheme="minorEastAsia"/>
          <w:noProof/>
        </w:rPr>
        <w:drawing>
          <wp:inline distT="0" distB="0" distL="0" distR="0" wp14:anchorId="616D479F" wp14:editId="38618736">
            <wp:extent cx="4572000" cy="2743200"/>
            <wp:effectExtent l="0" t="0" r="0" b="0"/>
            <wp:docPr id="7" name="图表 7"/>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35B19DE6" w14:textId="77777777" w:rsidR="008469AC" w:rsidRDefault="008469AC" w:rsidP="008469AC">
      <w:pPr>
        <w:rPr>
          <w:rFonts w:eastAsiaTheme="minorEastAsia"/>
        </w:rPr>
      </w:pPr>
    </w:p>
    <w:p w14:paraId="74E4B0F0" w14:textId="6A171606" w:rsidR="00874916" w:rsidRDefault="00874916" w:rsidP="008469AC">
      <w:pPr>
        <w:rPr>
          <w:rFonts w:eastAsiaTheme="minorEastAsia"/>
        </w:rPr>
      </w:pPr>
      <w:r w:rsidRPr="00EB4BCC">
        <w:rPr>
          <w:rFonts w:eastAsiaTheme="minorEastAsia"/>
        </w:rPr>
        <w:t>A</w:t>
      </w:r>
      <w:r>
        <w:rPr>
          <w:rFonts w:eastAsiaTheme="minorEastAsia" w:hint="eastAsia"/>
        </w:rPr>
        <w:t xml:space="preserve">ffected by market demand, </w:t>
      </w:r>
      <w:r w:rsidR="00382B9A">
        <w:rPr>
          <w:rFonts w:eastAsiaTheme="minorEastAsia"/>
        </w:rPr>
        <w:t xml:space="preserve">the structure of </w:t>
      </w:r>
      <w:r w:rsidRPr="00EB4BCC">
        <w:rPr>
          <w:rFonts w:eastAsiaTheme="minorEastAsia"/>
        </w:rPr>
        <w:t xml:space="preserve">Chinese tea production </w:t>
      </w:r>
      <w:r w:rsidR="00382B9A">
        <w:rPr>
          <w:rFonts w:eastAsiaTheme="minorEastAsia"/>
        </w:rPr>
        <w:t xml:space="preserve">was </w:t>
      </w:r>
      <w:r w:rsidRPr="00EB4BCC">
        <w:rPr>
          <w:rFonts w:eastAsiaTheme="minorEastAsia"/>
        </w:rPr>
        <w:t xml:space="preserve">adjusted constantly </w:t>
      </w:r>
      <w:r w:rsidR="00382B9A">
        <w:rPr>
          <w:rFonts w:eastAsiaTheme="minorEastAsia"/>
        </w:rPr>
        <w:t xml:space="preserve">during </w:t>
      </w:r>
      <w:r w:rsidRPr="00EB4BCC">
        <w:rPr>
          <w:rFonts w:eastAsiaTheme="minorEastAsia"/>
        </w:rPr>
        <w:t>recent year</w:t>
      </w:r>
      <w:r w:rsidR="00382B9A">
        <w:rPr>
          <w:rFonts w:eastAsiaTheme="minorEastAsia"/>
        </w:rPr>
        <w:t>s</w:t>
      </w:r>
      <w:r w:rsidRPr="00EB4BCC">
        <w:rPr>
          <w:rFonts w:eastAsiaTheme="minorEastAsia"/>
        </w:rPr>
        <w:t xml:space="preserve">. </w:t>
      </w:r>
      <w:r>
        <w:rPr>
          <w:rFonts w:eastAsiaTheme="minorEastAsia" w:hint="eastAsia"/>
        </w:rPr>
        <w:t xml:space="preserve">Even </w:t>
      </w:r>
      <w:r w:rsidR="00382B9A">
        <w:rPr>
          <w:rFonts w:eastAsiaTheme="minorEastAsia" w:hint="eastAsia"/>
        </w:rPr>
        <w:t>though green tea still maintained</w:t>
      </w:r>
      <w:r>
        <w:rPr>
          <w:rFonts w:eastAsiaTheme="minorEastAsia" w:hint="eastAsia"/>
        </w:rPr>
        <w:t xml:space="preserve"> the absolute dominance, its proportion in total production show</w:t>
      </w:r>
      <w:r w:rsidR="00382B9A">
        <w:rPr>
          <w:rFonts w:eastAsiaTheme="minorEastAsia"/>
        </w:rPr>
        <w:t>ed</w:t>
      </w:r>
      <w:r>
        <w:rPr>
          <w:rFonts w:eastAsiaTheme="minorEastAsia" w:hint="eastAsia"/>
        </w:rPr>
        <w:t xml:space="preserve"> a downward trend</w:t>
      </w:r>
      <w:r w:rsidRPr="00EB4BCC">
        <w:rPr>
          <w:rFonts w:eastAsiaTheme="minorEastAsia"/>
        </w:rPr>
        <w:t xml:space="preserve">. Since 2010, green tea </w:t>
      </w:r>
      <w:bookmarkStart w:id="4" w:name="OLE_LINK7"/>
      <w:bookmarkStart w:id="5" w:name="OLE_LINK8"/>
      <w:r w:rsidRPr="00EB4BCC">
        <w:rPr>
          <w:rFonts w:eastAsiaTheme="minorEastAsia"/>
        </w:rPr>
        <w:t>production</w:t>
      </w:r>
      <w:bookmarkEnd w:id="4"/>
      <w:bookmarkEnd w:id="5"/>
      <w:r w:rsidRPr="00EB4BCC">
        <w:rPr>
          <w:rFonts w:eastAsiaTheme="minorEastAsia"/>
        </w:rPr>
        <w:t xml:space="preserve"> </w:t>
      </w:r>
      <w:r w:rsidR="00382B9A">
        <w:rPr>
          <w:rFonts w:eastAsiaTheme="minorEastAsia"/>
        </w:rPr>
        <w:t>increased annually</w:t>
      </w:r>
      <w:r w:rsidRPr="00EB4BCC">
        <w:rPr>
          <w:rFonts w:eastAsiaTheme="minorEastAsia"/>
        </w:rPr>
        <w:t>, reach</w:t>
      </w:r>
      <w:r>
        <w:rPr>
          <w:rFonts w:eastAsiaTheme="minorEastAsia" w:hint="eastAsia"/>
        </w:rPr>
        <w:t>ing</w:t>
      </w:r>
      <w:r w:rsidRPr="00EB4BCC">
        <w:rPr>
          <w:rFonts w:eastAsiaTheme="minorEastAsia"/>
        </w:rPr>
        <w:t xml:space="preserve"> </w:t>
      </w:r>
      <w:r>
        <w:rPr>
          <w:rFonts w:eastAsiaTheme="minorEastAsia" w:hint="eastAsia"/>
        </w:rPr>
        <w:t>1.5091</w:t>
      </w:r>
      <w:r w:rsidR="00382B9A">
        <w:rPr>
          <w:rFonts w:eastAsiaTheme="minorEastAsia"/>
        </w:rPr>
        <w:t xml:space="preserve"> </w:t>
      </w:r>
      <w:r>
        <w:rPr>
          <w:rFonts w:eastAsiaTheme="minorEastAsia"/>
        </w:rPr>
        <w:t>million tons in 201</w:t>
      </w:r>
      <w:r>
        <w:rPr>
          <w:rFonts w:eastAsiaTheme="minorEastAsia" w:hint="eastAsia"/>
        </w:rPr>
        <w:t>6</w:t>
      </w:r>
      <w:r w:rsidRPr="00EB4BCC">
        <w:rPr>
          <w:rFonts w:eastAsiaTheme="minorEastAsia"/>
        </w:rPr>
        <w:t xml:space="preserve">, but the proportion declined, </w:t>
      </w:r>
      <w:r w:rsidR="00382B9A">
        <w:rPr>
          <w:rFonts w:eastAsiaTheme="minorEastAsia" w:hint="eastAsia"/>
        </w:rPr>
        <w:t>just 61.71 percent</w:t>
      </w:r>
      <w:r>
        <w:rPr>
          <w:rFonts w:eastAsiaTheme="minorEastAsia" w:hint="eastAsia"/>
        </w:rPr>
        <w:t xml:space="preserve"> in 2016, compared with </w:t>
      </w:r>
      <w:r w:rsidRPr="00EB4BCC">
        <w:rPr>
          <w:rFonts w:eastAsiaTheme="minorEastAsia"/>
        </w:rPr>
        <w:t>63.13</w:t>
      </w:r>
      <w:r w:rsidR="00382B9A">
        <w:rPr>
          <w:rFonts w:eastAsiaTheme="minorEastAsia"/>
        </w:rPr>
        <w:t xml:space="preserve"> percent </w:t>
      </w:r>
      <w:r w:rsidRPr="00EB4BCC">
        <w:rPr>
          <w:rFonts w:eastAsiaTheme="minorEastAsia"/>
        </w:rPr>
        <w:t xml:space="preserve">in 2015. </w:t>
      </w:r>
      <w:r w:rsidR="00382B9A">
        <w:rPr>
          <w:rFonts w:eastAsiaTheme="minorEastAsia"/>
        </w:rPr>
        <w:t>P</w:t>
      </w:r>
      <w:r w:rsidRPr="00EB4BCC">
        <w:rPr>
          <w:rFonts w:eastAsiaTheme="minorEastAsia"/>
        </w:rPr>
        <w:t xml:space="preserve">roduction of </w:t>
      </w:r>
      <w:r>
        <w:rPr>
          <w:rFonts w:eastAsiaTheme="minorEastAsia" w:hint="eastAsia"/>
        </w:rPr>
        <w:t xml:space="preserve">black tea, </w:t>
      </w:r>
      <w:r w:rsidRPr="00EB4BCC">
        <w:rPr>
          <w:rFonts w:eastAsiaTheme="minorEastAsia"/>
        </w:rPr>
        <w:t xml:space="preserve">dark tea and white tea increased rapidly, </w:t>
      </w:r>
      <w:r>
        <w:rPr>
          <w:rFonts w:eastAsiaTheme="minorEastAsia" w:hint="eastAsia"/>
        </w:rPr>
        <w:t>as well as their</w:t>
      </w:r>
      <w:r w:rsidRPr="00EB4BCC">
        <w:rPr>
          <w:rFonts w:eastAsiaTheme="minorEastAsia"/>
        </w:rPr>
        <w:t xml:space="preserve"> status.</w:t>
      </w:r>
      <w:r>
        <w:rPr>
          <w:rFonts w:eastAsiaTheme="minorEastAsia" w:hint="eastAsia"/>
        </w:rPr>
        <w:t xml:space="preserve"> </w:t>
      </w:r>
      <w:r w:rsidRPr="00EB4BCC">
        <w:rPr>
          <w:rFonts w:eastAsiaTheme="minorEastAsia"/>
        </w:rPr>
        <w:t xml:space="preserve">The growth of black tea and dark tea (excluding puer) production </w:t>
      </w:r>
      <w:r w:rsidR="00382B9A">
        <w:rPr>
          <w:rFonts w:eastAsiaTheme="minorEastAsia"/>
        </w:rPr>
        <w:t xml:space="preserve">was over </w:t>
      </w:r>
      <w:r w:rsidRPr="00EB4BCC">
        <w:rPr>
          <w:rFonts w:eastAsiaTheme="minorEastAsia"/>
        </w:rPr>
        <w:t>10</w:t>
      </w:r>
      <w:r w:rsidR="00382B9A">
        <w:rPr>
          <w:rFonts w:eastAsiaTheme="minorEastAsia"/>
        </w:rPr>
        <w:t xml:space="preserve"> percent</w:t>
      </w:r>
      <w:r w:rsidRPr="00EB4BCC">
        <w:rPr>
          <w:rFonts w:eastAsiaTheme="minorEastAsia"/>
        </w:rPr>
        <w:t xml:space="preserve"> in 2015, reach</w:t>
      </w:r>
      <w:r>
        <w:rPr>
          <w:rFonts w:eastAsiaTheme="minorEastAsia" w:hint="eastAsia"/>
        </w:rPr>
        <w:t>ing</w:t>
      </w:r>
      <w:r w:rsidRPr="00EB4BCC">
        <w:rPr>
          <w:rFonts w:eastAsiaTheme="minorEastAsia"/>
        </w:rPr>
        <w:t xml:space="preserve"> </w:t>
      </w:r>
      <w:r>
        <w:rPr>
          <w:rFonts w:eastAsiaTheme="minorEastAsia" w:hint="eastAsia"/>
        </w:rPr>
        <w:t>297.9 thousand tons and 334.8 thousand tons,</w:t>
      </w:r>
      <w:r w:rsidRPr="00EB4BCC">
        <w:rPr>
          <w:rFonts w:eastAsiaTheme="minorEastAsia"/>
        </w:rPr>
        <w:t xml:space="preserve"> respectively. Oolong tea production was more than </w:t>
      </w:r>
      <w:r>
        <w:rPr>
          <w:rFonts w:eastAsiaTheme="minorEastAsia" w:hint="eastAsia"/>
        </w:rPr>
        <w:t xml:space="preserve">271.2 thousand </w:t>
      </w:r>
      <w:r>
        <w:rPr>
          <w:rFonts w:eastAsiaTheme="minorEastAsia"/>
        </w:rPr>
        <w:t>tons</w:t>
      </w:r>
      <w:r>
        <w:rPr>
          <w:rFonts w:eastAsiaTheme="minorEastAsia" w:hint="eastAsia"/>
        </w:rPr>
        <w:t>,</w:t>
      </w:r>
      <w:r w:rsidRPr="00EB4BCC">
        <w:rPr>
          <w:rFonts w:eastAsiaTheme="minorEastAsia"/>
        </w:rPr>
        <w:t xml:space="preserve"> increas</w:t>
      </w:r>
      <w:r w:rsidR="00382B9A">
        <w:rPr>
          <w:rFonts w:eastAsiaTheme="minorEastAsia"/>
        </w:rPr>
        <w:t xml:space="preserve">ing </w:t>
      </w:r>
      <w:r>
        <w:rPr>
          <w:rFonts w:eastAsiaTheme="minorEastAsia" w:hint="eastAsia"/>
        </w:rPr>
        <w:t>by</w:t>
      </w:r>
      <w:r w:rsidRPr="00EB4BCC">
        <w:rPr>
          <w:rFonts w:eastAsiaTheme="minorEastAsia"/>
        </w:rPr>
        <w:t xml:space="preserve"> 4</w:t>
      </w:r>
      <w:r>
        <w:rPr>
          <w:rFonts w:eastAsiaTheme="minorEastAsia" w:hint="eastAsia"/>
        </w:rPr>
        <w:t>.8</w:t>
      </w:r>
      <w:r w:rsidR="00382B9A">
        <w:rPr>
          <w:rFonts w:eastAsiaTheme="minorEastAsia"/>
        </w:rPr>
        <w:t xml:space="preserve"> percent</w:t>
      </w:r>
      <w:r w:rsidRPr="00EB4BCC">
        <w:rPr>
          <w:rFonts w:eastAsiaTheme="minorEastAsia"/>
        </w:rPr>
        <w:t xml:space="preserve">. </w:t>
      </w:r>
      <w:r w:rsidR="0022481C">
        <w:rPr>
          <w:rFonts w:eastAsiaTheme="minorEastAsia"/>
        </w:rPr>
        <w:t>Over 20 thousand tons of w</w:t>
      </w:r>
      <w:r w:rsidRPr="00EB4BCC">
        <w:rPr>
          <w:rFonts w:eastAsiaTheme="minorEastAsia"/>
        </w:rPr>
        <w:t xml:space="preserve">hite tea </w:t>
      </w:r>
      <w:r w:rsidR="0022481C">
        <w:rPr>
          <w:rFonts w:eastAsiaTheme="minorEastAsia"/>
        </w:rPr>
        <w:t xml:space="preserve">was produced. </w:t>
      </w:r>
    </w:p>
    <w:p w14:paraId="0464EE70" w14:textId="1CA64A5F" w:rsidR="00874916" w:rsidRPr="00F521D1" w:rsidRDefault="00814974" w:rsidP="00874916">
      <w:pPr>
        <w:pStyle w:val="2"/>
        <w:numPr>
          <w:ilvl w:val="0"/>
          <w:numId w:val="0"/>
        </w:numPr>
        <w:spacing w:after="120"/>
        <w:ind w:left="420" w:hanging="420"/>
        <w:rPr>
          <w:shd w:val="clear" w:color="auto" w:fill="FFFFFF"/>
        </w:rPr>
      </w:pPr>
      <w:r>
        <w:rPr>
          <w:rFonts w:hint="eastAsia"/>
          <w:shd w:val="clear" w:color="auto" w:fill="FFFFFF"/>
        </w:rPr>
        <w:lastRenderedPageBreak/>
        <w:t>5.2</w:t>
      </w:r>
      <w:r>
        <w:rPr>
          <w:rFonts w:hint="eastAsia"/>
          <w:shd w:val="clear" w:color="auto" w:fill="FFFFFF"/>
        </w:rPr>
        <w:tab/>
      </w:r>
      <w:r>
        <w:rPr>
          <w:rFonts w:hint="eastAsia"/>
          <w:shd w:val="clear" w:color="auto" w:fill="FFFFFF"/>
        </w:rPr>
        <w:tab/>
      </w:r>
      <w:r w:rsidR="00874916" w:rsidRPr="00F521D1">
        <w:rPr>
          <w:rFonts w:hint="eastAsia"/>
          <w:shd w:val="clear" w:color="auto" w:fill="FFFFFF"/>
        </w:rPr>
        <w:t xml:space="preserve"> </w:t>
      </w:r>
      <w:r w:rsidR="00874916" w:rsidRPr="00F521D1">
        <w:rPr>
          <w:shd w:val="clear" w:color="auto" w:fill="FFFFFF"/>
        </w:rPr>
        <w:t>T</w:t>
      </w:r>
      <w:r w:rsidR="00874916">
        <w:rPr>
          <w:rFonts w:hint="eastAsia"/>
          <w:shd w:val="clear" w:color="auto" w:fill="FFFFFF"/>
        </w:rPr>
        <w:t>ea consumption</w:t>
      </w:r>
    </w:p>
    <w:p w14:paraId="2F1BECEB" w14:textId="1CD554A9" w:rsidR="00874916" w:rsidRDefault="00874916" w:rsidP="00814974">
      <w:pPr>
        <w:rPr>
          <w:rFonts w:eastAsiaTheme="minorEastAsia"/>
        </w:rPr>
      </w:pPr>
      <w:r w:rsidRPr="003E619C">
        <w:rPr>
          <w:rFonts w:eastAsiaTheme="minorEastAsia"/>
        </w:rPr>
        <w:t xml:space="preserve">By the end of 2015, </w:t>
      </w:r>
      <w:r w:rsidRPr="003E619C">
        <w:rPr>
          <w:rFonts w:eastAsiaTheme="minorEastAsia" w:hint="eastAsia"/>
        </w:rPr>
        <w:t xml:space="preserve">the sales value of tea in China has reached to </w:t>
      </w:r>
      <w:r w:rsidR="00A41510">
        <w:rPr>
          <w:rFonts w:eastAsiaTheme="minorEastAsia"/>
        </w:rPr>
        <w:t xml:space="preserve">Yuan </w:t>
      </w:r>
      <w:r w:rsidRPr="003E619C">
        <w:rPr>
          <w:rFonts w:eastAsiaTheme="minorEastAsia"/>
        </w:rPr>
        <w:t>162 billion,</w:t>
      </w:r>
      <w:r w:rsidRPr="003E619C">
        <w:rPr>
          <w:rFonts w:eastAsiaTheme="minorEastAsia" w:hint="eastAsia"/>
        </w:rPr>
        <w:t xml:space="preserve"> with</w:t>
      </w:r>
      <w:r w:rsidRPr="003E619C">
        <w:rPr>
          <w:rFonts w:eastAsiaTheme="minorEastAsia"/>
        </w:rPr>
        <w:t xml:space="preserve"> an increase of 8.0</w:t>
      </w:r>
      <w:r w:rsidR="0022481C">
        <w:rPr>
          <w:rFonts w:eastAsiaTheme="minorEastAsia"/>
        </w:rPr>
        <w:t xml:space="preserve"> percent</w:t>
      </w:r>
      <w:r w:rsidRPr="003E619C">
        <w:rPr>
          <w:rFonts w:eastAsiaTheme="minorEastAsia" w:hint="eastAsia"/>
        </w:rPr>
        <w:t xml:space="preserve">. </w:t>
      </w:r>
      <w:r w:rsidRPr="003E619C">
        <w:rPr>
          <w:rFonts w:eastAsiaTheme="minorEastAsia"/>
        </w:rPr>
        <w:t>Total</w:t>
      </w:r>
      <w:r w:rsidRPr="003E619C">
        <w:rPr>
          <w:rFonts w:eastAsiaTheme="minorEastAsia" w:hint="eastAsia"/>
        </w:rPr>
        <w:t xml:space="preserve"> national consumption of tea in china is more than 1</w:t>
      </w:r>
      <w:r w:rsidR="00A41510">
        <w:rPr>
          <w:rFonts w:eastAsiaTheme="minorEastAsia"/>
        </w:rPr>
        <w:t> </w:t>
      </w:r>
      <w:r w:rsidRPr="003E619C">
        <w:rPr>
          <w:rFonts w:eastAsiaTheme="minorEastAsia" w:hint="eastAsia"/>
        </w:rPr>
        <w:t xml:space="preserve">800 thousand tons, with an annual increase of 200 thousand tons </w:t>
      </w:r>
      <w:r w:rsidRPr="003E619C">
        <w:rPr>
          <w:rFonts w:eastAsiaTheme="minorEastAsia"/>
        </w:rPr>
        <w:t xml:space="preserve">(Figure </w:t>
      </w:r>
      <w:r>
        <w:rPr>
          <w:rFonts w:eastAsiaTheme="minorEastAsia" w:hint="eastAsia"/>
        </w:rPr>
        <w:t>9</w:t>
      </w:r>
      <w:r w:rsidRPr="003E619C">
        <w:rPr>
          <w:rFonts w:eastAsiaTheme="minorEastAsia"/>
        </w:rPr>
        <w:t>).</w:t>
      </w:r>
    </w:p>
    <w:p w14:paraId="43711D0D" w14:textId="77777777" w:rsidR="00814974" w:rsidRDefault="00814974" w:rsidP="00814974">
      <w:pPr>
        <w:rPr>
          <w:rFonts w:eastAsiaTheme="minorEastAsia"/>
        </w:rPr>
      </w:pPr>
    </w:p>
    <w:p w14:paraId="6C6BE366" w14:textId="77777777" w:rsidR="00814974" w:rsidRPr="00814974" w:rsidRDefault="00814974" w:rsidP="00814974">
      <w:pPr>
        <w:jc w:val="center"/>
        <w:rPr>
          <w:b/>
          <w:sz w:val="28"/>
          <w:szCs w:val="28"/>
        </w:rPr>
      </w:pPr>
      <w:r w:rsidRPr="00814974">
        <w:rPr>
          <w:b/>
          <w:sz w:val="28"/>
          <w:szCs w:val="28"/>
        </w:rPr>
        <w:t>Figure</w:t>
      </w:r>
      <w:r w:rsidRPr="00814974">
        <w:rPr>
          <w:rFonts w:hint="eastAsia"/>
          <w:b/>
          <w:sz w:val="28"/>
          <w:szCs w:val="28"/>
        </w:rPr>
        <w:t xml:space="preserve"> 9: 2009-2015 </w:t>
      </w:r>
      <w:r w:rsidRPr="00814974">
        <w:rPr>
          <w:b/>
          <w:sz w:val="28"/>
          <w:szCs w:val="28"/>
        </w:rPr>
        <w:t>T</w:t>
      </w:r>
      <w:r w:rsidRPr="00814974">
        <w:rPr>
          <w:rFonts w:hint="eastAsia"/>
          <w:b/>
          <w:sz w:val="28"/>
          <w:szCs w:val="28"/>
        </w:rPr>
        <w:t>otal tea consumption in China</w:t>
      </w:r>
    </w:p>
    <w:p w14:paraId="65744D05" w14:textId="77777777" w:rsidR="00814974" w:rsidRPr="003E619C" w:rsidRDefault="00814974" w:rsidP="00814974">
      <w:pPr>
        <w:rPr>
          <w:rFonts w:eastAsiaTheme="minorEastAsia"/>
        </w:rPr>
      </w:pPr>
    </w:p>
    <w:p w14:paraId="5D5CCFFB" w14:textId="77777777" w:rsidR="00874916" w:rsidRDefault="00874916" w:rsidP="00874916">
      <w:pPr>
        <w:jc w:val="center"/>
        <w:rPr>
          <w:rFonts w:ascii="FZLTHJW--GB1-0" w:hAnsi="FZLTHJW--GB1-0"/>
          <w:color w:val="231F20"/>
          <w:sz w:val="16"/>
          <w:szCs w:val="16"/>
        </w:rPr>
      </w:pPr>
      <w:r>
        <w:rPr>
          <w:noProof/>
        </w:rPr>
        <w:drawing>
          <wp:inline distT="0" distB="0" distL="0" distR="0" wp14:anchorId="108D0467" wp14:editId="743FD265">
            <wp:extent cx="4486275" cy="2581275"/>
            <wp:effectExtent l="0" t="0" r="0" b="0"/>
            <wp:docPr id="19" name="图表 19"/>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40A9D83A" w14:textId="77777777" w:rsidR="00874916" w:rsidRDefault="00874916" w:rsidP="00874916">
      <w:pPr>
        <w:rPr>
          <w:rFonts w:ascii="SimSun" w:hAnsi="SimSun" w:cs="SimSun"/>
          <w:color w:val="000000"/>
          <w:shd w:val="clear" w:color="auto" w:fill="FFFFFF"/>
        </w:rPr>
      </w:pPr>
    </w:p>
    <w:p w14:paraId="76A7B26F" w14:textId="76125467" w:rsidR="00874916" w:rsidRDefault="00874916" w:rsidP="00814974">
      <w:pPr>
        <w:rPr>
          <w:shd w:val="clear" w:color="auto" w:fill="FFFFFF"/>
        </w:rPr>
      </w:pPr>
      <w:r>
        <w:rPr>
          <w:shd w:val="clear" w:color="auto" w:fill="FFFFFF"/>
        </w:rPr>
        <w:t>S</w:t>
      </w:r>
      <w:r>
        <w:rPr>
          <w:rFonts w:hint="eastAsia"/>
          <w:shd w:val="clear" w:color="auto" w:fill="FFFFFF"/>
        </w:rPr>
        <w:t>imilar with the tea production structure in China, green tea also dominates the tea consumption market, with the sales volume of 960 thousand to</w:t>
      </w:r>
      <w:r w:rsidR="00A41510">
        <w:rPr>
          <w:rFonts w:hint="eastAsia"/>
          <w:shd w:val="clear" w:color="auto" w:fill="FFFFFF"/>
        </w:rPr>
        <w:t>ns in 2015, accounting for 53.3 percent</w:t>
      </w:r>
      <w:r>
        <w:rPr>
          <w:rFonts w:hint="eastAsia"/>
          <w:shd w:val="clear" w:color="auto" w:fill="FFFFFF"/>
        </w:rPr>
        <w:t xml:space="preserve"> of the total market in China. </w:t>
      </w:r>
      <w:r>
        <w:rPr>
          <w:shd w:val="clear" w:color="auto" w:fill="FFFFFF"/>
        </w:rPr>
        <w:t>D</w:t>
      </w:r>
      <w:r>
        <w:rPr>
          <w:rFonts w:hint="eastAsia"/>
          <w:shd w:val="clear" w:color="auto" w:fill="FFFFFF"/>
        </w:rPr>
        <w:t xml:space="preserve">ark tea has increased rapidly in 2015, </w:t>
      </w:r>
      <w:r>
        <w:rPr>
          <w:shd w:val="clear" w:color="auto" w:fill="FFFFFF"/>
        </w:rPr>
        <w:t>with</w:t>
      </w:r>
      <w:r>
        <w:rPr>
          <w:rFonts w:hint="eastAsia"/>
          <w:shd w:val="clear" w:color="auto" w:fill="FFFFFF"/>
        </w:rPr>
        <w:t xml:space="preserve"> the sales volume of 210 thousand tons, accounting for 11.7</w:t>
      </w:r>
      <w:r w:rsidR="00A41510">
        <w:rPr>
          <w:shd w:val="clear" w:color="auto" w:fill="FFFFFF"/>
        </w:rPr>
        <w:t xml:space="preserve"> percent</w:t>
      </w:r>
      <w:r w:rsidR="00A41510">
        <w:rPr>
          <w:rFonts w:hint="eastAsia"/>
          <w:shd w:val="clear" w:color="auto" w:fill="FFFFFF"/>
        </w:rPr>
        <w:t>, compared with 100 </w:t>
      </w:r>
      <w:r>
        <w:rPr>
          <w:rFonts w:hint="eastAsia"/>
          <w:shd w:val="clear" w:color="auto" w:fill="FFFFFF"/>
        </w:rPr>
        <w:t>thousand tons and 6.3</w:t>
      </w:r>
      <w:r w:rsidR="00A41510">
        <w:rPr>
          <w:shd w:val="clear" w:color="auto" w:fill="FFFFFF"/>
        </w:rPr>
        <w:t xml:space="preserve"> percent </w:t>
      </w:r>
      <w:r>
        <w:rPr>
          <w:rFonts w:hint="eastAsia"/>
          <w:shd w:val="clear" w:color="auto" w:fill="FFFFFF"/>
        </w:rPr>
        <w:t xml:space="preserve">in 2014. </w:t>
      </w:r>
      <w:r>
        <w:rPr>
          <w:shd w:val="clear" w:color="auto" w:fill="FFFFFF"/>
        </w:rPr>
        <w:t>T</w:t>
      </w:r>
      <w:r>
        <w:rPr>
          <w:rFonts w:hint="eastAsia"/>
          <w:shd w:val="clear" w:color="auto" w:fill="FFFFFF"/>
        </w:rPr>
        <w:t>he sales volume of black tea and oolong</w:t>
      </w:r>
      <w:r w:rsidR="00A41510">
        <w:rPr>
          <w:rFonts w:hint="eastAsia"/>
          <w:shd w:val="clear" w:color="auto" w:fill="FFFFFF"/>
        </w:rPr>
        <w:t xml:space="preserve"> tea is 185 thousand tons (10.3 percent</w:t>
      </w:r>
      <w:r>
        <w:rPr>
          <w:rFonts w:hint="eastAsia"/>
          <w:shd w:val="clear" w:color="auto" w:fill="FFFFFF"/>
        </w:rPr>
        <w:t>) and 200 thousand tons (11.1</w:t>
      </w:r>
      <w:r w:rsidR="00A41510">
        <w:rPr>
          <w:shd w:val="clear" w:color="auto" w:fill="FFFFFF"/>
        </w:rPr>
        <w:t xml:space="preserve"> percent</w:t>
      </w:r>
      <w:r>
        <w:rPr>
          <w:rFonts w:hint="eastAsia"/>
          <w:shd w:val="clear" w:color="auto" w:fill="FFFFFF"/>
        </w:rPr>
        <w:t>)</w:t>
      </w:r>
      <w:r w:rsidR="00A41510">
        <w:rPr>
          <w:shd w:val="clear" w:color="auto" w:fill="FFFFFF"/>
        </w:rPr>
        <w:t>,</w:t>
      </w:r>
      <w:r>
        <w:rPr>
          <w:rFonts w:hint="eastAsia"/>
          <w:shd w:val="clear" w:color="auto" w:fill="FFFFFF"/>
        </w:rPr>
        <w:t xml:space="preserve"> respectively. </w:t>
      </w:r>
    </w:p>
    <w:p w14:paraId="347CF60F" w14:textId="77777777" w:rsidR="00814974" w:rsidRDefault="00814974" w:rsidP="00814974">
      <w:pPr>
        <w:rPr>
          <w:shd w:val="clear" w:color="auto" w:fill="FFFFFF"/>
        </w:rPr>
      </w:pPr>
    </w:p>
    <w:p w14:paraId="7502B617" w14:textId="77777777" w:rsidR="00814974" w:rsidRDefault="00814974" w:rsidP="00814974">
      <w:pPr>
        <w:jc w:val="center"/>
        <w:rPr>
          <w:b/>
          <w:sz w:val="28"/>
          <w:szCs w:val="28"/>
        </w:rPr>
      </w:pPr>
      <w:r w:rsidRPr="00814974">
        <w:rPr>
          <w:b/>
          <w:sz w:val="28"/>
          <w:szCs w:val="28"/>
        </w:rPr>
        <w:t>Figure</w:t>
      </w:r>
      <w:r w:rsidRPr="00814974">
        <w:rPr>
          <w:rFonts w:hint="eastAsia"/>
          <w:b/>
          <w:sz w:val="28"/>
          <w:szCs w:val="28"/>
        </w:rPr>
        <w:t xml:space="preserve"> 10: 2015 Market share of different tea</w:t>
      </w:r>
      <w:r w:rsidRPr="00814974">
        <w:rPr>
          <w:b/>
          <w:sz w:val="28"/>
          <w:szCs w:val="28"/>
        </w:rPr>
        <w:t xml:space="preserve"> </w:t>
      </w:r>
      <w:r w:rsidRPr="00814974">
        <w:rPr>
          <w:rFonts w:hint="eastAsia"/>
          <w:b/>
          <w:sz w:val="28"/>
          <w:szCs w:val="28"/>
        </w:rPr>
        <w:t>i</w:t>
      </w:r>
      <w:r w:rsidRPr="00814974">
        <w:rPr>
          <w:b/>
          <w:sz w:val="28"/>
          <w:szCs w:val="28"/>
        </w:rPr>
        <w:t>n China</w:t>
      </w:r>
    </w:p>
    <w:p w14:paraId="24874D62" w14:textId="77777777" w:rsidR="00814974" w:rsidRPr="00814974" w:rsidRDefault="00814974" w:rsidP="00814974">
      <w:pPr>
        <w:jc w:val="center"/>
        <w:rPr>
          <w:b/>
          <w:sz w:val="28"/>
          <w:szCs w:val="28"/>
        </w:rPr>
      </w:pPr>
    </w:p>
    <w:p w14:paraId="1FACB850" w14:textId="77777777" w:rsidR="00874916" w:rsidRDefault="00874916" w:rsidP="00874916">
      <w:pPr>
        <w:jc w:val="center"/>
        <w:rPr>
          <w:b/>
          <w:sz w:val="18"/>
          <w:szCs w:val="18"/>
        </w:rPr>
      </w:pPr>
      <w:r>
        <w:rPr>
          <w:noProof/>
        </w:rPr>
        <w:drawing>
          <wp:inline distT="0" distB="0" distL="0" distR="0" wp14:anchorId="385BFE26" wp14:editId="1A2BFCA0">
            <wp:extent cx="4362450" cy="2295525"/>
            <wp:effectExtent l="0" t="0" r="0" b="0"/>
            <wp:docPr id="8" name="图表 8"/>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19A6C94" w14:textId="62E85495" w:rsidR="00874916" w:rsidRPr="00620CCF" w:rsidRDefault="00814974" w:rsidP="00874916">
      <w:pPr>
        <w:pStyle w:val="2"/>
        <w:numPr>
          <w:ilvl w:val="0"/>
          <w:numId w:val="0"/>
        </w:numPr>
        <w:spacing w:after="120"/>
        <w:ind w:left="420" w:hanging="420"/>
        <w:rPr>
          <w:shd w:val="clear" w:color="auto" w:fill="FFFFFF"/>
        </w:rPr>
      </w:pPr>
      <w:r>
        <w:rPr>
          <w:rFonts w:hint="eastAsia"/>
          <w:shd w:val="clear" w:color="auto" w:fill="FFFFFF"/>
        </w:rPr>
        <w:lastRenderedPageBreak/>
        <w:t>5.3</w:t>
      </w:r>
      <w:r w:rsidR="00874916">
        <w:rPr>
          <w:rFonts w:hint="eastAsia"/>
          <w:shd w:val="clear" w:color="auto" w:fill="FFFFFF"/>
        </w:rPr>
        <w:t xml:space="preserve"> </w:t>
      </w:r>
      <w:r>
        <w:rPr>
          <w:shd w:val="clear" w:color="auto" w:fill="FFFFFF"/>
        </w:rPr>
        <w:tab/>
      </w:r>
      <w:r>
        <w:rPr>
          <w:shd w:val="clear" w:color="auto" w:fill="FFFFFF"/>
        </w:rPr>
        <w:tab/>
      </w:r>
      <w:r w:rsidR="00874916">
        <w:rPr>
          <w:shd w:val="clear" w:color="auto" w:fill="FFFFFF"/>
        </w:rPr>
        <w:t>T</w:t>
      </w:r>
      <w:r w:rsidR="00874916">
        <w:rPr>
          <w:rFonts w:hint="eastAsia"/>
          <w:shd w:val="clear" w:color="auto" w:fill="FFFFFF"/>
        </w:rPr>
        <w:t>ea consumer structure</w:t>
      </w:r>
    </w:p>
    <w:p w14:paraId="7C4461CC" w14:textId="2DB7E39B" w:rsidR="00874916" w:rsidRPr="005714A7" w:rsidRDefault="00874916" w:rsidP="00814974">
      <w:pPr>
        <w:rPr>
          <w:color w:val="231F20"/>
          <w:szCs w:val="21"/>
        </w:rPr>
      </w:pPr>
      <w:r w:rsidRPr="005714A7">
        <w:rPr>
          <w:color w:val="231F20"/>
          <w:szCs w:val="21"/>
        </w:rPr>
        <w:t xml:space="preserve">The expansion of </w:t>
      </w:r>
      <w:r w:rsidR="0022481C">
        <w:rPr>
          <w:color w:val="231F20"/>
          <w:szCs w:val="21"/>
        </w:rPr>
        <w:t>the tea-</w:t>
      </w:r>
      <w:r w:rsidRPr="005714A7">
        <w:rPr>
          <w:color w:val="231F20"/>
          <w:szCs w:val="21"/>
        </w:rPr>
        <w:t xml:space="preserve">drinking population is the </w:t>
      </w:r>
      <w:r w:rsidR="0022481C">
        <w:rPr>
          <w:color w:val="231F20"/>
          <w:szCs w:val="21"/>
        </w:rPr>
        <w:t>reason why tea consumption continued</w:t>
      </w:r>
      <w:r w:rsidRPr="005714A7">
        <w:rPr>
          <w:color w:val="231F20"/>
          <w:szCs w:val="21"/>
        </w:rPr>
        <w:t xml:space="preserve"> to grow in China in recent years. From 2011 to 2015, </w:t>
      </w:r>
      <w:r w:rsidR="0022481C">
        <w:rPr>
          <w:color w:val="231F20"/>
          <w:szCs w:val="21"/>
        </w:rPr>
        <w:t>the tea-</w:t>
      </w:r>
      <w:r w:rsidRPr="005714A7">
        <w:rPr>
          <w:color w:val="231F20"/>
          <w:szCs w:val="21"/>
        </w:rPr>
        <w:t xml:space="preserve">drinking population in China </w:t>
      </w:r>
      <w:r w:rsidR="00050539">
        <w:rPr>
          <w:color w:val="231F20"/>
          <w:szCs w:val="21"/>
        </w:rPr>
        <w:t xml:space="preserve">– especially those in urban areas – rose </w:t>
      </w:r>
      <w:r w:rsidRPr="005714A7">
        <w:rPr>
          <w:color w:val="231F20"/>
          <w:szCs w:val="21"/>
        </w:rPr>
        <w:t>from 443 million to 471</w:t>
      </w:r>
      <w:r w:rsidR="00050539">
        <w:rPr>
          <w:color w:val="231F20"/>
          <w:szCs w:val="21"/>
        </w:rPr>
        <w:t> </w:t>
      </w:r>
      <w:r w:rsidRPr="005714A7">
        <w:rPr>
          <w:color w:val="231F20"/>
          <w:szCs w:val="21"/>
        </w:rPr>
        <w:t xml:space="preserve">million, </w:t>
      </w:r>
      <w:r w:rsidR="0022481C">
        <w:rPr>
          <w:color w:val="231F20"/>
          <w:szCs w:val="21"/>
        </w:rPr>
        <w:t xml:space="preserve">accounting for a </w:t>
      </w:r>
      <w:r w:rsidRPr="005714A7">
        <w:rPr>
          <w:color w:val="231F20"/>
          <w:szCs w:val="21"/>
        </w:rPr>
        <w:t>6.3</w:t>
      </w:r>
      <w:r w:rsidR="0022481C">
        <w:rPr>
          <w:color w:val="231F20"/>
          <w:szCs w:val="21"/>
        </w:rPr>
        <w:t xml:space="preserve"> percent </w:t>
      </w:r>
      <w:r w:rsidR="00050539">
        <w:rPr>
          <w:color w:val="231F20"/>
          <w:szCs w:val="21"/>
        </w:rPr>
        <w:t xml:space="preserve">increase. </w:t>
      </w:r>
      <w:r w:rsidRPr="005714A7">
        <w:rPr>
          <w:color w:val="231F20"/>
          <w:szCs w:val="21"/>
        </w:rPr>
        <w:t xml:space="preserve">With the rural population declining </w:t>
      </w:r>
      <w:r w:rsidR="00050539">
        <w:rPr>
          <w:color w:val="231F20"/>
          <w:szCs w:val="21"/>
        </w:rPr>
        <w:t>annually</w:t>
      </w:r>
      <w:r w:rsidRPr="005714A7">
        <w:rPr>
          <w:color w:val="231F20"/>
          <w:szCs w:val="21"/>
        </w:rPr>
        <w:t>, there are more and more people drinking tea in the rural areas ensures the stability of the rural tea consumption. T</w:t>
      </w:r>
      <w:r w:rsidR="00050539">
        <w:rPr>
          <w:color w:val="231F20"/>
          <w:szCs w:val="21"/>
        </w:rPr>
        <w:t>he t</w:t>
      </w:r>
      <w:r w:rsidRPr="005714A7">
        <w:rPr>
          <w:color w:val="231F20"/>
          <w:szCs w:val="21"/>
        </w:rPr>
        <w:t>ea drinking population was estimated to be 480 million in 2016 (Figure 11).</w:t>
      </w:r>
    </w:p>
    <w:p w14:paraId="6668CEDC" w14:textId="77777777" w:rsidR="00874916" w:rsidRDefault="00874916" w:rsidP="00874916">
      <w:pPr>
        <w:spacing w:line="360" w:lineRule="auto"/>
        <w:ind w:firstLineChars="200" w:firstLine="400"/>
        <w:rPr>
          <w:rFonts w:ascii="FZSYK--GBK1-0" w:hAnsi="FZSYK--GBK1-0"/>
          <w:color w:val="231F20"/>
          <w:sz w:val="20"/>
          <w:szCs w:val="20"/>
        </w:rPr>
      </w:pPr>
    </w:p>
    <w:p w14:paraId="3B368289" w14:textId="77777777" w:rsidR="00814974" w:rsidRPr="00814974" w:rsidRDefault="00814974" w:rsidP="00814974">
      <w:pPr>
        <w:jc w:val="center"/>
        <w:rPr>
          <w:b/>
          <w:sz w:val="28"/>
          <w:szCs w:val="28"/>
        </w:rPr>
      </w:pPr>
      <w:r w:rsidRPr="00814974">
        <w:rPr>
          <w:b/>
          <w:sz w:val="28"/>
          <w:szCs w:val="28"/>
        </w:rPr>
        <w:t>Figure</w:t>
      </w:r>
      <w:r w:rsidRPr="00814974">
        <w:rPr>
          <w:rFonts w:hint="eastAsia"/>
          <w:b/>
          <w:sz w:val="28"/>
          <w:szCs w:val="28"/>
        </w:rPr>
        <w:t xml:space="preserve"> 11: 2011-2016 </w:t>
      </w:r>
      <w:r w:rsidRPr="00814974">
        <w:rPr>
          <w:b/>
          <w:sz w:val="28"/>
          <w:szCs w:val="28"/>
        </w:rPr>
        <w:t>T</w:t>
      </w:r>
      <w:r w:rsidRPr="00814974">
        <w:rPr>
          <w:rFonts w:hint="eastAsia"/>
          <w:b/>
          <w:sz w:val="28"/>
          <w:szCs w:val="28"/>
        </w:rPr>
        <w:t>ea drinking population in rural and urban china</w:t>
      </w:r>
    </w:p>
    <w:p w14:paraId="146D2BD0" w14:textId="77777777" w:rsidR="00814974" w:rsidRDefault="00814974" w:rsidP="00874916">
      <w:pPr>
        <w:spacing w:line="360" w:lineRule="auto"/>
        <w:ind w:firstLineChars="200" w:firstLine="400"/>
        <w:rPr>
          <w:rFonts w:ascii="FZSYK--GBK1-0" w:hAnsi="FZSYK--GBK1-0"/>
          <w:color w:val="231F20"/>
          <w:sz w:val="20"/>
          <w:szCs w:val="20"/>
        </w:rPr>
      </w:pPr>
    </w:p>
    <w:p w14:paraId="5DD4C295" w14:textId="77777777" w:rsidR="00874916" w:rsidRDefault="00874916" w:rsidP="00874916">
      <w:pPr>
        <w:jc w:val="center"/>
        <w:rPr>
          <w:rFonts w:ascii="SimSun" w:hAnsi="SimSun" w:cs="SimSun"/>
          <w:color w:val="000000"/>
          <w:shd w:val="clear" w:color="auto" w:fill="FFFFFF"/>
        </w:rPr>
      </w:pPr>
      <w:r>
        <w:rPr>
          <w:noProof/>
        </w:rPr>
        <w:drawing>
          <wp:inline distT="0" distB="0" distL="0" distR="0" wp14:anchorId="5CBAAA54" wp14:editId="00254D68">
            <wp:extent cx="4572000" cy="2743200"/>
            <wp:effectExtent l="0" t="0" r="0" b="0"/>
            <wp:docPr id="10" name="图表 10"/>
            <wp:cNvGraphicFramePr/>
            <a:graphic xmlns:a="http://schemas.openxmlformats.org/drawingml/2006/main">
              <a:graphicData uri="http://schemas.openxmlformats.org/drawingml/2006/chart">
                <c:chart xmlns:c="http://schemas.openxmlformats.org/drawingml/2006/chart" xmlns:r="http://schemas.openxmlformats.org/officeDocument/2006/relationships" r:id="rId24"/>
              </a:graphicData>
            </a:graphic>
          </wp:inline>
        </w:drawing>
      </w:r>
    </w:p>
    <w:p w14:paraId="54D60300" w14:textId="069C807E" w:rsidR="00874916" w:rsidRPr="00620CCF" w:rsidRDefault="00814974" w:rsidP="00874916">
      <w:pPr>
        <w:pStyle w:val="2"/>
        <w:numPr>
          <w:ilvl w:val="0"/>
          <w:numId w:val="0"/>
        </w:numPr>
        <w:spacing w:after="120"/>
        <w:ind w:left="420" w:hanging="420"/>
        <w:rPr>
          <w:shd w:val="clear" w:color="auto" w:fill="FFFFFF"/>
        </w:rPr>
      </w:pPr>
      <w:r>
        <w:rPr>
          <w:rFonts w:hint="eastAsia"/>
          <w:shd w:val="clear" w:color="auto" w:fill="FFFFFF"/>
        </w:rPr>
        <w:t>5.4</w:t>
      </w:r>
      <w:r>
        <w:rPr>
          <w:rFonts w:hint="eastAsia"/>
          <w:shd w:val="clear" w:color="auto" w:fill="FFFFFF"/>
        </w:rPr>
        <w:tab/>
      </w:r>
      <w:r>
        <w:rPr>
          <w:rFonts w:hint="eastAsia"/>
          <w:shd w:val="clear" w:color="auto" w:fill="FFFFFF"/>
        </w:rPr>
        <w:tab/>
      </w:r>
      <w:r w:rsidR="00874916">
        <w:rPr>
          <w:shd w:val="clear" w:color="auto" w:fill="FFFFFF"/>
        </w:rPr>
        <w:t>M</w:t>
      </w:r>
      <w:r w:rsidR="00874916">
        <w:rPr>
          <w:rFonts w:hint="eastAsia"/>
          <w:shd w:val="clear" w:color="auto" w:fill="FFFFFF"/>
        </w:rPr>
        <w:t xml:space="preserve">arket </w:t>
      </w:r>
      <w:r w:rsidR="00874916">
        <w:rPr>
          <w:shd w:val="clear" w:color="auto" w:fill="FFFFFF"/>
        </w:rPr>
        <w:t>trends</w:t>
      </w:r>
    </w:p>
    <w:p w14:paraId="313DE800" w14:textId="0CC47FC1" w:rsidR="00874916" w:rsidRDefault="00874916" w:rsidP="00814974">
      <w:pPr>
        <w:rPr>
          <w:color w:val="231F20"/>
          <w:szCs w:val="21"/>
        </w:rPr>
      </w:pPr>
      <w:r w:rsidRPr="005714A7">
        <w:rPr>
          <w:rFonts w:hint="eastAsia"/>
          <w:color w:val="231F20"/>
          <w:szCs w:val="21"/>
        </w:rPr>
        <w:t xml:space="preserve">Affected by traditional tea drinking habits, </w:t>
      </w:r>
      <w:r>
        <w:rPr>
          <w:rFonts w:hint="eastAsia"/>
          <w:color w:val="231F20"/>
          <w:szCs w:val="21"/>
        </w:rPr>
        <w:t>fresh-brewed tea</w:t>
      </w:r>
      <w:r w:rsidRPr="005714A7">
        <w:rPr>
          <w:rFonts w:hint="eastAsia"/>
          <w:color w:val="231F20"/>
          <w:szCs w:val="21"/>
        </w:rPr>
        <w:t xml:space="preserve"> is still the main stream in </w:t>
      </w:r>
      <w:r w:rsidR="00050539">
        <w:rPr>
          <w:color w:val="231F20"/>
          <w:szCs w:val="21"/>
        </w:rPr>
        <w:t xml:space="preserve">the </w:t>
      </w:r>
      <w:r w:rsidRPr="005714A7">
        <w:rPr>
          <w:color w:val="231F20"/>
          <w:szCs w:val="21"/>
        </w:rPr>
        <w:t>Chinese</w:t>
      </w:r>
      <w:r w:rsidRPr="005714A7">
        <w:rPr>
          <w:rFonts w:hint="eastAsia"/>
          <w:color w:val="231F20"/>
          <w:szCs w:val="21"/>
        </w:rPr>
        <w:t xml:space="preserve"> tea market</w:t>
      </w:r>
      <w:r>
        <w:rPr>
          <w:rFonts w:hint="eastAsia"/>
          <w:color w:val="231F20"/>
          <w:szCs w:val="21"/>
        </w:rPr>
        <w:t xml:space="preserve">; </w:t>
      </w:r>
      <w:r w:rsidRPr="005714A7">
        <w:rPr>
          <w:rFonts w:hint="eastAsia"/>
          <w:color w:val="231F20"/>
          <w:szCs w:val="21"/>
        </w:rPr>
        <w:t xml:space="preserve">the market </w:t>
      </w:r>
      <w:r w:rsidR="00050539">
        <w:rPr>
          <w:color w:val="231F20"/>
          <w:szCs w:val="21"/>
        </w:rPr>
        <w:t xml:space="preserve">space </w:t>
      </w:r>
      <w:r w:rsidRPr="005714A7">
        <w:rPr>
          <w:rFonts w:hint="eastAsia"/>
          <w:color w:val="231F20"/>
          <w:szCs w:val="21"/>
        </w:rPr>
        <w:t xml:space="preserve">for teabags is limited, while </w:t>
      </w:r>
      <w:r w:rsidRPr="005714A7">
        <w:rPr>
          <w:color w:val="231F20"/>
          <w:szCs w:val="21"/>
        </w:rPr>
        <w:t>deep processing and derivative products</w:t>
      </w:r>
      <w:r w:rsidRPr="005714A7">
        <w:rPr>
          <w:rFonts w:hint="eastAsia"/>
          <w:color w:val="231F20"/>
          <w:szCs w:val="21"/>
        </w:rPr>
        <w:t xml:space="preserve"> of tea </w:t>
      </w:r>
      <w:r w:rsidR="00050539">
        <w:rPr>
          <w:color w:val="231F20"/>
          <w:szCs w:val="21"/>
        </w:rPr>
        <w:t xml:space="preserve">are expected to </w:t>
      </w:r>
      <w:r w:rsidRPr="005714A7">
        <w:rPr>
          <w:color w:val="231F20"/>
          <w:szCs w:val="21"/>
        </w:rPr>
        <w:t>achieve high growth, especially tea food</w:t>
      </w:r>
      <w:r w:rsidRPr="005714A7">
        <w:rPr>
          <w:rFonts w:hint="eastAsia"/>
          <w:color w:val="231F20"/>
          <w:szCs w:val="21"/>
        </w:rPr>
        <w:t>s</w:t>
      </w:r>
      <w:r w:rsidRPr="005714A7">
        <w:rPr>
          <w:color w:val="231F20"/>
          <w:szCs w:val="21"/>
        </w:rPr>
        <w:t>, tea</w:t>
      </w:r>
      <w:r w:rsidRPr="005714A7">
        <w:rPr>
          <w:rFonts w:hint="eastAsia"/>
          <w:color w:val="231F20"/>
          <w:szCs w:val="21"/>
        </w:rPr>
        <w:t xml:space="preserve"> sets</w:t>
      </w:r>
      <w:r w:rsidRPr="005714A7">
        <w:rPr>
          <w:color w:val="231F20"/>
          <w:szCs w:val="21"/>
        </w:rPr>
        <w:t xml:space="preserve"> and other non-drink</w:t>
      </w:r>
      <w:r w:rsidRPr="005714A7">
        <w:rPr>
          <w:rFonts w:hint="eastAsia"/>
          <w:color w:val="231F20"/>
          <w:szCs w:val="21"/>
        </w:rPr>
        <w:t>ing tea</w:t>
      </w:r>
      <w:r w:rsidRPr="005714A7">
        <w:rPr>
          <w:color w:val="231F20"/>
          <w:szCs w:val="21"/>
        </w:rPr>
        <w:t xml:space="preserve"> products</w:t>
      </w:r>
      <w:r w:rsidRPr="005714A7">
        <w:rPr>
          <w:rFonts w:hint="eastAsia"/>
          <w:color w:val="231F20"/>
          <w:szCs w:val="21"/>
        </w:rPr>
        <w:t xml:space="preserve">. </w:t>
      </w:r>
      <w:r w:rsidRPr="005714A7">
        <w:rPr>
          <w:color w:val="231F20"/>
          <w:szCs w:val="21"/>
        </w:rPr>
        <w:t>F</w:t>
      </w:r>
      <w:r w:rsidRPr="005714A7">
        <w:rPr>
          <w:rFonts w:hint="eastAsia"/>
          <w:color w:val="231F20"/>
          <w:szCs w:val="21"/>
        </w:rPr>
        <w:t xml:space="preserve">rom the </w:t>
      </w:r>
      <w:r w:rsidRPr="005714A7">
        <w:rPr>
          <w:color w:val="231F20"/>
          <w:szCs w:val="21"/>
        </w:rPr>
        <w:t>division</w:t>
      </w:r>
      <w:r w:rsidRPr="005714A7">
        <w:rPr>
          <w:rFonts w:hint="eastAsia"/>
          <w:color w:val="231F20"/>
          <w:szCs w:val="21"/>
        </w:rPr>
        <w:t xml:space="preserve"> of tea types, green tea </w:t>
      </w:r>
      <w:r w:rsidR="00050539">
        <w:rPr>
          <w:color w:val="231F20"/>
          <w:szCs w:val="21"/>
        </w:rPr>
        <w:t xml:space="preserve">is expected to continue to </w:t>
      </w:r>
      <w:r w:rsidRPr="005714A7">
        <w:rPr>
          <w:rFonts w:hint="eastAsia"/>
          <w:color w:val="231F20"/>
          <w:szCs w:val="21"/>
        </w:rPr>
        <w:t xml:space="preserve">dominate the market, but </w:t>
      </w:r>
      <w:r w:rsidR="00050539">
        <w:rPr>
          <w:color w:val="231F20"/>
          <w:szCs w:val="21"/>
        </w:rPr>
        <w:t xml:space="preserve">its </w:t>
      </w:r>
      <w:r w:rsidRPr="005714A7">
        <w:rPr>
          <w:rFonts w:hint="eastAsia"/>
          <w:color w:val="231F20"/>
          <w:szCs w:val="21"/>
        </w:rPr>
        <w:t xml:space="preserve">market space will </w:t>
      </w:r>
      <w:r w:rsidRPr="005714A7">
        <w:rPr>
          <w:color w:val="231F20"/>
          <w:szCs w:val="21"/>
        </w:rPr>
        <w:t>shrink slightly, the</w:t>
      </w:r>
      <w:r w:rsidRPr="005714A7">
        <w:rPr>
          <w:rFonts w:hint="eastAsia"/>
          <w:color w:val="231F20"/>
          <w:szCs w:val="21"/>
        </w:rPr>
        <w:t xml:space="preserve"> market size of </w:t>
      </w:r>
      <w:r w:rsidRPr="005714A7">
        <w:rPr>
          <w:color w:val="231F20"/>
          <w:szCs w:val="21"/>
        </w:rPr>
        <w:t xml:space="preserve">black tea and </w:t>
      </w:r>
      <w:r w:rsidRPr="005714A7">
        <w:rPr>
          <w:rFonts w:hint="eastAsia"/>
          <w:color w:val="231F20"/>
          <w:szCs w:val="21"/>
        </w:rPr>
        <w:t>dark</w:t>
      </w:r>
      <w:r w:rsidRPr="005714A7">
        <w:rPr>
          <w:color w:val="231F20"/>
          <w:szCs w:val="21"/>
        </w:rPr>
        <w:t xml:space="preserve"> tea </w:t>
      </w:r>
      <w:r w:rsidRPr="005714A7">
        <w:rPr>
          <w:rFonts w:hint="eastAsia"/>
          <w:color w:val="231F20"/>
          <w:szCs w:val="21"/>
        </w:rPr>
        <w:t xml:space="preserve">is </w:t>
      </w:r>
      <w:r w:rsidRPr="005714A7">
        <w:rPr>
          <w:color w:val="231F20"/>
          <w:szCs w:val="21"/>
        </w:rPr>
        <w:t>expected to continue to</w:t>
      </w:r>
      <w:r w:rsidR="00050539">
        <w:rPr>
          <w:color w:val="231F20"/>
          <w:szCs w:val="21"/>
        </w:rPr>
        <w:t xml:space="preserve"> expand;</w:t>
      </w:r>
      <w:r w:rsidRPr="005714A7">
        <w:rPr>
          <w:color w:val="231F20"/>
          <w:szCs w:val="21"/>
        </w:rPr>
        <w:t xml:space="preserve"> other tea</w:t>
      </w:r>
      <w:r w:rsidR="00050539">
        <w:rPr>
          <w:color w:val="231F20"/>
          <w:szCs w:val="21"/>
        </w:rPr>
        <w:t>s</w:t>
      </w:r>
      <w:r w:rsidRPr="005714A7">
        <w:rPr>
          <w:rFonts w:hint="eastAsia"/>
          <w:color w:val="231F20"/>
          <w:szCs w:val="21"/>
        </w:rPr>
        <w:t xml:space="preserve"> </w:t>
      </w:r>
      <w:r w:rsidR="00050539">
        <w:rPr>
          <w:color w:val="231F20"/>
          <w:szCs w:val="21"/>
        </w:rPr>
        <w:t xml:space="preserve">are envisaged to </w:t>
      </w:r>
      <w:r w:rsidRPr="005714A7">
        <w:rPr>
          <w:color w:val="231F20"/>
          <w:szCs w:val="21"/>
        </w:rPr>
        <w:t>maintain the existing level.</w:t>
      </w:r>
    </w:p>
    <w:p w14:paraId="2EFA090A" w14:textId="77777777" w:rsidR="00874916" w:rsidRPr="005B12EA" w:rsidRDefault="00874916" w:rsidP="00A41510">
      <w:pPr>
        <w:pStyle w:val="2"/>
        <w:spacing w:before="240" w:afterLines="100" w:after="240" w:line="240" w:lineRule="auto"/>
        <w:ind w:left="806" w:hanging="806"/>
        <w:rPr>
          <w:sz w:val="30"/>
          <w:szCs w:val="30"/>
        </w:rPr>
      </w:pPr>
      <w:r w:rsidRPr="005B12EA">
        <w:rPr>
          <w:sz w:val="30"/>
          <w:szCs w:val="30"/>
        </w:rPr>
        <w:t>Suggestions</w:t>
      </w:r>
      <w:r w:rsidRPr="005B12EA">
        <w:rPr>
          <w:rFonts w:hint="eastAsia"/>
          <w:sz w:val="30"/>
          <w:szCs w:val="30"/>
        </w:rPr>
        <w:t xml:space="preserve"> of </w:t>
      </w:r>
      <w:r w:rsidRPr="005B12EA">
        <w:rPr>
          <w:sz w:val="30"/>
          <w:szCs w:val="30"/>
        </w:rPr>
        <w:t>Global Tea Market Promotion</w:t>
      </w:r>
    </w:p>
    <w:p w14:paraId="49399195" w14:textId="006638D2" w:rsidR="00874916" w:rsidRPr="008878AC" w:rsidRDefault="005B12EA" w:rsidP="00874916">
      <w:pPr>
        <w:pStyle w:val="2"/>
        <w:numPr>
          <w:ilvl w:val="0"/>
          <w:numId w:val="0"/>
        </w:numPr>
        <w:spacing w:after="120"/>
        <w:ind w:left="420" w:hanging="420"/>
        <w:rPr>
          <w:shd w:val="clear" w:color="auto" w:fill="FFFFFF"/>
        </w:rPr>
      </w:pPr>
      <w:r>
        <w:rPr>
          <w:shd w:val="clear" w:color="auto" w:fill="FFFFFF"/>
        </w:rPr>
        <w:t>6.1</w:t>
      </w:r>
      <w:r>
        <w:rPr>
          <w:shd w:val="clear" w:color="auto" w:fill="FFFFFF"/>
        </w:rPr>
        <w:tab/>
      </w:r>
      <w:r>
        <w:rPr>
          <w:shd w:val="clear" w:color="auto" w:fill="FFFFFF"/>
        </w:rPr>
        <w:tab/>
      </w:r>
      <w:r w:rsidR="00874916" w:rsidRPr="008878AC">
        <w:rPr>
          <w:rFonts w:hint="eastAsia"/>
          <w:shd w:val="clear" w:color="auto" w:fill="FFFFFF"/>
        </w:rPr>
        <w:t xml:space="preserve"> </w:t>
      </w:r>
      <w:r w:rsidR="00874916" w:rsidRPr="008878AC">
        <w:rPr>
          <w:shd w:val="clear" w:color="auto" w:fill="FFFFFF"/>
        </w:rPr>
        <w:t>Research</w:t>
      </w:r>
      <w:r w:rsidR="00874916" w:rsidRPr="008878AC">
        <w:rPr>
          <w:rFonts w:hint="eastAsia"/>
          <w:shd w:val="clear" w:color="auto" w:fill="FFFFFF"/>
        </w:rPr>
        <w:t xml:space="preserve"> </w:t>
      </w:r>
      <w:r w:rsidR="00874916" w:rsidRPr="008878AC">
        <w:rPr>
          <w:shd w:val="clear" w:color="auto" w:fill="FFFFFF"/>
        </w:rPr>
        <w:t>and promotion of the health benefits of tea</w:t>
      </w:r>
    </w:p>
    <w:p w14:paraId="4092EFE0" w14:textId="40379F07" w:rsidR="00874916" w:rsidRPr="008878AC" w:rsidRDefault="00874916" w:rsidP="005B12EA">
      <w:pPr>
        <w:rPr>
          <w:color w:val="231F20"/>
          <w:szCs w:val="21"/>
        </w:rPr>
      </w:pPr>
      <w:r w:rsidRPr="008878AC">
        <w:rPr>
          <w:color w:val="231F20"/>
          <w:szCs w:val="21"/>
        </w:rPr>
        <w:t>Foods and beverages with functional benefits and naturally healthy offerings are gaining more and more attention. The demand for foods that are closer to their nat</w:t>
      </w:r>
      <w:r w:rsidR="005B12EA">
        <w:rPr>
          <w:color w:val="231F20"/>
          <w:szCs w:val="21"/>
        </w:rPr>
        <w:t>ural state is increasing among c</w:t>
      </w:r>
      <w:r w:rsidRPr="008878AC">
        <w:rPr>
          <w:color w:val="231F20"/>
          <w:szCs w:val="21"/>
        </w:rPr>
        <w:t>onsumers, especially the millennial</w:t>
      </w:r>
      <w:r w:rsidR="005B12EA">
        <w:rPr>
          <w:color w:val="231F20"/>
          <w:szCs w:val="21"/>
        </w:rPr>
        <w:t>s</w:t>
      </w:r>
      <w:r w:rsidRPr="008878AC">
        <w:rPr>
          <w:color w:val="231F20"/>
          <w:szCs w:val="21"/>
        </w:rPr>
        <w:t>. This trend will encourage consumers to look for foods that are in their most natural, original f</w:t>
      </w:r>
      <w:r>
        <w:rPr>
          <w:rFonts w:hint="eastAsia"/>
          <w:color w:val="231F20"/>
          <w:szCs w:val="21"/>
        </w:rPr>
        <w:t>or</w:t>
      </w:r>
      <w:r w:rsidRPr="008878AC">
        <w:rPr>
          <w:color w:val="231F20"/>
          <w:szCs w:val="21"/>
        </w:rPr>
        <w:t>m, such as true teas.</w:t>
      </w:r>
    </w:p>
    <w:p w14:paraId="600929AF" w14:textId="16EA9087" w:rsidR="00874916" w:rsidRPr="00C61574" w:rsidRDefault="005B12EA" w:rsidP="00874916">
      <w:pPr>
        <w:pStyle w:val="2"/>
        <w:numPr>
          <w:ilvl w:val="0"/>
          <w:numId w:val="0"/>
        </w:numPr>
        <w:spacing w:after="120"/>
        <w:ind w:left="420" w:hanging="420"/>
        <w:rPr>
          <w:shd w:val="clear" w:color="auto" w:fill="FFFFFF"/>
        </w:rPr>
      </w:pPr>
      <w:r>
        <w:rPr>
          <w:shd w:val="clear" w:color="auto" w:fill="FFFFFF"/>
        </w:rPr>
        <w:lastRenderedPageBreak/>
        <w:t>6.2</w:t>
      </w:r>
      <w:r>
        <w:rPr>
          <w:shd w:val="clear" w:color="auto" w:fill="FFFFFF"/>
        </w:rPr>
        <w:tab/>
      </w:r>
      <w:r>
        <w:rPr>
          <w:shd w:val="clear" w:color="auto" w:fill="FFFFFF"/>
        </w:rPr>
        <w:tab/>
      </w:r>
      <w:r w:rsidR="00874916" w:rsidRPr="00C61574">
        <w:rPr>
          <w:rFonts w:hint="eastAsia"/>
          <w:shd w:val="clear" w:color="auto" w:fill="FFFFFF"/>
        </w:rPr>
        <w:t>Develop new</w:t>
      </w:r>
      <w:r w:rsidR="00874916" w:rsidRPr="00C61574">
        <w:rPr>
          <w:shd w:val="clear" w:color="auto" w:fill="FFFFFF"/>
        </w:rPr>
        <w:t xml:space="preserve"> products to meet the diverse </w:t>
      </w:r>
      <w:r w:rsidR="00874916" w:rsidRPr="00C61574">
        <w:rPr>
          <w:rFonts w:hint="eastAsia"/>
          <w:shd w:val="clear" w:color="auto" w:fill="FFFFFF"/>
        </w:rPr>
        <w:t>demand</w:t>
      </w:r>
    </w:p>
    <w:p w14:paraId="5A90F916" w14:textId="77777777" w:rsidR="00874916" w:rsidRPr="0052256C" w:rsidRDefault="00874916" w:rsidP="005B12EA">
      <w:pPr>
        <w:rPr>
          <w:color w:val="231F20"/>
          <w:szCs w:val="21"/>
        </w:rPr>
      </w:pPr>
      <w:r w:rsidRPr="0052256C">
        <w:rPr>
          <w:rFonts w:hint="eastAsia"/>
          <w:color w:val="231F20"/>
          <w:szCs w:val="21"/>
        </w:rPr>
        <w:t xml:space="preserve">Improve the </w:t>
      </w:r>
      <w:r w:rsidRPr="0052256C">
        <w:rPr>
          <w:color w:val="231F20"/>
          <w:szCs w:val="21"/>
        </w:rPr>
        <w:t>usage efficiency</w:t>
      </w:r>
      <w:r w:rsidRPr="0052256C">
        <w:rPr>
          <w:rFonts w:hint="eastAsia"/>
          <w:color w:val="231F20"/>
          <w:szCs w:val="21"/>
        </w:rPr>
        <w:t xml:space="preserve"> of tea </w:t>
      </w:r>
      <w:r w:rsidRPr="0052256C">
        <w:rPr>
          <w:color w:val="231F20"/>
          <w:szCs w:val="21"/>
        </w:rPr>
        <w:t>resources;</w:t>
      </w:r>
      <w:r w:rsidRPr="0052256C">
        <w:rPr>
          <w:rFonts w:hint="eastAsia"/>
          <w:color w:val="231F20"/>
          <w:szCs w:val="21"/>
        </w:rPr>
        <w:t xml:space="preserve"> enhance the research and development level of the tea, and develop new d</w:t>
      </w:r>
      <w:r w:rsidRPr="0052256C">
        <w:rPr>
          <w:color w:val="231F20"/>
          <w:szCs w:val="21"/>
        </w:rPr>
        <w:t>erivatives</w:t>
      </w:r>
      <w:r w:rsidRPr="0052256C">
        <w:rPr>
          <w:rFonts w:hint="eastAsia"/>
          <w:color w:val="231F20"/>
          <w:szCs w:val="21"/>
        </w:rPr>
        <w:t xml:space="preserve"> of tea, such </w:t>
      </w:r>
      <w:r w:rsidRPr="0052256C">
        <w:rPr>
          <w:color w:val="231F20"/>
          <w:szCs w:val="21"/>
        </w:rPr>
        <w:t>as tea drinks, tea food, tea daily necessities, tea cosmetics, tea health products, tea crafts, etc.,</w:t>
      </w:r>
      <w:r w:rsidRPr="0052256C">
        <w:rPr>
          <w:rFonts w:hint="eastAsia"/>
          <w:color w:val="231F20"/>
          <w:szCs w:val="21"/>
        </w:rPr>
        <w:t xml:space="preserve"> to</w:t>
      </w:r>
      <w:r w:rsidRPr="0052256C">
        <w:rPr>
          <w:color w:val="231F20"/>
          <w:szCs w:val="21"/>
        </w:rPr>
        <w:t xml:space="preserve"> meet the diverse </w:t>
      </w:r>
      <w:r w:rsidRPr="0052256C">
        <w:rPr>
          <w:rFonts w:hint="eastAsia"/>
          <w:color w:val="231F20"/>
          <w:szCs w:val="21"/>
        </w:rPr>
        <w:t xml:space="preserve">demands </w:t>
      </w:r>
      <w:r w:rsidRPr="0052256C">
        <w:rPr>
          <w:color w:val="231F20"/>
          <w:szCs w:val="21"/>
        </w:rPr>
        <w:t>of mass consumption.</w:t>
      </w:r>
    </w:p>
    <w:p w14:paraId="06B0AB05" w14:textId="1889E7FD" w:rsidR="00874916" w:rsidRPr="00BF4521" w:rsidRDefault="005B12EA" w:rsidP="005B12EA">
      <w:pPr>
        <w:pStyle w:val="2"/>
        <w:numPr>
          <w:ilvl w:val="0"/>
          <w:numId w:val="0"/>
        </w:numPr>
        <w:spacing w:after="120"/>
        <w:rPr>
          <w:shd w:val="clear" w:color="auto" w:fill="FFFFFF"/>
        </w:rPr>
      </w:pPr>
      <w:r>
        <w:rPr>
          <w:shd w:val="clear" w:color="auto" w:fill="FFFFFF"/>
        </w:rPr>
        <w:t>6.3</w:t>
      </w:r>
      <w:r>
        <w:rPr>
          <w:shd w:val="clear" w:color="auto" w:fill="FFFFFF"/>
        </w:rPr>
        <w:tab/>
      </w:r>
      <w:r w:rsidR="00874916" w:rsidRPr="00BF4521">
        <w:rPr>
          <w:shd w:val="clear" w:color="auto" w:fill="FFFFFF"/>
        </w:rPr>
        <w:t>Promote tea culture</w:t>
      </w:r>
    </w:p>
    <w:p w14:paraId="429D931E" w14:textId="5A0300AA" w:rsidR="00874916" w:rsidRPr="005B12EA" w:rsidRDefault="005B12EA" w:rsidP="005B12EA">
      <w:pPr>
        <w:rPr>
          <w:color w:val="231F20"/>
          <w:szCs w:val="21"/>
        </w:rPr>
      </w:pPr>
      <w:r>
        <w:rPr>
          <w:color w:val="231F20"/>
          <w:szCs w:val="21"/>
        </w:rPr>
        <w:t>The culture of tea could be promoted b</w:t>
      </w:r>
      <w:r w:rsidR="00874916" w:rsidRPr="005B12EA">
        <w:rPr>
          <w:rFonts w:hint="eastAsia"/>
          <w:color w:val="231F20"/>
          <w:szCs w:val="21"/>
        </w:rPr>
        <w:t xml:space="preserve">y using the upcoming </w:t>
      </w:r>
      <w:r>
        <w:rPr>
          <w:color w:val="231F20"/>
          <w:szCs w:val="21"/>
        </w:rPr>
        <w:t>“</w:t>
      </w:r>
      <w:r w:rsidR="00874916" w:rsidRPr="005B12EA">
        <w:rPr>
          <w:color w:val="231F20"/>
          <w:szCs w:val="21"/>
        </w:rPr>
        <w:t>Global Tea Day”</w:t>
      </w:r>
      <w:r>
        <w:rPr>
          <w:color w:val="231F20"/>
          <w:szCs w:val="21"/>
        </w:rPr>
        <w:t xml:space="preserve"> and by </w:t>
      </w:r>
      <w:r w:rsidR="00874916" w:rsidRPr="005B12EA">
        <w:rPr>
          <w:rFonts w:hint="eastAsia"/>
          <w:color w:val="231F20"/>
          <w:szCs w:val="21"/>
        </w:rPr>
        <w:t>i</w:t>
      </w:r>
      <w:r w:rsidR="00874916" w:rsidRPr="005B12EA">
        <w:rPr>
          <w:color w:val="231F20"/>
          <w:szCs w:val="21"/>
        </w:rPr>
        <w:t>mprov</w:t>
      </w:r>
      <w:r>
        <w:rPr>
          <w:rFonts w:hint="eastAsia"/>
          <w:color w:val="231F20"/>
          <w:szCs w:val="21"/>
        </w:rPr>
        <w:t>ing</w:t>
      </w:r>
      <w:r w:rsidR="00874916" w:rsidRPr="005B12EA">
        <w:rPr>
          <w:rFonts w:hint="eastAsia"/>
          <w:color w:val="231F20"/>
          <w:szCs w:val="21"/>
        </w:rPr>
        <w:t xml:space="preserve"> consumers</w:t>
      </w:r>
      <w:r w:rsidR="00874916" w:rsidRPr="005B12EA">
        <w:rPr>
          <w:color w:val="231F20"/>
          <w:szCs w:val="21"/>
        </w:rPr>
        <w:t>’</w:t>
      </w:r>
      <w:r w:rsidR="00874916" w:rsidRPr="005B12EA">
        <w:rPr>
          <w:rFonts w:hint="eastAsia"/>
          <w:color w:val="231F20"/>
          <w:szCs w:val="21"/>
        </w:rPr>
        <w:t xml:space="preserve"> recognition of tea around the world </w:t>
      </w:r>
      <w:r>
        <w:rPr>
          <w:color w:val="231F20"/>
          <w:szCs w:val="21"/>
        </w:rPr>
        <w:t xml:space="preserve">through </w:t>
      </w:r>
      <w:r w:rsidR="00874916" w:rsidRPr="005B12EA">
        <w:rPr>
          <w:rFonts w:hint="eastAsia"/>
          <w:color w:val="231F20"/>
          <w:szCs w:val="21"/>
        </w:rPr>
        <w:t>hosting tea ceremonies</w:t>
      </w:r>
      <w:r>
        <w:rPr>
          <w:color w:val="231F20"/>
          <w:szCs w:val="21"/>
        </w:rPr>
        <w:t xml:space="preserve"> that could expose various </w:t>
      </w:r>
      <w:r w:rsidR="00874916" w:rsidRPr="005B12EA">
        <w:rPr>
          <w:color w:val="231F20"/>
          <w:szCs w:val="21"/>
        </w:rPr>
        <w:t>tea culture theme</w:t>
      </w:r>
      <w:r>
        <w:rPr>
          <w:color w:val="231F20"/>
          <w:szCs w:val="21"/>
        </w:rPr>
        <w:t>s</w:t>
      </w:r>
      <w:r w:rsidR="00874916" w:rsidRPr="005B12EA">
        <w:rPr>
          <w:rFonts w:hint="eastAsia"/>
          <w:color w:val="231F20"/>
          <w:szCs w:val="21"/>
        </w:rPr>
        <w:t xml:space="preserve"> </w:t>
      </w:r>
      <w:r>
        <w:rPr>
          <w:color w:val="231F20"/>
          <w:szCs w:val="21"/>
        </w:rPr>
        <w:t xml:space="preserve">in </w:t>
      </w:r>
      <w:r w:rsidR="00874916" w:rsidRPr="005B12EA">
        <w:rPr>
          <w:color w:val="231F20"/>
          <w:szCs w:val="21"/>
        </w:rPr>
        <w:t>producing</w:t>
      </w:r>
      <w:r w:rsidR="00874916" w:rsidRPr="005B12EA">
        <w:rPr>
          <w:rFonts w:hint="eastAsia"/>
          <w:color w:val="231F20"/>
          <w:szCs w:val="21"/>
        </w:rPr>
        <w:t xml:space="preserve"> and consuming countries. </w:t>
      </w:r>
      <w:r>
        <w:rPr>
          <w:color w:val="231F20"/>
          <w:szCs w:val="21"/>
        </w:rPr>
        <w:t xml:space="preserve">This would ensure that </w:t>
      </w:r>
      <w:r w:rsidR="00874916" w:rsidRPr="005B12EA">
        <w:rPr>
          <w:rFonts w:hint="eastAsia"/>
          <w:color w:val="231F20"/>
          <w:szCs w:val="21"/>
        </w:rPr>
        <w:t xml:space="preserve">consumers know the story behind the products, </w:t>
      </w:r>
      <w:r>
        <w:rPr>
          <w:color w:val="231F20"/>
          <w:szCs w:val="21"/>
        </w:rPr>
        <w:t xml:space="preserve">such as the </w:t>
      </w:r>
      <w:r w:rsidR="00874916" w:rsidRPr="005B12EA">
        <w:rPr>
          <w:rFonts w:hint="eastAsia"/>
          <w:color w:val="231F20"/>
          <w:szCs w:val="21"/>
        </w:rPr>
        <w:t xml:space="preserve">origins, histories and flavors of the tea they are drinking. </w:t>
      </w:r>
    </w:p>
    <w:p w14:paraId="3221B77F" w14:textId="4F016ED3" w:rsidR="00874916" w:rsidRDefault="005B12EA" w:rsidP="00874916">
      <w:pPr>
        <w:pStyle w:val="2"/>
        <w:numPr>
          <w:ilvl w:val="0"/>
          <w:numId w:val="0"/>
        </w:numPr>
        <w:spacing w:after="120"/>
        <w:ind w:left="420" w:hanging="420"/>
        <w:rPr>
          <w:shd w:val="clear" w:color="auto" w:fill="FFFFFF"/>
        </w:rPr>
      </w:pPr>
      <w:r>
        <w:rPr>
          <w:rFonts w:hint="eastAsia"/>
          <w:shd w:val="clear" w:color="auto" w:fill="FFFFFF"/>
        </w:rPr>
        <w:t>6.4</w:t>
      </w:r>
      <w:r>
        <w:rPr>
          <w:rFonts w:hint="eastAsia"/>
          <w:shd w:val="clear" w:color="auto" w:fill="FFFFFF"/>
        </w:rPr>
        <w:tab/>
      </w:r>
      <w:r>
        <w:rPr>
          <w:rFonts w:hint="eastAsia"/>
          <w:shd w:val="clear" w:color="auto" w:fill="FFFFFF"/>
        </w:rPr>
        <w:tab/>
      </w:r>
      <w:r w:rsidR="00874916">
        <w:rPr>
          <w:shd w:val="clear" w:color="auto" w:fill="FFFFFF"/>
        </w:rPr>
        <w:t>Pay</w:t>
      </w:r>
      <w:r w:rsidR="00874916">
        <w:rPr>
          <w:rFonts w:hint="eastAsia"/>
          <w:shd w:val="clear" w:color="auto" w:fill="FFFFFF"/>
        </w:rPr>
        <w:t xml:space="preserve"> more attention to the young consumer groups</w:t>
      </w:r>
    </w:p>
    <w:p w14:paraId="5289558F" w14:textId="21FED005" w:rsidR="00874916" w:rsidRPr="005B12EA" w:rsidRDefault="00874916" w:rsidP="005B12EA">
      <w:pPr>
        <w:rPr>
          <w:color w:val="231F20"/>
          <w:szCs w:val="21"/>
        </w:rPr>
      </w:pPr>
      <w:r w:rsidRPr="005B12EA">
        <w:rPr>
          <w:color w:val="231F20"/>
          <w:szCs w:val="21"/>
        </w:rPr>
        <w:t xml:space="preserve">In China, more and more young people </w:t>
      </w:r>
      <w:r w:rsidR="001B0EDF">
        <w:rPr>
          <w:color w:val="231F20"/>
          <w:szCs w:val="21"/>
        </w:rPr>
        <w:t xml:space="preserve">are beginning </w:t>
      </w:r>
      <w:r w:rsidRPr="005B12EA">
        <w:rPr>
          <w:rFonts w:hint="eastAsia"/>
          <w:color w:val="231F20"/>
          <w:szCs w:val="21"/>
        </w:rPr>
        <w:t xml:space="preserve">to drink tea. Firstly, </w:t>
      </w:r>
      <w:r w:rsidR="001B0EDF">
        <w:rPr>
          <w:color w:val="231F20"/>
          <w:szCs w:val="21"/>
        </w:rPr>
        <w:t>as C</w:t>
      </w:r>
      <w:r w:rsidRPr="005B12EA">
        <w:rPr>
          <w:rFonts w:hint="eastAsia"/>
          <w:color w:val="231F20"/>
          <w:szCs w:val="21"/>
        </w:rPr>
        <w:t xml:space="preserve">hina </w:t>
      </w:r>
      <w:r w:rsidR="001B0EDF">
        <w:rPr>
          <w:color w:val="231F20"/>
          <w:szCs w:val="21"/>
        </w:rPr>
        <w:t xml:space="preserve">becomes an </w:t>
      </w:r>
      <w:r w:rsidRPr="005B12EA">
        <w:rPr>
          <w:rFonts w:hint="eastAsia"/>
          <w:color w:val="231F20"/>
          <w:szCs w:val="21"/>
        </w:rPr>
        <w:t xml:space="preserve">aging society, young people </w:t>
      </w:r>
      <w:r w:rsidR="001B0EDF">
        <w:rPr>
          <w:color w:val="231F20"/>
          <w:szCs w:val="21"/>
        </w:rPr>
        <w:t xml:space="preserve">are becoming </w:t>
      </w:r>
      <w:r w:rsidRPr="005B12EA">
        <w:rPr>
          <w:rFonts w:hint="eastAsia"/>
          <w:color w:val="231F20"/>
          <w:szCs w:val="21"/>
        </w:rPr>
        <w:t xml:space="preserve">the main force of social consumption. Secondly, </w:t>
      </w:r>
      <w:r w:rsidRPr="005B12EA">
        <w:rPr>
          <w:color w:val="231F20"/>
          <w:szCs w:val="21"/>
        </w:rPr>
        <w:t>young people hav</w:t>
      </w:r>
      <w:r w:rsidRPr="005B12EA">
        <w:rPr>
          <w:rFonts w:hint="eastAsia"/>
          <w:color w:val="231F20"/>
          <w:szCs w:val="21"/>
        </w:rPr>
        <w:t xml:space="preserve">e become the main body of </w:t>
      </w:r>
      <w:r w:rsidRPr="005B12EA">
        <w:rPr>
          <w:color w:val="231F20"/>
          <w:szCs w:val="21"/>
        </w:rPr>
        <w:t>the</w:t>
      </w:r>
      <w:r w:rsidRPr="005B12EA">
        <w:rPr>
          <w:rFonts w:hint="eastAsia"/>
          <w:color w:val="231F20"/>
          <w:szCs w:val="21"/>
        </w:rPr>
        <w:t xml:space="preserve"> internet economy</w:t>
      </w:r>
      <w:r w:rsidR="001B0EDF">
        <w:rPr>
          <w:color w:val="231F20"/>
          <w:szCs w:val="21"/>
        </w:rPr>
        <w:t xml:space="preserve"> that is playing an increasingly important </w:t>
      </w:r>
      <w:r w:rsidRPr="005B12EA">
        <w:rPr>
          <w:rFonts w:hint="eastAsia"/>
          <w:color w:val="231F20"/>
          <w:szCs w:val="21"/>
        </w:rPr>
        <w:t xml:space="preserve">role in tea sales channels. The </w:t>
      </w:r>
      <w:r w:rsidRPr="005B12EA">
        <w:rPr>
          <w:color w:val="231F20"/>
          <w:szCs w:val="21"/>
        </w:rPr>
        <w:t>intense</w:t>
      </w:r>
      <w:r w:rsidRPr="005B12EA">
        <w:rPr>
          <w:rFonts w:hint="eastAsia"/>
          <w:color w:val="231F20"/>
          <w:szCs w:val="21"/>
        </w:rPr>
        <w:t xml:space="preserve"> life space has forced young people to pay more attention to their </w:t>
      </w:r>
      <w:r w:rsidRPr="005B12EA">
        <w:rPr>
          <w:color w:val="231F20"/>
          <w:szCs w:val="21"/>
        </w:rPr>
        <w:t>health</w:t>
      </w:r>
      <w:r w:rsidRPr="005B12EA">
        <w:rPr>
          <w:rFonts w:hint="eastAsia"/>
          <w:color w:val="231F20"/>
          <w:szCs w:val="21"/>
        </w:rPr>
        <w:t>, and they are more aware of the health benefit of drinking tea. Therefore, investigation and research should be taken to meet their demand.</w:t>
      </w:r>
    </w:p>
    <w:p w14:paraId="79A4214B" w14:textId="4E90E367" w:rsidR="00874916" w:rsidRPr="001B0EDF" w:rsidRDefault="00874916" w:rsidP="001B0EDF">
      <w:pPr>
        <w:pStyle w:val="2"/>
        <w:spacing w:after="120" w:line="240" w:lineRule="auto"/>
        <w:ind w:left="810" w:hanging="810"/>
        <w:rPr>
          <w:sz w:val="30"/>
          <w:szCs w:val="30"/>
        </w:rPr>
      </w:pPr>
      <w:r w:rsidRPr="001B0EDF">
        <w:rPr>
          <w:sz w:val="30"/>
          <w:szCs w:val="30"/>
        </w:rPr>
        <w:t>Conclusion</w:t>
      </w:r>
      <w:r w:rsidR="001B0EDF">
        <w:rPr>
          <w:sz w:val="30"/>
          <w:szCs w:val="30"/>
        </w:rPr>
        <w:t>s</w:t>
      </w:r>
      <w:r w:rsidRPr="001B0EDF">
        <w:rPr>
          <w:rFonts w:hint="eastAsia"/>
          <w:sz w:val="30"/>
          <w:szCs w:val="30"/>
        </w:rPr>
        <w:t xml:space="preserve">                                            </w:t>
      </w:r>
    </w:p>
    <w:p w14:paraId="289E2BFD" w14:textId="3725EA88" w:rsidR="00874916" w:rsidRPr="001B0EDF" w:rsidRDefault="00874916" w:rsidP="001B0EDF">
      <w:pPr>
        <w:rPr>
          <w:color w:val="231F20"/>
          <w:szCs w:val="21"/>
        </w:rPr>
      </w:pPr>
      <w:r w:rsidRPr="001B0EDF">
        <w:rPr>
          <w:color w:val="231F20"/>
          <w:szCs w:val="21"/>
        </w:rPr>
        <w:t xml:space="preserve">In the specific tea consumption market, the </w:t>
      </w:r>
      <w:r w:rsidR="001B0EDF">
        <w:rPr>
          <w:color w:val="231F20"/>
          <w:szCs w:val="21"/>
        </w:rPr>
        <w:t>US and Canadian</w:t>
      </w:r>
      <w:r w:rsidRPr="001B0EDF">
        <w:rPr>
          <w:color w:val="231F20"/>
          <w:szCs w:val="21"/>
        </w:rPr>
        <w:t xml:space="preserve"> </w:t>
      </w:r>
      <w:r w:rsidR="001B0EDF">
        <w:rPr>
          <w:color w:val="231F20"/>
          <w:szCs w:val="21"/>
        </w:rPr>
        <w:t xml:space="preserve">tea markets continued to grow, while the UK </w:t>
      </w:r>
      <w:r w:rsidRPr="001B0EDF">
        <w:rPr>
          <w:color w:val="231F20"/>
          <w:szCs w:val="21"/>
        </w:rPr>
        <w:t>tea market</w:t>
      </w:r>
      <w:r w:rsidR="001B0EDF">
        <w:rPr>
          <w:color w:val="231F20"/>
          <w:szCs w:val="21"/>
        </w:rPr>
        <w:t>, on the other hand, continued</w:t>
      </w:r>
      <w:r w:rsidRPr="001B0EDF">
        <w:rPr>
          <w:color w:val="231F20"/>
          <w:szCs w:val="21"/>
        </w:rPr>
        <w:t xml:space="preserve"> to decline, mainly due to diminishing sales of ordinary teabags</w:t>
      </w:r>
      <w:r w:rsidR="001B0EDF">
        <w:rPr>
          <w:color w:val="231F20"/>
          <w:szCs w:val="21"/>
        </w:rPr>
        <w:t>. M</w:t>
      </w:r>
      <w:r w:rsidRPr="001B0EDF">
        <w:rPr>
          <w:color w:val="231F20"/>
          <w:szCs w:val="21"/>
        </w:rPr>
        <w:t xml:space="preserve">eanwhile, green tea, fruit/herbal tea and specialty tea </w:t>
      </w:r>
      <w:r w:rsidR="001B0EDF">
        <w:rPr>
          <w:color w:val="231F20"/>
          <w:szCs w:val="21"/>
        </w:rPr>
        <w:t xml:space="preserve">are </w:t>
      </w:r>
      <w:r w:rsidRPr="001B0EDF">
        <w:rPr>
          <w:color w:val="231F20"/>
          <w:szCs w:val="21"/>
        </w:rPr>
        <w:t>expected to become a new growth point.</w:t>
      </w:r>
    </w:p>
    <w:p w14:paraId="73FC4FA8" w14:textId="77777777" w:rsidR="001B0EDF" w:rsidRDefault="001B0EDF" w:rsidP="001B0EDF">
      <w:pPr>
        <w:rPr>
          <w:color w:val="231F20"/>
          <w:szCs w:val="21"/>
        </w:rPr>
      </w:pPr>
    </w:p>
    <w:p w14:paraId="570A588F" w14:textId="715B7971" w:rsidR="00874916" w:rsidRPr="001B0EDF" w:rsidRDefault="00874916" w:rsidP="001B0EDF">
      <w:pPr>
        <w:rPr>
          <w:color w:val="231F20"/>
          <w:szCs w:val="21"/>
        </w:rPr>
      </w:pPr>
      <w:r w:rsidRPr="001B0EDF">
        <w:rPr>
          <w:color w:val="231F20"/>
          <w:szCs w:val="21"/>
        </w:rPr>
        <w:t>Tea is one of the few natural beverages in the world;</w:t>
      </w:r>
      <w:r w:rsidRPr="001B0EDF">
        <w:rPr>
          <w:rFonts w:hint="eastAsia"/>
          <w:color w:val="231F20"/>
          <w:szCs w:val="21"/>
        </w:rPr>
        <w:t xml:space="preserve"> </w:t>
      </w:r>
      <w:r w:rsidR="001B0EDF">
        <w:rPr>
          <w:color w:val="231F20"/>
          <w:szCs w:val="21"/>
        </w:rPr>
        <w:t>it does not contain salt, fat</w:t>
      </w:r>
      <w:r w:rsidRPr="001B0EDF">
        <w:rPr>
          <w:color w:val="231F20"/>
          <w:szCs w:val="21"/>
        </w:rPr>
        <w:t xml:space="preserve"> </w:t>
      </w:r>
      <w:r w:rsidRPr="001B0EDF">
        <w:rPr>
          <w:rFonts w:hint="eastAsia"/>
          <w:color w:val="231F20"/>
          <w:szCs w:val="21"/>
        </w:rPr>
        <w:t xml:space="preserve">or </w:t>
      </w:r>
      <w:r w:rsidRPr="001B0EDF">
        <w:rPr>
          <w:color w:val="231F20"/>
          <w:szCs w:val="21"/>
        </w:rPr>
        <w:t xml:space="preserve">any </w:t>
      </w:r>
      <w:r w:rsidRPr="001B0EDF">
        <w:rPr>
          <w:rFonts w:hint="eastAsia"/>
          <w:color w:val="231F20"/>
          <w:szCs w:val="21"/>
        </w:rPr>
        <w:t xml:space="preserve">other </w:t>
      </w:r>
      <w:r w:rsidRPr="001B0EDF">
        <w:rPr>
          <w:color w:val="231F20"/>
          <w:szCs w:val="21"/>
        </w:rPr>
        <w:t>calorie substances. Tea contains more than 450 kinds of organic compounds</w:t>
      </w:r>
      <w:r w:rsidRPr="001B0EDF">
        <w:rPr>
          <w:rFonts w:hint="eastAsia"/>
          <w:color w:val="231F20"/>
          <w:szCs w:val="21"/>
        </w:rPr>
        <w:t xml:space="preserve">, more than </w:t>
      </w:r>
      <w:r w:rsidRPr="001B0EDF">
        <w:rPr>
          <w:color w:val="231F20"/>
          <w:szCs w:val="21"/>
        </w:rPr>
        <w:t>15</w:t>
      </w:r>
      <w:r w:rsidRPr="001B0EDF">
        <w:rPr>
          <w:rFonts w:hint="eastAsia"/>
          <w:color w:val="231F20"/>
          <w:szCs w:val="21"/>
        </w:rPr>
        <w:t xml:space="preserve"> </w:t>
      </w:r>
      <w:r w:rsidRPr="001B0EDF">
        <w:rPr>
          <w:color w:val="231F20"/>
          <w:szCs w:val="21"/>
        </w:rPr>
        <w:t>kinds of inorganic minerals,</w:t>
      </w:r>
      <w:r w:rsidRPr="001B0EDF">
        <w:rPr>
          <w:rFonts w:hint="eastAsia"/>
          <w:color w:val="231F20"/>
          <w:szCs w:val="21"/>
        </w:rPr>
        <w:t xml:space="preserve"> and</w:t>
      </w:r>
      <w:r w:rsidRPr="001B0EDF">
        <w:rPr>
          <w:color w:val="231F20"/>
          <w:szCs w:val="21"/>
        </w:rPr>
        <w:t xml:space="preserve"> most of these ingredients have</w:t>
      </w:r>
      <w:r w:rsidRPr="001B0EDF">
        <w:rPr>
          <w:rFonts w:hint="eastAsia"/>
          <w:color w:val="231F20"/>
          <w:szCs w:val="21"/>
        </w:rPr>
        <w:t xml:space="preserve"> the effect of</w:t>
      </w:r>
      <w:r w:rsidRPr="001B0EDF">
        <w:rPr>
          <w:color w:val="231F20"/>
          <w:szCs w:val="21"/>
        </w:rPr>
        <w:t xml:space="preserve"> </w:t>
      </w:r>
      <w:r w:rsidRPr="001B0EDF">
        <w:rPr>
          <w:rFonts w:hint="eastAsia"/>
          <w:color w:val="231F20"/>
          <w:szCs w:val="21"/>
        </w:rPr>
        <w:t>health</w:t>
      </w:r>
      <w:r w:rsidRPr="001B0EDF">
        <w:rPr>
          <w:color w:val="231F20"/>
          <w:szCs w:val="21"/>
        </w:rPr>
        <w:t xml:space="preserve"> and disease prevention. As early as 1989, </w:t>
      </w:r>
      <w:r w:rsidRPr="001B0EDF">
        <w:rPr>
          <w:rFonts w:hint="eastAsia"/>
          <w:color w:val="231F20"/>
          <w:szCs w:val="21"/>
        </w:rPr>
        <w:t xml:space="preserve">an investigation by </w:t>
      </w:r>
      <w:r w:rsidRPr="001B0EDF">
        <w:rPr>
          <w:color w:val="231F20"/>
          <w:szCs w:val="21"/>
        </w:rPr>
        <w:t>the United Nations</w:t>
      </w:r>
      <w:r w:rsidR="001B0EDF">
        <w:rPr>
          <w:color w:val="231F20"/>
          <w:szCs w:val="21"/>
        </w:rPr>
        <w:t>’</w:t>
      </w:r>
      <w:r w:rsidRPr="001B0EDF">
        <w:rPr>
          <w:color w:val="231F20"/>
          <w:szCs w:val="21"/>
        </w:rPr>
        <w:t xml:space="preserve"> </w:t>
      </w:r>
      <w:r w:rsidR="001B0EDF">
        <w:rPr>
          <w:color w:val="231F20"/>
          <w:szCs w:val="21"/>
        </w:rPr>
        <w:t xml:space="preserve">World </w:t>
      </w:r>
      <w:r w:rsidRPr="001B0EDF">
        <w:rPr>
          <w:color w:val="231F20"/>
          <w:szCs w:val="21"/>
        </w:rPr>
        <w:t>Health Organization</w:t>
      </w:r>
      <w:r w:rsidR="001B0EDF">
        <w:rPr>
          <w:rFonts w:hint="eastAsia"/>
          <w:color w:val="231F20"/>
          <w:szCs w:val="21"/>
        </w:rPr>
        <w:t xml:space="preserve"> has shown</w:t>
      </w:r>
      <w:r w:rsidRPr="001B0EDF">
        <w:rPr>
          <w:rFonts w:hint="eastAsia"/>
          <w:color w:val="231F20"/>
          <w:szCs w:val="21"/>
        </w:rPr>
        <w:t xml:space="preserve"> that</w:t>
      </w:r>
      <w:r w:rsidRPr="001B0EDF">
        <w:rPr>
          <w:color w:val="231F20"/>
          <w:szCs w:val="21"/>
        </w:rPr>
        <w:t xml:space="preserve"> one of the mysteries of human longevity is "more tea and </w:t>
      </w:r>
      <w:r w:rsidRPr="001B0EDF">
        <w:rPr>
          <w:rFonts w:hint="eastAsia"/>
          <w:color w:val="231F20"/>
          <w:szCs w:val="21"/>
        </w:rPr>
        <w:t>less smoking</w:t>
      </w:r>
      <w:r w:rsidRPr="001B0EDF">
        <w:rPr>
          <w:color w:val="231F20"/>
          <w:szCs w:val="21"/>
        </w:rPr>
        <w:t>"</w:t>
      </w:r>
      <w:r w:rsidR="001B0EDF">
        <w:rPr>
          <w:color w:val="231F20"/>
          <w:szCs w:val="21"/>
        </w:rPr>
        <w:t>.</w:t>
      </w:r>
      <w:r w:rsidRPr="001B0EDF">
        <w:rPr>
          <w:color w:val="231F20"/>
          <w:szCs w:val="21"/>
        </w:rPr>
        <w:t xml:space="preserve"> T</w:t>
      </w:r>
      <w:r w:rsidRPr="001B0EDF">
        <w:rPr>
          <w:rFonts w:hint="eastAsia"/>
          <w:color w:val="231F20"/>
          <w:szCs w:val="21"/>
        </w:rPr>
        <w:t>oday</w:t>
      </w:r>
      <w:r w:rsidR="001B0EDF">
        <w:rPr>
          <w:color w:val="231F20"/>
          <w:szCs w:val="21"/>
        </w:rPr>
        <w:t>,</w:t>
      </w:r>
      <w:r w:rsidRPr="001B0EDF">
        <w:rPr>
          <w:rFonts w:hint="eastAsia"/>
          <w:color w:val="231F20"/>
          <w:szCs w:val="21"/>
        </w:rPr>
        <w:t xml:space="preserve"> people are pursuing </w:t>
      </w:r>
      <w:r w:rsidR="001B0EDF">
        <w:rPr>
          <w:color w:val="231F20"/>
          <w:szCs w:val="21"/>
        </w:rPr>
        <w:t xml:space="preserve">better </w:t>
      </w:r>
      <w:r w:rsidRPr="001B0EDF">
        <w:rPr>
          <w:rFonts w:hint="eastAsia"/>
          <w:color w:val="231F20"/>
          <w:szCs w:val="21"/>
        </w:rPr>
        <w:t xml:space="preserve">health and </w:t>
      </w:r>
      <w:r w:rsidR="001B0EDF">
        <w:rPr>
          <w:color w:val="231F20"/>
          <w:szCs w:val="21"/>
        </w:rPr>
        <w:t xml:space="preserve">more </w:t>
      </w:r>
      <w:r w:rsidRPr="001B0EDF">
        <w:rPr>
          <w:rFonts w:hint="eastAsia"/>
          <w:color w:val="231F20"/>
          <w:szCs w:val="21"/>
        </w:rPr>
        <w:t>natural food</w:t>
      </w:r>
      <w:r w:rsidR="001B0EDF">
        <w:rPr>
          <w:color w:val="231F20"/>
          <w:szCs w:val="21"/>
        </w:rPr>
        <w:t>s</w:t>
      </w:r>
      <w:r w:rsidRPr="001B0EDF">
        <w:rPr>
          <w:rFonts w:hint="eastAsia"/>
          <w:color w:val="231F20"/>
          <w:szCs w:val="21"/>
        </w:rPr>
        <w:t xml:space="preserve">, so there will be great space for </w:t>
      </w:r>
      <w:r w:rsidR="001B0EDF">
        <w:rPr>
          <w:color w:val="231F20"/>
          <w:szCs w:val="21"/>
        </w:rPr>
        <w:t xml:space="preserve">the </w:t>
      </w:r>
      <w:r w:rsidRPr="001B0EDF">
        <w:rPr>
          <w:rFonts w:hint="eastAsia"/>
          <w:color w:val="231F20"/>
          <w:szCs w:val="21"/>
        </w:rPr>
        <w:t xml:space="preserve">tea market. In order to promote </w:t>
      </w:r>
      <w:r w:rsidR="001B0EDF">
        <w:rPr>
          <w:color w:val="231F20"/>
          <w:szCs w:val="21"/>
        </w:rPr>
        <w:t xml:space="preserve">developments in the </w:t>
      </w:r>
      <w:r w:rsidRPr="001B0EDF">
        <w:rPr>
          <w:rFonts w:hint="eastAsia"/>
          <w:color w:val="231F20"/>
          <w:szCs w:val="21"/>
        </w:rPr>
        <w:t xml:space="preserve">tea industry, more investigation and research </w:t>
      </w:r>
      <w:r w:rsidR="001B0EDF">
        <w:rPr>
          <w:color w:val="231F20"/>
          <w:szCs w:val="21"/>
        </w:rPr>
        <w:t xml:space="preserve">are required </w:t>
      </w:r>
      <w:r w:rsidRPr="001B0EDF">
        <w:rPr>
          <w:rFonts w:hint="eastAsia"/>
          <w:color w:val="231F20"/>
          <w:szCs w:val="21"/>
        </w:rPr>
        <w:t>to be undertaken to identify consumer demands and to develop the right product.</w:t>
      </w:r>
      <w:r w:rsidRPr="001B0EDF">
        <w:rPr>
          <w:color w:val="231F20"/>
          <w:szCs w:val="21"/>
        </w:rPr>
        <w:br w:type="page"/>
      </w:r>
    </w:p>
    <w:p w14:paraId="0EE85BE8" w14:textId="77777777" w:rsidR="00A41510" w:rsidRPr="00A41510" w:rsidRDefault="00874916" w:rsidP="00A41510">
      <w:pPr>
        <w:pStyle w:val="Title"/>
        <w:rPr>
          <w:rFonts w:ascii="Times New Roman" w:hAnsi="Times New Roman" w:cs="Times New Roman"/>
          <w:kern w:val="44"/>
          <w:sz w:val="48"/>
          <w:szCs w:val="48"/>
        </w:rPr>
      </w:pPr>
      <w:r w:rsidRPr="00A41510">
        <w:rPr>
          <w:rFonts w:ascii="Times New Roman" w:hAnsi="Times New Roman" w:cs="Times New Roman"/>
          <w:kern w:val="44"/>
          <w:sz w:val="48"/>
          <w:szCs w:val="48"/>
        </w:rPr>
        <w:lastRenderedPageBreak/>
        <w:t>Appendix</w:t>
      </w:r>
    </w:p>
    <w:p w14:paraId="2FBB947F" w14:textId="1975D23C" w:rsidR="00874916" w:rsidRPr="00A41510" w:rsidRDefault="00874916" w:rsidP="00A41510">
      <w:pPr>
        <w:pStyle w:val="Title"/>
        <w:spacing w:before="600" w:after="240"/>
        <w:jc w:val="left"/>
      </w:pPr>
      <w:r w:rsidRPr="00A41510">
        <w:rPr>
          <w:rFonts w:ascii="Times New Roman" w:hAnsi="Times New Roman" w:cs="Times New Roman"/>
          <w:kern w:val="44"/>
          <w:sz w:val="30"/>
          <w:szCs w:val="44"/>
        </w:rPr>
        <w:t>Overview of world tea market</w:t>
      </w:r>
    </w:p>
    <w:p w14:paraId="4A3C8DC6" w14:textId="63208D49" w:rsidR="00874916" w:rsidRDefault="00874916" w:rsidP="00A41510">
      <w:pPr>
        <w:spacing w:after="100" w:afterAutospacing="1"/>
      </w:pPr>
      <w:r w:rsidRPr="00201461">
        <w:t>China, India, Kenya</w:t>
      </w:r>
      <w:r>
        <w:rPr>
          <w:rFonts w:hint="eastAsia"/>
        </w:rPr>
        <w:t xml:space="preserve"> and</w:t>
      </w:r>
      <w:r w:rsidRPr="00201461">
        <w:t xml:space="preserve"> Sri Lanka </w:t>
      </w:r>
      <w:r>
        <w:rPr>
          <w:rFonts w:hint="eastAsia"/>
        </w:rPr>
        <w:t>are</w:t>
      </w:r>
      <w:r w:rsidRPr="00201461">
        <w:t xml:space="preserve"> the world's major tea producing </w:t>
      </w:r>
      <w:r w:rsidR="003B4565">
        <w:t xml:space="preserve">and exporting </w:t>
      </w:r>
      <w:r w:rsidRPr="00201461">
        <w:t>countries</w:t>
      </w:r>
      <w:r>
        <w:rPr>
          <w:rFonts w:hint="eastAsia"/>
        </w:rPr>
        <w:t xml:space="preserve">. </w:t>
      </w:r>
      <w:r>
        <w:t>I</w:t>
      </w:r>
      <w:r>
        <w:rPr>
          <w:rFonts w:hint="eastAsia"/>
        </w:rPr>
        <w:t xml:space="preserve">n </w:t>
      </w:r>
      <w:r w:rsidRPr="00201461">
        <w:t>China</w:t>
      </w:r>
      <w:r>
        <w:rPr>
          <w:rFonts w:hint="eastAsia"/>
        </w:rPr>
        <w:t xml:space="preserve"> and</w:t>
      </w:r>
      <w:r>
        <w:t xml:space="preserve"> India</w:t>
      </w:r>
      <w:r>
        <w:rPr>
          <w:rFonts w:hint="eastAsia"/>
        </w:rPr>
        <w:t xml:space="preserve">, tea is mainly consumed </w:t>
      </w:r>
      <w:r>
        <w:t>domestically</w:t>
      </w:r>
      <w:r>
        <w:rPr>
          <w:rFonts w:hint="eastAsia"/>
        </w:rPr>
        <w:t xml:space="preserve">. </w:t>
      </w:r>
      <w:r w:rsidR="003B4565">
        <w:t>I</w:t>
      </w:r>
      <w:r>
        <w:rPr>
          <w:rFonts w:hint="eastAsia"/>
        </w:rPr>
        <w:t xml:space="preserve">n </w:t>
      </w:r>
      <w:r w:rsidRPr="00201461">
        <w:t>Kenya</w:t>
      </w:r>
      <w:r>
        <w:rPr>
          <w:rFonts w:hint="eastAsia"/>
        </w:rPr>
        <w:t xml:space="preserve"> and</w:t>
      </w:r>
      <w:r w:rsidRPr="00201461">
        <w:t xml:space="preserve"> Sri Lanka</w:t>
      </w:r>
      <w:r>
        <w:rPr>
          <w:rFonts w:hint="eastAsia"/>
        </w:rPr>
        <w:t xml:space="preserve">, </w:t>
      </w:r>
      <w:r w:rsidR="003B4565">
        <w:t xml:space="preserve">however, </w:t>
      </w:r>
      <w:r>
        <w:rPr>
          <w:rFonts w:hint="eastAsia"/>
        </w:rPr>
        <w:t>tea is mainly</w:t>
      </w:r>
      <w:r w:rsidRPr="00201461">
        <w:t xml:space="preserve"> export</w:t>
      </w:r>
      <w:r w:rsidR="003B4565">
        <w:t>ed</w:t>
      </w:r>
      <w:r w:rsidRPr="00201461">
        <w:t xml:space="preserve">, </w:t>
      </w:r>
      <w:r w:rsidR="003B4565">
        <w:t xml:space="preserve">and their </w:t>
      </w:r>
      <w:r w:rsidRPr="00201461">
        <w:t>domestic consumption is limited.</w:t>
      </w:r>
      <w:r w:rsidRPr="00955C3C">
        <w:t xml:space="preserve"> </w:t>
      </w:r>
    </w:p>
    <w:p w14:paraId="1017C345" w14:textId="77777777" w:rsidR="00874916" w:rsidRPr="0072179C" w:rsidRDefault="00874916" w:rsidP="00A41510">
      <w:pPr>
        <w:pStyle w:val="2"/>
        <w:numPr>
          <w:ilvl w:val="0"/>
          <w:numId w:val="0"/>
        </w:numPr>
        <w:spacing w:before="100" w:beforeAutospacing="1" w:afterLines="0" w:after="0" w:line="240" w:lineRule="auto"/>
        <w:ind w:left="420" w:hanging="420"/>
        <w:rPr>
          <w:rFonts w:cs="Times New Roman"/>
        </w:rPr>
      </w:pPr>
      <w:r>
        <w:rPr>
          <w:rFonts w:cs="Times New Roman" w:hint="eastAsia"/>
        </w:rPr>
        <w:t xml:space="preserve">1. </w:t>
      </w:r>
      <w:r w:rsidRPr="0072179C">
        <w:rPr>
          <w:rFonts w:cs="Times New Roman"/>
        </w:rPr>
        <w:t>W</w:t>
      </w:r>
      <w:r w:rsidRPr="0072179C">
        <w:rPr>
          <w:rFonts w:cs="Times New Roman" w:hint="eastAsia"/>
        </w:rPr>
        <w:t>orld tea production</w:t>
      </w:r>
    </w:p>
    <w:p w14:paraId="7AAAD57A" w14:textId="52643507" w:rsidR="00874916" w:rsidRDefault="003B4565" w:rsidP="00A41510">
      <w:pPr>
        <w:autoSpaceDE w:val="0"/>
        <w:autoSpaceDN w:val="0"/>
        <w:adjustRightInd w:val="0"/>
        <w:spacing w:before="100" w:beforeAutospacing="1" w:after="100" w:afterAutospacing="1"/>
        <w:rPr>
          <w:szCs w:val="21"/>
        </w:rPr>
      </w:pPr>
      <w:r>
        <w:rPr>
          <w:szCs w:val="21"/>
        </w:rPr>
        <w:t>More than 5 </w:t>
      </w:r>
      <w:r w:rsidR="00874916" w:rsidRPr="002C524B">
        <w:rPr>
          <w:szCs w:val="21"/>
        </w:rPr>
        <w:t xml:space="preserve">280 million </w:t>
      </w:r>
      <w:r>
        <w:rPr>
          <w:szCs w:val="21"/>
        </w:rPr>
        <w:t>kg</w:t>
      </w:r>
      <w:r w:rsidR="00874916" w:rsidRPr="002C524B">
        <w:rPr>
          <w:szCs w:val="21"/>
        </w:rPr>
        <w:t xml:space="preserve"> of tea was produced globally in 2015</w:t>
      </w:r>
      <w:r>
        <w:rPr>
          <w:szCs w:val="21"/>
        </w:rPr>
        <w:t>,</w:t>
      </w:r>
      <w:r w:rsidR="00874916" w:rsidRPr="002C524B">
        <w:rPr>
          <w:szCs w:val="21"/>
        </w:rPr>
        <w:t xml:space="preserve"> of which </w:t>
      </w:r>
      <w:r>
        <w:rPr>
          <w:szCs w:val="21"/>
        </w:rPr>
        <w:t xml:space="preserve">more than </w:t>
      </w:r>
      <w:r w:rsidR="00874916" w:rsidRPr="002C524B">
        <w:rPr>
          <w:szCs w:val="21"/>
        </w:rPr>
        <w:t>1</w:t>
      </w:r>
      <w:r>
        <w:rPr>
          <w:szCs w:val="21"/>
        </w:rPr>
        <w:t> </w:t>
      </w:r>
      <w:r w:rsidR="00874916" w:rsidRPr="002C524B">
        <w:rPr>
          <w:szCs w:val="21"/>
        </w:rPr>
        <w:t xml:space="preserve">998 million </w:t>
      </w:r>
      <w:r>
        <w:rPr>
          <w:szCs w:val="21"/>
        </w:rPr>
        <w:t xml:space="preserve">kg </w:t>
      </w:r>
      <w:r w:rsidR="00874916" w:rsidRPr="002C524B">
        <w:rPr>
          <w:szCs w:val="21"/>
        </w:rPr>
        <w:t>or 38</w:t>
      </w:r>
      <w:r>
        <w:rPr>
          <w:szCs w:val="21"/>
        </w:rPr>
        <w:t xml:space="preserve"> percent </w:t>
      </w:r>
      <w:r w:rsidR="00874916" w:rsidRPr="002C524B">
        <w:rPr>
          <w:szCs w:val="21"/>
        </w:rPr>
        <w:t xml:space="preserve">of total production found </w:t>
      </w:r>
      <w:r>
        <w:rPr>
          <w:szCs w:val="21"/>
        </w:rPr>
        <w:t xml:space="preserve">a </w:t>
      </w:r>
      <w:r w:rsidR="00874916" w:rsidRPr="002C524B">
        <w:rPr>
          <w:szCs w:val="21"/>
        </w:rPr>
        <w:t xml:space="preserve">place in the international export market. Though tea is produced by a large number of countries, </w:t>
      </w:r>
      <w:r>
        <w:rPr>
          <w:szCs w:val="21"/>
        </w:rPr>
        <w:t xml:space="preserve">its </w:t>
      </w:r>
      <w:r w:rsidR="00874916" w:rsidRPr="002C524B">
        <w:rPr>
          <w:szCs w:val="21"/>
        </w:rPr>
        <w:t>production is dominated by four countries</w:t>
      </w:r>
      <w:r>
        <w:rPr>
          <w:szCs w:val="21"/>
        </w:rPr>
        <w:t xml:space="preserve">: </w:t>
      </w:r>
      <w:r w:rsidR="00874916" w:rsidRPr="002C524B">
        <w:rPr>
          <w:szCs w:val="21"/>
        </w:rPr>
        <w:t>China, India, Kenya and Sri Lanka. These four countries account for more than 75</w:t>
      </w:r>
      <w:r>
        <w:rPr>
          <w:szCs w:val="21"/>
        </w:rPr>
        <w:t xml:space="preserve"> percent </w:t>
      </w:r>
      <w:r w:rsidR="00874916" w:rsidRPr="002C524B">
        <w:rPr>
          <w:szCs w:val="21"/>
        </w:rPr>
        <w:t>of production and 60</w:t>
      </w:r>
      <w:r>
        <w:rPr>
          <w:szCs w:val="21"/>
        </w:rPr>
        <w:t xml:space="preserve"> percent </w:t>
      </w:r>
      <w:r w:rsidR="00874916" w:rsidRPr="002C524B">
        <w:rPr>
          <w:szCs w:val="21"/>
        </w:rPr>
        <w:t>of global export in recent years. In addition, countries like Vietnam and Indonesia have increased their shares substantially both in production and in export recently.</w:t>
      </w:r>
    </w:p>
    <w:p w14:paraId="1F1AF6A9" w14:textId="4A988A8D" w:rsidR="003B4565" w:rsidRPr="002C524B" w:rsidRDefault="003B4565" w:rsidP="003B4565">
      <w:pPr>
        <w:jc w:val="center"/>
        <w:rPr>
          <w:szCs w:val="21"/>
        </w:rPr>
      </w:pPr>
      <w:r w:rsidRPr="003B4565">
        <w:rPr>
          <w:b/>
          <w:sz w:val="28"/>
          <w:szCs w:val="28"/>
        </w:rPr>
        <w:t>Figure</w:t>
      </w:r>
      <w:r w:rsidRPr="003B4565">
        <w:rPr>
          <w:rFonts w:hint="eastAsia"/>
          <w:b/>
          <w:sz w:val="28"/>
          <w:szCs w:val="28"/>
        </w:rPr>
        <w:t xml:space="preserve"> 1: </w:t>
      </w:r>
      <w:r w:rsidRPr="003B4565">
        <w:rPr>
          <w:b/>
          <w:sz w:val="28"/>
          <w:szCs w:val="28"/>
        </w:rPr>
        <w:t>2001-2015 World tea production</w:t>
      </w:r>
      <w:r>
        <w:rPr>
          <w:b/>
          <w:sz w:val="28"/>
          <w:szCs w:val="28"/>
        </w:rPr>
        <w:br/>
      </w:r>
    </w:p>
    <w:p w14:paraId="06CC97FE" w14:textId="77777777" w:rsidR="00874916" w:rsidRPr="002C524B" w:rsidRDefault="00874916" w:rsidP="00874916">
      <w:pPr>
        <w:autoSpaceDE w:val="0"/>
        <w:autoSpaceDN w:val="0"/>
        <w:adjustRightInd w:val="0"/>
        <w:jc w:val="center"/>
        <w:rPr>
          <w:szCs w:val="21"/>
        </w:rPr>
      </w:pPr>
      <w:r w:rsidRPr="002C524B">
        <w:rPr>
          <w:noProof/>
        </w:rPr>
        <w:drawing>
          <wp:inline distT="0" distB="0" distL="0" distR="0" wp14:anchorId="3217500C" wp14:editId="436697DB">
            <wp:extent cx="4848225" cy="2905126"/>
            <wp:effectExtent l="0" t="0" r="0" b="0"/>
            <wp:docPr id="3" name="图表 3"/>
            <wp:cNvGraphicFramePr/>
            <a:graphic xmlns:a="http://schemas.openxmlformats.org/drawingml/2006/main">
              <a:graphicData uri="http://schemas.openxmlformats.org/drawingml/2006/chart">
                <c:chart xmlns:c="http://schemas.openxmlformats.org/drawingml/2006/chart" xmlns:r="http://schemas.openxmlformats.org/officeDocument/2006/relationships" r:id="rId25"/>
              </a:graphicData>
            </a:graphic>
          </wp:inline>
        </w:drawing>
      </w:r>
    </w:p>
    <w:p w14:paraId="124DAA8B" w14:textId="34C49BAA" w:rsidR="00874916" w:rsidRDefault="003B4565" w:rsidP="00874916">
      <w:pPr>
        <w:autoSpaceDE w:val="0"/>
        <w:autoSpaceDN w:val="0"/>
        <w:adjustRightInd w:val="0"/>
        <w:spacing w:afterLines="100" w:after="240"/>
        <w:jc w:val="center"/>
        <w:rPr>
          <w:sz w:val="18"/>
          <w:szCs w:val="18"/>
        </w:rPr>
      </w:pPr>
      <w:r>
        <w:rPr>
          <w:b/>
          <w:sz w:val="18"/>
          <w:szCs w:val="18"/>
        </w:rPr>
        <w:br/>
      </w:r>
      <w:r w:rsidR="00874916" w:rsidRPr="003B4565">
        <w:rPr>
          <w:b/>
          <w:sz w:val="18"/>
          <w:szCs w:val="18"/>
        </w:rPr>
        <w:t>Source:</w:t>
      </w:r>
      <w:r w:rsidR="00874916" w:rsidRPr="002C524B">
        <w:rPr>
          <w:sz w:val="18"/>
          <w:szCs w:val="18"/>
        </w:rPr>
        <w:t xml:space="preserve"> FAO, International Tea Committee</w:t>
      </w:r>
    </w:p>
    <w:p w14:paraId="058FE582" w14:textId="77777777" w:rsidR="003B4565" w:rsidRDefault="003B4565" w:rsidP="00874916">
      <w:pPr>
        <w:autoSpaceDE w:val="0"/>
        <w:autoSpaceDN w:val="0"/>
        <w:adjustRightInd w:val="0"/>
        <w:spacing w:afterLines="100" w:after="240"/>
        <w:jc w:val="center"/>
        <w:rPr>
          <w:sz w:val="18"/>
          <w:szCs w:val="18"/>
        </w:rPr>
      </w:pPr>
    </w:p>
    <w:p w14:paraId="3E0892EA" w14:textId="77777777" w:rsidR="003B4565" w:rsidRDefault="003B4565" w:rsidP="00874916">
      <w:pPr>
        <w:autoSpaceDE w:val="0"/>
        <w:autoSpaceDN w:val="0"/>
        <w:adjustRightInd w:val="0"/>
        <w:spacing w:afterLines="100" w:after="240"/>
        <w:jc w:val="center"/>
        <w:rPr>
          <w:sz w:val="18"/>
          <w:szCs w:val="18"/>
        </w:rPr>
      </w:pPr>
    </w:p>
    <w:p w14:paraId="00B56962" w14:textId="77777777" w:rsidR="003B4565" w:rsidRDefault="003B4565">
      <w:pPr>
        <w:rPr>
          <w:b/>
          <w:sz w:val="28"/>
          <w:szCs w:val="28"/>
        </w:rPr>
      </w:pPr>
      <w:r>
        <w:rPr>
          <w:b/>
          <w:sz w:val="28"/>
          <w:szCs w:val="28"/>
        </w:rPr>
        <w:br w:type="page"/>
      </w:r>
    </w:p>
    <w:p w14:paraId="0F7F92E0" w14:textId="35C925A1" w:rsidR="003B4565" w:rsidRPr="003B4565" w:rsidRDefault="003B4565" w:rsidP="003B4565">
      <w:pPr>
        <w:jc w:val="center"/>
        <w:rPr>
          <w:b/>
          <w:sz w:val="28"/>
          <w:szCs w:val="28"/>
        </w:rPr>
      </w:pPr>
      <w:r w:rsidRPr="003B4565">
        <w:rPr>
          <w:b/>
          <w:sz w:val="28"/>
          <w:szCs w:val="28"/>
        </w:rPr>
        <w:lastRenderedPageBreak/>
        <w:t>Figure</w:t>
      </w:r>
      <w:r w:rsidRPr="003B4565">
        <w:rPr>
          <w:rFonts w:hint="eastAsia"/>
          <w:b/>
          <w:sz w:val="28"/>
          <w:szCs w:val="28"/>
        </w:rPr>
        <w:t xml:space="preserve"> 2: </w:t>
      </w:r>
      <w:r w:rsidRPr="003B4565">
        <w:rPr>
          <w:b/>
          <w:sz w:val="28"/>
          <w:szCs w:val="28"/>
        </w:rPr>
        <w:t>Production share of world’ top four tea producing countries</w:t>
      </w:r>
    </w:p>
    <w:p w14:paraId="69F8F944" w14:textId="77777777" w:rsidR="003B4565" w:rsidRPr="002C524B" w:rsidRDefault="003B4565" w:rsidP="00874916">
      <w:pPr>
        <w:autoSpaceDE w:val="0"/>
        <w:autoSpaceDN w:val="0"/>
        <w:adjustRightInd w:val="0"/>
        <w:spacing w:afterLines="100" w:after="240"/>
        <w:jc w:val="center"/>
        <w:rPr>
          <w:sz w:val="18"/>
          <w:szCs w:val="18"/>
        </w:rPr>
      </w:pPr>
    </w:p>
    <w:p w14:paraId="489455A9" w14:textId="77777777" w:rsidR="00874916" w:rsidRPr="002C524B" w:rsidRDefault="00874916" w:rsidP="00874916">
      <w:pPr>
        <w:pStyle w:val="Caption"/>
        <w:jc w:val="center"/>
      </w:pPr>
      <w:bookmarkStart w:id="6" w:name="_Ref485018523"/>
      <w:r w:rsidRPr="002C524B">
        <w:rPr>
          <w:noProof/>
        </w:rPr>
        <w:drawing>
          <wp:inline distT="0" distB="0" distL="0" distR="0" wp14:anchorId="51DC76F6" wp14:editId="11CCA35F">
            <wp:extent cx="4905375" cy="3314700"/>
            <wp:effectExtent l="0" t="0" r="0" b="0"/>
            <wp:docPr id="18" name="图表 18"/>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14:paraId="0D8EFD53" w14:textId="77777777" w:rsidR="00874916" w:rsidRDefault="00874916" w:rsidP="00874916">
      <w:pPr>
        <w:autoSpaceDE w:val="0"/>
        <w:autoSpaceDN w:val="0"/>
        <w:adjustRightInd w:val="0"/>
        <w:spacing w:afterLines="100" w:after="240"/>
        <w:jc w:val="center"/>
        <w:rPr>
          <w:sz w:val="18"/>
          <w:szCs w:val="18"/>
        </w:rPr>
      </w:pPr>
      <w:bookmarkStart w:id="7" w:name="_Ref485018527"/>
      <w:bookmarkEnd w:id="6"/>
      <w:r w:rsidRPr="003B4565">
        <w:rPr>
          <w:b/>
          <w:sz w:val="18"/>
          <w:szCs w:val="18"/>
        </w:rPr>
        <w:t xml:space="preserve">Source: </w:t>
      </w:r>
      <w:r w:rsidRPr="002C524B">
        <w:rPr>
          <w:sz w:val="18"/>
          <w:szCs w:val="18"/>
        </w:rPr>
        <w:t>International Tea Committee</w:t>
      </w:r>
    </w:p>
    <w:p w14:paraId="590814AB" w14:textId="77777777" w:rsidR="003B4565" w:rsidRDefault="003B4565" w:rsidP="00874916">
      <w:pPr>
        <w:autoSpaceDE w:val="0"/>
        <w:autoSpaceDN w:val="0"/>
        <w:adjustRightInd w:val="0"/>
        <w:spacing w:afterLines="100" w:after="240"/>
        <w:jc w:val="center"/>
        <w:rPr>
          <w:sz w:val="18"/>
          <w:szCs w:val="18"/>
        </w:rPr>
      </w:pPr>
    </w:p>
    <w:p w14:paraId="260DDA6F" w14:textId="77777777" w:rsidR="003B4565" w:rsidRDefault="003B4565" w:rsidP="00874916">
      <w:pPr>
        <w:autoSpaceDE w:val="0"/>
        <w:autoSpaceDN w:val="0"/>
        <w:adjustRightInd w:val="0"/>
        <w:spacing w:afterLines="100" w:after="240"/>
        <w:jc w:val="center"/>
        <w:rPr>
          <w:sz w:val="18"/>
          <w:szCs w:val="18"/>
        </w:rPr>
      </w:pPr>
    </w:p>
    <w:p w14:paraId="7C81A6E4" w14:textId="3BC82A4B" w:rsidR="003B4565" w:rsidRPr="003B4565" w:rsidRDefault="003B4565" w:rsidP="003B4565">
      <w:pPr>
        <w:jc w:val="center"/>
        <w:rPr>
          <w:b/>
          <w:sz w:val="28"/>
          <w:szCs w:val="28"/>
        </w:rPr>
      </w:pPr>
      <w:r w:rsidRPr="003B4565">
        <w:rPr>
          <w:b/>
          <w:sz w:val="28"/>
          <w:szCs w:val="28"/>
        </w:rPr>
        <w:t>Figure</w:t>
      </w:r>
      <w:r>
        <w:rPr>
          <w:b/>
          <w:sz w:val="28"/>
          <w:szCs w:val="28"/>
        </w:rPr>
        <w:t xml:space="preserve"> </w:t>
      </w:r>
      <w:r w:rsidRPr="003B4565">
        <w:rPr>
          <w:rFonts w:hint="eastAsia"/>
          <w:b/>
          <w:sz w:val="28"/>
          <w:szCs w:val="28"/>
        </w:rPr>
        <w:t>3</w:t>
      </w:r>
      <w:r>
        <w:rPr>
          <w:b/>
          <w:sz w:val="28"/>
          <w:szCs w:val="28"/>
        </w:rPr>
        <w:t>:</w:t>
      </w:r>
      <w:r w:rsidRPr="003B4565">
        <w:rPr>
          <w:b/>
          <w:sz w:val="28"/>
          <w:szCs w:val="28"/>
        </w:rPr>
        <w:t xml:space="preserve"> Production of the world’s top four tea producing countries</w:t>
      </w:r>
    </w:p>
    <w:p w14:paraId="4199152C" w14:textId="77777777" w:rsidR="00874916" w:rsidRPr="002C524B" w:rsidRDefault="00874916" w:rsidP="00874916">
      <w:pPr>
        <w:pStyle w:val="Caption"/>
        <w:jc w:val="center"/>
      </w:pPr>
      <w:r w:rsidRPr="002C524B">
        <w:rPr>
          <w:noProof/>
        </w:rPr>
        <w:drawing>
          <wp:inline distT="0" distB="0" distL="0" distR="0" wp14:anchorId="72A42B7B" wp14:editId="1F2501D3">
            <wp:extent cx="4572000" cy="2743200"/>
            <wp:effectExtent l="0" t="0" r="0" b="0"/>
            <wp:docPr id="16" name="图表 16"/>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bookmarkEnd w:id="7"/>
    <w:p w14:paraId="01CC7BD3" w14:textId="77777777" w:rsidR="00874916" w:rsidRDefault="00874916" w:rsidP="00874916">
      <w:pPr>
        <w:autoSpaceDE w:val="0"/>
        <w:autoSpaceDN w:val="0"/>
        <w:adjustRightInd w:val="0"/>
        <w:spacing w:afterLines="100" w:after="240"/>
        <w:jc w:val="center"/>
        <w:rPr>
          <w:sz w:val="18"/>
          <w:szCs w:val="18"/>
        </w:rPr>
      </w:pPr>
      <w:r w:rsidRPr="003B4565">
        <w:rPr>
          <w:b/>
          <w:sz w:val="18"/>
          <w:szCs w:val="18"/>
        </w:rPr>
        <w:t>Source:</w:t>
      </w:r>
      <w:r w:rsidRPr="002C524B">
        <w:rPr>
          <w:sz w:val="18"/>
          <w:szCs w:val="18"/>
        </w:rPr>
        <w:t xml:space="preserve"> International Tea Committee</w:t>
      </w:r>
    </w:p>
    <w:p w14:paraId="1CB6F9DD" w14:textId="77777777" w:rsidR="00874916" w:rsidRDefault="00874916" w:rsidP="00874916">
      <w:pPr>
        <w:autoSpaceDE w:val="0"/>
        <w:autoSpaceDN w:val="0"/>
        <w:adjustRightInd w:val="0"/>
        <w:spacing w:afterLines="100" w:after="240"/>
        <w:jc w:val="center"/>
        <w:rPr>
          <w:sz w:val="18"/>
          <w:szCs w:val="18"/>
        </w:rPr>
      </w:pPr>
    </w:p>
    <w:p w14:paraId="3B4FE348" w14:textId="364A1478" w:rsidR="00874916" w:rsidRPr="003B4565" w:rsidRDefault="00874916" w:rsidP="003B4565">
      <w:pPr>
        <w:jc w:val="center"/>
        <w:rPr>
          <w:b/>
          <w:sz w:val="28"/>
          <w:szCs w:val="28"/>
        </w:rPr>
      </w:pPr>
      <w:r w:rsidRPr="003B4565">
        <w:rPr>
          <w:b/>
          <w:sz w:val="28"/>
          <w:szCs w:val="28"/>
        </w:rPr>
        <w:t>Table</w:t>
      </w:r>
      <w:r w:rsidRPr="003B4565">
        <w:rPr>
          <w:rFonts w:hint="eastAsia"/>
          <w:b/>
          <w:sz w:val="28"/>
          <w:szCs w:val="28"/>
        </w:rPr>
        <w:t xml:space="preserve"> 1: </w:t>
      </w:r>
      <w:r w:rsidRPr="003B4565">
        <w:rPr>
          <w:b/>
          <w:sz w:val="28"/>
          <w:szCs w:val="28"/>
        </w:rPr>
        <w:t>Top 10 producing countries of tea, 2011-2015</w:t>
      </w:r>
      <w:r w:rsidR="003B4565">
        <w:rPr>
          <w:b/>
          <w:sz w:val="28"/>
          <w:szCs w:val="28"/>
        </w:rPr>
        <w:br/>
      </w:r>
    </w:p>
    <w:tbl>
      <w:tblPr>
        <w:tblW w:w="5103" w:type="pct"/>
        <w:tblBorders>
          <w:top w:val="single" w:sz="12" w:space="0" w:color="auto"/>
          <w:bottom w:val="single" w:sz="12" w:space="0" w:color="auto"/>
        </w:tblBorders>
        <w:tblLayout w:type="fixed"/>
        <w:tblLook w:val="04A0" w:firstRow="1" w:lastRow="0" w:firstColumn="1" w:lastColumn="0" w:noHBand="0" w:noVBand="1"/>
      </w:tblPr>
      <w:tblGrid>
        <w:gridCol w:w="1214"/>
        <w:gridCol w:w="967"/>
        <w:gridCol w:w="971"/>
        <w:gridCol w:w="966"/>
        <w:gridCol w:w="966"/>
        <w:gridCol w:w="829"/>
        <w:gridCol w:w="968"/>
        <w:gridCol w:w="1108"/>
        <w:gridCol w:w="829"/>
      </w:tblGrid>
      <w:tr w:rsidR="00874916" w:rsidRPr="002C524B" w14:paraId="6574866C" w14:textId="77777777" w:rsidTr="00EA28C4">
        <w:trPr>
          <w:trHeight w:val="270"/>
        </w:trPr>
        <w:tc>
          <w:tcPr>
            <w:tcW w:w="688" w:type="pct"/>
            <w:tcBorders>
              <w:bottom w:val="single" w:sz="4" w:space="0" w:color="auto"/>
            </w:tcBorders>
            <w:shd w:val="clear" w:color="auto" w:fill="auto"/>
            <w:noWrap/>
            <w:vAlign w:val="center"/>
            <w:hideMark/>
          </w:tcPr>
          <w:p w14:paraId="02CF10E2" w14:textId="77777777" w:rsidR="00874916" w:rsidRPr="002C524B" w:rsidRDefault="00874916" w:rsidP="00EA28C4">
            <w:pPr>
              <w:jc w:val="center"/>
              <w:rPr>
                <w:sz w:val="18"/>
                <w:szCs w:val="18"/>
              </w:rPr>
            </w:pPr>
          </w:p>
        </w:tc>
        <w:tc>
          <w:tcPr>
            <w:tcW w:w="548" w:type="pct"/>
            <w:tcBorders>
              <w:bottom w:val="single" w:sz="4" w:space="0" w:color="auto"/>
            </w:tcBorders>
            <w:shd w:val="clear" w:color="auto" w:fill="auto"/>
            <w:noWrap/>
            <w:vAlign w:val="center"/>
            <w:hideMark/>
          </w:tcPr>
          <w:p w14:paraId="5CC76BC4" w14:textId="77777777" w:rsidR="00874916" w:rsidRPr="002C524B" w:rsidRDefault="00874916" w:rsidP="00EA28C4">
            <w:pPr>
              <w:jc w:val="center"/>
              <w:rPr>
                <w:sz w:val="18"/>
                <w:szCs w:val="18"/>
              </w:rPr>
            </w:pPr>
            <w:r w:rsidRPr="002C524B">
              <w:rPr>
                <w:sz w:val="18"/>
                <w:szCs w:val="18"/>
              </w:rPr>
              <w:t>2011</w:t>
            </w:r>
          </w:p>
        </w:tc>
        <w:tc>
          <w:tcPr>
            <w:tcW w:w="550" w:type="pct"/>
            <w:tcBorders>
              <w:top w:val="single" w:sz="12" w:space="0" w:color="auto"/>
              <w:bottom w:val="single" w:sz="4" w:space="0" w:color="auto"/>
              <w:right w:val="single" w:sz="4" w:space="0" w:color="auto"/>
            </w:tcBorders>
            <w:shd w:val="clear" w:color="auto" w:fill="auto"/>
            <w:noWrap/>
            <w:vAlign w:val="center"/>
            <w:hideMark/>
          </w:tcPr>
          <w:p w14:paraId="697E2AD9" w14:textId="77777777" w:rsidR="00874916" w:rsidRPr="002C524B" w:rsidRDefault="00874916" w:rsidP="00EA28C4">
            <w:pPr>
              <w:jc w:val="center"/>
              <w:rPr>
                <w:sz w:val="18"/>
                <w:szCs w:val="18"/>
              </w:rPr>
            </w:pPr>
          </w:p>
        </w:tc>
        <w:tc>
          <w:tcPr>
            <w:tcW w:w="548" w:type="pct"/>
            <w:tcBorders>
              <w:left w:val="single" w:sz="4" w:space="0" w:color="auto"/>
              <w:bottom w:val="single" w:sz="4" w:space="0" w:color="auto"/>
            </w:tcBorders>
            <w:shd w:val="clear" w:color="auto" w:fill="auto"/>
            <w:noWrap/>
            <w:vAlign w:val="center"/>
            <w:hideMark/>
          </w:tcPr>
          <w:p w14:paraId="283EC636" w14:textId="77777777" w:rsidR="00874916" w:rsidRPr="002C524B" w:rsidRDefault="00874916" w:rsidP="00EA28C4">
            <w:pPr>
              <w:jc w:val="center"/>
              <w:rPr>
                <w:sz w:val="18"/>
                <w:szCs w:val="18"/>
              </w:rPr>
            </w:pPr>
          </w:p>
        </w:tc>
        <w:tc>
          <w:tcPr>
            <w:tcW w:w="548" w:type="pct"/>
            <w:tcBorders>
              <w:bottom w:val="single" w:sz="4" w:space="0" w:color="auto"/>
            </w:tcBorders>
            <w:shd w:val="clear" w:color="auto" w:fill="auto"/>
            <w:noWrap/>
            <w:vAlign w:val="center"/>
            <w:hideMark/>
          </w:tcPr>
          <w:p w14:paraId="0B46D75E" w14:textId="77777777" w:rsidR="00874916" w:rsidRPr="002C524B" w:rsidRDefault="00874916" w:rsidP="00EA28C4">
            <w:pPr>
              <w:jc w:val="center"/>
              <w:rPr>
                <w:sz w:val="18"/>
                <w:szCs w:val="18"/>
              </w:rPr>
            </w:pPr>
            <w:r w:rsidRPr="002C524B">
              <w:rPr>
                <w:sz w:val="18"/>
                <w:szCs w:val="18"/>
              </w:rPr>
              <w:t>2012</w:t>
            </w:r>
          </w:p>
        </w:tc>
        <w:tc>
          <w:tcPr>
            <w:tcW w:w="470" w:type="pct"/>
            <w:tcBorders>
              <w:top w:val="single" w:sz="12" w:space="0" w:color="auto"/>
              <w:bottom w:val="single" w:sz="4" w:space="0" w:color="auto"/>
              <w:right w:val="single" w:sz="4" w:space="0" w:color="auto"/>
            </w:tcBorders>
            <w:shd w:val="clear" w:color="auto" w:fill="auto"/>
            <w:noWrap/>
            <w:vAlign w:val="center"/>
            <w:hideMark/>
          </w:tcPr>
          <w:p w14:paraId="37C0EB25" w14:textId="77777777" w:rsidR="00874916" w:rsidRPr="002C524B" w:rsidRDefault="00874916" w:rsidP="00EA28C4">
            <w:pPr>
              <w:jc w:val="center"/>
              <w:rPr>
                <w:sz w:val="18"/>
                <w:szCs w:val="18"/>
              </w:rPr>
            </w:pPr>
          </w:p>
        </w:tc>
        <w:tc>
          <w:tcPr>
            <w:tcW w:w="549" w:type="pct"/>
            <w:tcBorders>
              <w:left w:val="single" w:sz="4" w:space="0" w:color="auto"/>
              <w:bottom w:val="single" w:sz="4" w:space="0" w:color="auto"/>
            </w:tcBorders>
            <w:shd w:val="clear" w:color="auto" w:fill="auto"/>
            <w:noWrap/>
            <w:vAlign w:val="center"/>
            <w:hideMark/>
          </w:tcPr>
          <w:p w14:paraId="7F09B48B" w14:textId="77777777" w:rsidR="00874916" w:rsidRPr="002C524B" w:rsidRDefault="00874916" w:rsidP="00EA28C4">
            <w:pPr>
              <w:jc w:val="center"/>
              <w:rPr>
                <w:sz w:val="18"/>
                <w:szCs w:val="18"/>
              </w:rPr>
            </w:pPr>
          </w:p>
        </w:tc>
        <w:tc>
          <w:tcPr>
            <w:tcW w:w="628" w:type="pct"/>
            <w:tcBorders>
              <w:bottom w:val="single" w:sz="4" w:space="0" w:color="auto"/>
            </w:tcBorders>
            <w:shd w:val="clear" w:color="auto" w:fill="auto"/>
            <w:noWrap/>
            <w:vAlign w:val="center"/>
            <w:hideMark/>
          </w:tcPr>
          <w:p w14:paraId="32602AFD" w14:textId="77777777" w:rsidR="00874916" w:rsidRPr="002C524B" w:rsidRDefault="00874916" w:rsidP="00EA28C4">
            <w:pPr>
              <w:jc w:val="center"/>
              <w:rPr>
                <w:sz w:val="18"/>
                <w:szCs w:val="18"/>
              </w:rPr>
            </w:pPr>
            <w:r w:rsidRPr="002C524B">
              <w:rPr>
                <w:sz w:val="18"/>
                <w:szCs w:val="18"/>
              </w:rPr>
              <w:t>2013</w:t>
            </w:r>
          </w:p>
        </w:tc>
        <w:tc>
          <w:tcPr>
            <w:tcW w:w="470" w:type="pct"/>
            <w:tcBorders>
              <w:bottom w:val="single" w:sz="4" w:space="0" w:color="auto"/>
            </w:tcBorders>
            <w:shd w:val="clear" w:color="auto" w:fill="auto"/>
            <w:noWrap/>
            <w:vAlign w:val="center"/>
            <w:hideMark/>
          </w:tcPr>
          <w:p w14:paraId="2E5DF45E" w14:textId="77777777" w:rsidR="00874916" w:rsidRPr="002C524B" w:rsidRDefault="00874916" w:rsidP="00EA28C4">
            <w:pPr>
              <w:jc w:val="center"/>
              <w:rPr>
                <w:sz w:val="18"/>
                <w:szCs w:val="18"/>
              </w:rPr>
            </w:pPr>
          </w:p>
        </w:tc>
      </w:tr>
      <w:tr w:rsidR="00874916" w:rsidRPr="002C524B" w14:paraId="1EEBF6CD" w14:textId="77777777" w:rsidTr="00EA28C4">
        <w:trPr>
          <w:trHeight w:val="270"/>
        </w:trPr>
        <w:tc>
          <w:tcPr>
            <w:tcW w:w="688" w:type="pct"/>
            <w:tcBorders>
              <w:top w:val="single" w:sz="4" w:space="0" w:color="auto"/>
              <w:bottom w:val="single" w:sz="4" w:space="0" w:color="auto"/>
            </w:tcBorders>
            <w:shd w:val="clear" w:color="auto" w:fill="auto"/>
            <w:noWrap/>
            <w:vAlign w:val="center"/>
            <w:hideMark/>
          </w:tcPr>
          <w:p w14:paraId="4255D9FD" w14:textId="77777777" w:rsidR="00874916" w:rsidRPr="002C524B" w:rsidRDefault="00874916" w:rsidP="00EA28C4">
            <w:pPr>
              <w:jc w:val="center"/>
              <w:rPr>
                <w:sz w:val="18"/>
                <w:szCs w:val="18"/>
              </w:rPr>
            </w:pPr>
            <w:r w:rsidRPr="002C524B">
              <w:rPr>
                <w:sz w:val="18"/>
                <w:szCs w:val="18"/>
              </w:rPr>
              <w:t>Country</w:t>
            </w:r>
          </w:p>
        </w:tc>
        <w:tc>
          <w:tcPr>
            <w:tcW w:w="548" w:type="pct"/>
            <w:tcBorders>
              <w:top w:val="single" w:sz="4" w:space="0" w:color="auto"/>
              <w:bottom w:val="single" w:sz="4" w:space="0" w:color="auto"/>
            </w:tcBorders>
            <w:shd w:val="clear" w:color="auto" w:fill="auto"/>
            <w:noWrap/>
            <w:vAlign w:val="center"/>
            <w:hideMark/>
          </w:tcPr>
          <w:p w14:paraId="7298A94E" w14:textId="77777777" w:rsidR="00874916" w:rsidRPr="002C524B" w:rsidRDefault="00874916" w:rsidP="00EA28C4">
            <w:pPr>
              <w:jc w:val="center"/>
              <w:rPr>
                <w:sz w:val="18"/>
                <w:szCs w:val="18"/>
              </w:rPr>
            </w:pPr>
            <w:r w:rsidRPr="002C524B">
              <w:rPr>
                <w:sz w:val="18"/>
                <w:szCs w:val="18"/>
              </w:rPr>
              <w:t xml:space="preserve">Thousand </w:t>
            </w:r>
            <w:r>
              <w:rPr>
                <w:sz w:val="18"/>
                <w:szCs w:val="18"/>
              </w:rPr>
              <w:t>Tons</w:t>
            </w:r>
          </w:p>
        </w:tc>
        <w:tc>
          <w:tcPr>
            <w:tcW w:w="550" w:type="pct"/>
            <w:tcBorders>
              <w:top w:val="single" w:sz="4" w:space="0" w:color="auto"/>
              <w:bottom w:val="single" w:sz="4" w:space="0" w:color="auto"/>
              <w:right w:val="single" w:sz="4" w:space="0" w:color="auto"/>
            </w:tcBorders>
            <w:shd w:val="clear" w:color="auto" w:fill="auto"/>
            <w:noWrap/>
            <w:vAlign w:val="center"/>
            <w:hideMark/>
          </w:tcPr>
          <w:p w14:paraId="65A412D7" w14:textId="77777777" w:rsidR="00874916" w:rsidRPr="002C524B" w:rsidRDefault="00874916" w:rsidP="00EA28C4">
            <w:pPr>
              <w:jc w:val="center"/>
              <w:rPr>
                <w:sz w:val="18"/>
                <w:szCs w:val="18"/>
              </w:rPr>
            </w:pPr>
            <w:r w:rsidRPr="002C524B">
              <w:rPr>
                <w:sz w:val="18"/>
                <w:szCs w:val="18"/>
              </w:rPr>
              <w:t>Percent</w:t>
            </w:r>
          </w:p>
        </w:tc>
        <w:tc>
          <w:tcPr>
            <w:tcW w:w="548" w:type="pct"/>
            <w:tcBorders>
              <w:top w:val="single" w:sz="4" w:space="0" w:color="auto"/>
              <w:left w:val="single" w:sz="4" w:space="0" w:color="auto"/>
              <w:bottom w:val="single" w:sz="4" w:space="0" w:color="auto"/>
            </w:tcBorders>
            <w:shd w:val="clear" w:color="auto" w:fill="auto"/>
            <w:noWrap/>
            <w:vAlign w:val="center"/>
            <w:hideMark/>
          </w:tcPr>
          <w:p w14:paraId="6273A589" w14:textId="77777777" w:rsidR="00874916" w:rsidRPr="002C524B" w:rsidRDefault="00874916" w:rsidP="00EA28C4">
            <w:pPr>
              <w:jc w:val="center"/>
              <w:rPr>
                <w:sz w:val="18"/>
                <w:szCs w:val="18"/>
              </w:rPr>
            </w:pPr>
            <w:r w:rsidRPr="002C524B">
              <w:rPr>
                <w:sz w:val="18"/>
                <w:szCs w:val="18"/>
              </w:rPr>
              <w:t>Country</w:t>
            </w:r>
          </w:p>
        </w:tc>
        <w:tc>
          <w:tcPr>
            <w:tcW w:w="548" w:type="pct"/>
            <w:tcBorders>
              <w:top w:val="single" w:sz="4" w:space="0" w:color="auto"/>
              <w:bottom w:val="single" w:sz="4" w:space="0" w:color="auto"/>
            </w:tcBorders>
            <w:shd w:val="clear" w:color="auto" w:fill="auto"/>
            <w:noWrap/>
            <w:vAlign w:val="center"/>
            <w:hideMark/>
          </w:tcPr>
          <w:p w14:paraId="09A25409" w14:textId="77777777" w:rsidR="00874916" w:rsidRPr="002C524B" w:rsidRDefault="00874916" w:rsidP="00EA28C4">
            <w:pPr>
              <w:jc w:val="center"/>
              <w:rPr>
                <w:sz w:val="18"/>
                <w:szCs w:val="18"/>
              </w:rPr>
            </w:pPr>
            <w:r w:rsidRPr="002C524B">
              <w:rPr>
                <w:sz w:val="18"/>
                <w:szCs w:val="18"/>
              </w:rPr>
              <w:t xml:space="preserve">Thousand </w:t>
            </w:r>
            <w:r>
              <w:rPr>
                <w:sz w:val="18"/>
                <w:szCs w:val="18"/>
              </w:rPr>
              <w:t>Tons</w:t>
            </w:r>
          </w:p>
        </w:tc>
        <w:tc>
          <w:tcPr>
            <w:tcW w:w="470" w:type="pct"/>
            <w:tcBorders>
              <w:top w:val="single" w:sz="4" w:space="0" w:color="auto"/>
              <w:bottom w:val="single" w:sz="4" w:space="0" w:color="auto"/>
              <w:right w:val="single" w:sz="4" w:space="0" w:color="auto"/>
            </w:tcBorders>
            <w:shd w:val="clear" w:color="auto" w:fill="auto"/>
            <w:noWrap/>
            <w:vAlign w:val="center"/>
            <w:hideMark/>
          </w:tcPr>
          <w:p w14:paraId="337E99E3" w14:textId="77777777" w:rsidR="00874916" w:rsidRPr="002C524B" w:rsidRDefault="00874916" w:rsidP="00EA28C4">
            <w:pPr>
              <w:jc w:val="center"/>
              <w:rPr>
                <w:sz w:val="18"/>
                <w:szCs w:val="18"/>
              </w:rPr>
            </w:pPr>
            <w:r w:rsidRPr="002C524B">
              <w:rPr>
                <w:sz w:val="18"/>
                <w:szCs w:val="18"/>
              </w:rPr>
              <w:t>Percent</w:t>
            </w:r>
          </w:p>
        </w:tc>
        <w:tc>
          <w:tcPr>
            <w:tcW w:w="549" w:type="pct"/>
            <w:tcBorders>
              <w:top w:val="single" w:sz="4" w:space="0" w:color="auto"/>
              <w:left w:val="single" w:sz="4" w:space="0" w:color="auto"/>
              <w:bottom w:val="single" w:sz="4" w:space="0" w:color="auto"/>
            </w:tcBorders>
            <w:shd w:val="clear" w:color="auto" w:fill="auto"/>
            <w:noWrap/>
            <w:vAlign w:val="center"/>
            <w:hideMark/>
          </w:tcPr>
          <w:p w14:paraId="1AE27149" w14:textId="77777777" w:rsidR="00874916" w:rsidRPr="002C524B" w:rsidRDefault="00874916" w:rsidP="00EA28C4">
            <w:pPr>
              <w:jc w:val="center"/>
              <w:rPr>
                <w:sz w:val="18"/>
                <w:szCs w:val="18"/>
              </w:rPr>
            </w:pPr>
            <w:r w:rsidRPr="002C524B">
              <w:rPr>
                <w:sz w:val="18"/>
                <w:szCs w:val="18"/>
              </w:rPr>
              <w:t>Country</w:t>
            </w:r>
          </w:p>
        </w:tc>
        <w:tc>
          <w:tcPr>
            <w:tcW w:w="628" w:type="pct"/>
            <w:tcBorders>
              <w:top w:val="single" w:sz="4" w:space="0" w:color="auto"/>
              <w:bottom w:val="single" w:sz="4" w:space="0" w:color="auto"/>
            </w:tcBorders>
            <w:shd w:val="clear" w:color="auto" w:fill="auto"/>
            <w:noWrap/>
            <w:vAlign w:val="center"/>
            <w:hideMark/>
          </w:tcPr>
          <w:p w14:paraId="7C20AC7F" w14:textId="77777777" w:rsidR="00874916" w:rsidRPr="002C524B" w:rsidRDefault="00874916" w:rsidP="00EA28C4">
            <w:pPr>
              <w:jc w:val="center"/>
              <w:rPr>
                <w:sz w:val="18"/>
                <w:szCs w:val="18"/>
              </w:rPr>
            </w:pPr>
            <w:r w:rsidRPr="002C524B">
              <w:rPr>
                <w:sz w:val="18"/>
                <w:szCs w:val="18"/>
              </w:rPr>
              <w:t xml:space="preserve">Thousand </w:t>
            </w:r>
            <w:r>
              <w:rPr>
                <w:sz w:val="18"/>
                <w:szCs w:val="18"/>
              </w:rPr>
              <w:t>Tons</w:t>
            </w:r>
          </w:p>
        </w:tc>
        <w:tc>
          <w:tcPr>
            <w:tcW w:w="470" w:type="pct"/>
            <w:tcBorders>
              <w:top w:val="single" w:sz="4" w:space="0" w:color="auto"/>
              <w:bottom w:val="single" w:sz="4" w:space="0" w:color="auto"/>
            </w:tcBorders>
            <w:shd w:val="clear" w:color="auto" w:fill="auto"/>
            <w:noWrap/>
            <w:vAlign w:val="center"/>
            <w:hideMark/>
          </w:tcPr>
          <w:p w14:paraId="0C868012" w14:textId="77777777" w:rsidR="00874916" w:rsidRPr="002C524B" w:rsidRDefault="00874916" w:rsidP="00EA28C4">
            <w:pPr>
              <w:jc w:val="center"/>
              <w:rPr>
                <w:sz w:val="18"/>
                <w:szCs w:val="18"/>
              </w:rPr>
            </w:pPr>
            <w:r w:rsidRPr="002C524B">
              <w:rPr>
                <w:sz w:val="18"/>
                <w:szCs w:val="18"/>
              </w:rPr>
              <w:t>Percent</w:t>
            </w:r>
          </w:p>
        </w:tc>
      </w:tr>
      <w:tr w:rsidR="00874916" w:rsidRPr="002C524B" w14:paraId="3554B70F" w14:textId="77777777" w:rsidTr="00EA28C4">
        <w:trPr>
          <w:trHeight w:val="270"/>
        </w:trPr>
        <w:tc>
          <w:tcPr>
            <w:tcW w:w="688" w:type="pct"/>
            <w:tcBorders>
              <w:top w:val="single" w:sz="4" w:space="0" w:color="auto"/>
              <w:bottom w:val="nil"/>
            </w:tcBorders>
            <w:shd w:val="clear" w:color="auto" w:fill="auto"/>
            <w:noWrap/>
            <w:vAlign w:val="center"/>
            <w:hideMark/>
          </w:tcPr>
          <w:p w14:paraId="5D67DC28" w14:textId="77777777" w:rsidR="00874916" w:rsidRPr="002C524B" w:rsidRDefault="00874916" w:rsidP="00EA28C4">
            <w:pPr>
              <w:jc w:val="center"/>
              <w:rPr>
                <w:sz w:val="18"/>
                <w:szCs w:val="18"/>
              </w:rPr>
            </w:pPr>
            <w:r w:rsidRPr="002C524B">
              <w:rPr>
                <w:sz w:val="18"/>
                <w:szCs w:val="18"/>
              </w:rPr>
              <w:t>China</w:t>
            </w:r>
          </w:p>
        </w:tc>
        <w:tc>
          <w:tcPr>
            <w:tcW w:w="548" w:type="pct"/>
            <w:tcBorders>
              <w:top w:val="single" w:sz="4" w:space="0" w:color="auto"/>
              <w:bottom w:val="nil"/>
            </w:tcBorders>
            <w:shd w:val="clear" w:color="auto" w:fill="auto"/>
            <w:noWrap/>
            <w:vAlign w:val="center"/>
            <w:hideMark/>
          </w:tcPr>
          <w:p w14:paraId="7475C185" w14:textId="77777777" w:rsidR="00874916" w:rsidRPr="002C524B" w:rsidRDefault="00874916" w:rsidP="00EA28C4">
            <w:pPr>
              <w:jc w:val="center"/>
              <w:rPr>
                <w:sz w:val="18"/>
                <w:szCs w:val="18"/>
              </w:rPr>
            </w:pPr>
            <w:r w:rsidRPr="002C524B">
              <w:rPr>
                <w:sz w:val="18"/>
                <w:szCs w:val="18"/>
              </w:rPr>
              <w:t>1623</w:t>
            </w:r>
          </w:p>
        </w:tc>
        <w:tc>
          <w:tcPr>
            <w:tcW w:w="550" w:type="pct"/>
            <w:tcBorders>
              <w:top w:val="single" w:sz="4" w:space="0" w:color="auto"/>
              <w:bottom w:val="nil"/>
              <w:right w:val="single" w:sz="4" w:space="0" w:color="auto"/>
            </w:tcBorders>
            <w:shd w:val="clear" w:color="auto" w:fill="auto"/>
            <w:noWrap/>
            <w:vAlign w:val="center"/>
            <w:hideMark/>
          </w:tcPr>
          <w:p w14:paraId="648E0719" w14:textId="77777777" w:rsidR="00874916" w:rsidRPr="002C524B" w:rsidRDefault="00874916" w:rsidP="00EA28C4">
            <w:pPr>
              <w:jc w:val="center"/>
              <w:rPr>
                <w:sz w:val="18"/>
                <w:szCs w:val="18"/>
              </w:rPr>
            </w:pPr>
            <w:r w:rsidRPr="002C524B">
              <w:rPr>
                <w:sz w:val="18"/>
                <w:szCs w:val="18"/>
              </w:rPr>
              <w:t>35.6%</w:t>
            </w:r>
          </w:p>
        </w:tc>
        <w:tc>
          <w:tcPr>
            <w:tcW w:w="548" w:type="pct"/>
            <w:tcBorders>
              <w:top w:val="single" w:sz="4" w:space="0" w:color="auto"/>
              <w:left w:val="single" w:sz="4" w:space="0" w:color="auto"/>
              <w:bottom w:val="nil"/>
            </w:tcBorders>
            <w:shd w:val="clear" w:color="auto" w:fill="auto"/>
            <w:noWrap/>
            <w:vAlign w:val="center"/>
            <w:hideMark/>
          </w:tcPr>
          <w:p w14:paraId="37B3269F" w14:textId="77777777" w:rsidR="00874916" w:rsidRPr="002C524B" w:rsidRDefault="00874916" w:rsidP="00EA28C4">
            <w:pPr>
              <w:jc w:val="center"/>
              <w:rPr>
                <w:sz w:val="18"/>
                <w:szCs w:val="18"/>
              </w:rPr>
            </w:pPr>
            <w:r w:rsidRPr="002C524B">
              <w:rPr>
                <w:sz w:val="18"/>
                <w:szCs w:val="18"/>
              </w:rPr>
              <w:t>China</w:t>
            </w:r>
          </w:p>
        </w:tc>
        <w:tc>
          <w:tcPr>
            <w:tcW w:w="548" w:type="pct"/>
            <w:tcBorders>
              <w:top w:val="single" w:sz="4" w:space="0" w:color="auto"/>
              <w:bottom w:val="nil"/>
            </w:tcBorders>
            <w:shd w:val="clear" w:color="auto" w:fill="auto"/>
            <w:noWrap/>
            <w:vAlign w:val="center"/>
            <w:hideMark/>
          </w:tcPr>
          <w:p w14:paraId="6EDD61BF" w14:textId="77777777" w:rsidR="00874916" w:rsidRPr="002C524B" w:rsidRDefault="00874916" w:rsidP="00EA28C4">
            <w:pPr>
              <w:jc w:val="center"/>
              <w:rPr>
                <w:sz w:val="18"/>
                <w:szCs w:val="18"/>
              </w:rPr>
            </w:pPr>
            <w:r w:rsidRPr="002C524B">
              <w:rPr>
                <w:sz w:val="18"/>
                <w:szCs w:val="18"/>
              </w:rPr>
              <w:t>1789.753</w:t>
            </w:r>
          </w:p>
        </w:tc>
        <w:tc>
          <w:tcPr>
            <w:tcW w:w="470" w:type="pct"/>
            <w:tcBorders>
              <w:top w:val="single" w:sz="4" w:space="0" w:color="auto"/>
              <w:bottom w:val="nil"/>
              <w:right w:val="single" w:sz="4" w:space="0" w:color="auto"/>
            </w:tcBorders>
            <w:shd w:val="clear" w:color="auto" w:fill="auto"/>
            <w:noWrap/>
            <w:vAlign w:val="center"/>
            <w:hideMark/>
          </w:tcPr>
          <w:p w14:paraId="3DFBE13C" w14:textId="77777777" w:rsidR="00874916" w:rsidRPr="002C524B" w:rsidRDefault="00874916" w:rsidP="00EA28C4">
            <w:pPr>
              <w:jc w:val="center"/>
              <w:rPr>
                <w:sz w:val="18"/>
                <w:szCs w:val="18"/>
              </w:rPr>
            </w:pPr>
            <w:r w:rsidRPr="002C524B">
              <w:rPr>
                <w:sz w:val="18"/>
                <w:szCs w:val="18"/>
              </w:rPr>
              <w:t>38.1%</w:t>
            </w:r>
          </w:p>
        </w:tc>
        <w:tc>
          <w:tcPr>
            <w:tcW w:w="549" w:type="pct"/>
            <w:tcBorders>
              <w:top w:val="single" w:sz="4" w:space="0" w:color="auto"/>
              <w:left w:val="single" w:sz="4" w:space="0" w:color="auto"/>
              <w:bottom w:val="nil"/>
            </w:tcBorders>
            <w:shd w:val="clear" w:color="auto" w:fill="auto"/>
            <w:noWrap/>
            <w:vAlign w:val="center"/>
            <w:hideMark/>
          </w:tcPr>
          <w:p w14:paraId="02FC9697" w14:textId="77777777" w:rsidR="00874916" w:rsidRPr="002C524B" w:rsidRDefault="00874916" w:rsidP="00EA28C4">
            <w:pPr>
              <w:jc w:val="center"/>
              <w:rPr>
                <w:sz w:val="18"/>
                <w:szCs w:val="18"/>
              </w:rPr>
            </w:pPr>
            <w:r w:rsidRPr="002C524B">
              <w:rPr>
                <w:sz w:val="18"/>
                <w:szCs w:val="18"/>
              </w:rPr>
              <w:t>China</w:t>
            </w:r>
          </w:p>
        </w:tc>
        <w:tc>
          <w:tcPr>
            <w:tcW w:w="628" w:type="pct"/>
            <w:tcBorders>
              <w:top w:val="single" w:sz="4" w:space="0" w:color="auto"/>
              <w:bottom w:val="nil"/>
            </w:tcBorders>
            <w:shd w:val="clear" w:color="auto" w:fill="auto"/>
            <w:noWrap/>
            <w:vAlign w:val="center"/>
            <w:hideMark/>
          </w:tcPr>
          <w:p w14:paraId="2F29BF87" w14:textId="77777777" w:rsidR="00874916" w:rsidRPr="002C524B" w:rsidRDefault="00874916" w:rsidP="00EA28C4">
            <w:pPr>
              <w:jc w:val="center"/>
              <w:rPr>
                <w:sz w:val="18"/>
                <w:szCs w:val="18"/>
              </w:rPr>
            </w:pPr>
            <w:r w:rsidRPr="002C524B">
              <w:rPr>
                <w:sz w:val="18"/>
                <w:szCs w:val="18"/>
              </w:rPr>
              <w:t>1924.457</w:t>
            </w:r>
          </w:p>
        </w:tc>
        <w:tc>
          <w:tcPr>
            <w:tcW w:w="470" w:type="pct"/>
            <w:tcBorders>
              <w:top w:val="single" w:sz="4" w:space="0" w:color="auto"/>
              <w:bottom w:val="nil"/>
            </w:tcBorders>
            <w:shd w:val="clear" w:color="auto" w:fill="auto"/>
            <w:noWrap/>
            <w:vAlign w:val="center"/>
            <w:hideMark/>
          </w:tcPr>
          <w:p w14:paraId="6FA55903" w14:textId="77777777" w:rsidR="00874916" w:rsidRPr="002C524B" w:rsidRDefault="00874916" w:rsidP="00EA28C4">
            <w:pPr>
              <w:jc w:val="center"/>
              <w:rPr>
                <w:sz w:val="18"/>
                <w:szCs w:val="18"/>
              </w:rPr>
            </w:pPr>
            <w:r w:rsidRPr="002C524B">
              <w:rPr>
                <w:sz w:val="18"/>
                <w:szCs w:val="18"/>
              </w:rPr>
              <w:t>38.5%</w:t>
            </w:r>
          </w:p>
        </w:tc>
      </w:tr>
      <w:tr w:rsidR="00874916" w:rsidRPr="002C524B" w14:paraId="2BCA77AA" w14:textId="77777777" w:rsidTr="00EA28C4">
        <w:trPr>
          <w:trHeight w:val="270"/>
        </w:trPr>
        <w:tc>
          <w:tcPr>
            <w:tcW w:w="688" w:type="pct"/>
            <w:tcBorders>
              <w:top w:val="nil"/>
              <w:bottom w:val="nil"/>
            </w:tcBorders>
            <w:shd w:val="clear" w:color="auto" w:fill="auto"/>
            <w:noWrap/>
            <w:vAlign w:val="center"/>
            <w:hideMark/>
          </w:tcPr>
          <w:p w14:paraId="0DFF94BE" w14:textId="77777777" w:rsidR="00874916" w:rsidRPr="002C524B" w:rsidRDefault="00874916" w:rsidP="00EA28C4">
            <w:pPr>
              <w:jc w:val="center"/>
              <w:rPr>
                <w:sz w:val="18"/>
                <w:szCs w:val="18"/>
              </w:rPr>
            </w:pPr>
            <w:r w:rsidRPr="002C524B">
              <w:rPr>
                <w:sz w:val="18"/>
                <w:szCs w:val="18"/>
              </w:rPr>
              <w:t>India</w:t>
            </w:r>
          </w:p>
        </w:tc>
        <w:tc>
          <w:tcPr>
            <w:tcW w:w="548" w:type="pct"/>
            <w:tcBorders>
              <w:top w:val="nil"/>
              <w:bottom w:val="nil"/>
            </w:tcBorders>
            <w:shd w:val="clear" w:color="auto" w:fill="auto"/>
            <w:noWrap/>
            <w:vAlign w:val="center"/>
            <w:hideMark/>
          </w:tcPr>
          <w:p w14:paraId="20F9EBC8" w14:textId="77777777" w:rsidR="00874916" w:rsidRPr="002C524B" w:rsidRDefault="00874916" w:rsidP="00EA28C4">
            <w:pPr>
              <w:jc w:val="center"/>
              <w:rPr>
                <w:sz w:val="18"/>
                <w:szCs w:val="18"/>
              </w:rPr>
            </w:pPr>
            <w:r w:rsidRPr="002C524B">
              <w:rPr>
                <w:sz w:val="18"/>
                <w:szCs w:val="18"/>
              </w:rPr>
              <w:t>1095.46</w:t>
            </w:r>
          </w:p>
        </w:tc>
        <w:tc>
          <w:tcPr>
            <w:tcW w:w="550" w:type="pct"/>
            <w:tcBorders>
              <w:top w:val="nil"/>
              <w:bottom w:val="nil"/>
              <w:right w:val="single" w:sz="4" w:space="0" w:color="auto"/>
            </w:tcBorders>
            <w:shd w:val="clear" w:color="auto" w:fill="auto"/>
            <w:noWrap/>
            <w:vAlign w:val="center"/>
            <w:hideMark/>
          </w:tcPr>
          <w:p w14:paraId="2ED71852" w14:textId="77777777" w:rsidR="00874916" w:rsidRPr="002C524B" w:rsidRDefault="00874916" w:rsidP="00EA28C4">
            <w:pPr>
              <w:jc w:val="center"/>
              <w:rPr>
                <w:sz w:val="18"/>
                <w:szCs w:val="18"/>
              </w:rPr>
            </w:pPr>
            <w:r w:rsidRPr="002C524B">
              <w:rPr>
                <w:sz w:val="18"/>
                <w:szCs w:val="18"/>
              </w:rPr>
              <w:t>24.0%</w:t>
            </w:r>
          </w:p>
        </w:tc>
        <w:tc>
          <w:tcPr>
            <w:tcW w:w="548" w:type="pct"/>
            <w:tcBorders>
              <w:top w:val="nil"/>
              <w:left w:val="single" w:sz="4" w:space="0" w:color="auto"/>
              <w:bottom w:val="nil"/>
            </w:tcBorders>
            <w:shd w:val="clear" w:color="auto" w:fill="auto"/>
            <w:noWrap/>
            <w:vAlign w:val="center"/>
            <w:hideMark/>
          </w:tcPr>
          <w:p w14:paraId="0CCCD244" w14:textId="77777777" w:rsidR="00874916" w:rsidRPr="002C524B" w:rsidRDefault="00874916" w:rsidP="00EA28C4">
            <w:pPr>
              <w:jc w:val="center"/>
              <w:rPr>
                <w:sz w:val="18"/>
                <w:szCs w:val="18"/>
              </w:rPr>
            </w:pPr>
            <w:r w:rsidRPr="002C524B">
              <w:rPr>
                <w:sz w:val="18"/>
                <w:szCs w:val="18"/>
              </w:rPr>
              <w:t>India</w:t>
            </w:r>
          </w:p>
        </w:tc>
        <w:tc>
          <w:tcPr>
            <w:tcW w:w="548" w:type="pct"/>
            <w:tcBorders>
              <w:top w:val="nil"/>
              <w:bottom w:val="nil"/>
            </w:tcBorders>
            <w:shd w:val="clear" w:color="auto" w:fill="auto"/>
            <w:noWrap/>
            <w:vAlign w:val="center"/>
            <w:hideMark/>
          </w:tcPr>
          <w:p w14:paraId="28AB3154" w14:textId="77777777" w:rsidR="00874916" w:rsidRPr="002C524B" w:rsidRDefault="00874916" w:rsidP="00EA28C4">
            <w:pPr>
              <w:jc w:val="center"/>
              <w:rPr>
                <w:sz w:val="18"/>
                <w:szCs w:val="18"/>
              </w:rPr>
            </w:pPr>
            <w:r w:rsidRPr="002C524B">
              <w:rPr>
                <w:sz w:val="18"/>
                <w:szCs w:val="18"/>
              </w:rPr>
              <w:t>1135.07</w:t>
            </w:r>
          </w:p>
        </w:tc>
        <w:tc>
          <w:tcPr>
            <w:tcW w:w="470" w:type="pct"/>
            <w:tcBorders>
              <w:top w:val="nil"/>
              <w:bottom w:val="nil"/>
              <w:right w:val="single" w:sz="4" w:space="0" w:color="auto"/>
            </w:tcBorders>
            <w:shd w:val="clear" w:color="auto" w:fill="auto"/>
            <w:noWrap/>
            <w:vAlign w:val="center"/>
            <w:hideMark/>
          </w:tcPr>
          <w:p w14:paraId="4A9026F3" w14:textId="77777777" w:rsidR="00874916" w:rsidRPr="002C524B" w:rsidRDefault="00874916" w:rsidP="00EA28C4">
            <w:pPr>
              <w:jc w:val="center"/>
              <w:rPr>
                <w:sz w:val="18"/>
                <w:szCs w:val="18"/>
              </w:rPr>
            </w:pPr>
            <w:r w:rsidRPr="002C524B">
              <w:rPr>
                <w:sz w:val="18"/>
                <w:szCs w:val="18"/>
              </w:rPr>
              <w:t>24.2%</w:t>
            </w:r>
          </w:p>
        </w:tc>
        <w:tc>
          <w:tcPr>
            <w:tcW w:w="549" w:type="pct"/>
            <w:tcBorders>
              <w:top w:val="nil"/>
              <w:left w:val="single" w:sz="4" w:space="0" w:color="auto"/>
              <w:bottom w:val="nil"/>
            </w:tcBorders>
            <w:shd w:val="clear" w:color="auto" w:fill="auto"/>
            <w:noWrap/>
            <w:vAlign w:val="center"/>
            <w:hideMark/>
          </w:tcPr>
          <w:p w14:paraId="17332467" w14:textId="77777777" w:rsidR="00874916" w:rsidRPr="002C524B" w:rsidRDefault="00874916" w:rsidP="00EA28C4">
            <w:pPr>
              <w:jc w:val="center"/>
              <w:rPr>
                <w:sz w:val="18"/>
                <w:szCs w:val="18"/>
              </w:rPr>
            </w:pPr>
            <w:r w:rsidRPr="002C524B">
              <w:rPr>
                <w:sz w:val="18"/>
                <w:szCs w:val="18"/>
              </w:rPr>
              <w:t>India</w:t>
            </w:r>
          </w:p>
        </w:tc>
        <w:tc>
          <w:tcPr>
            <w:tcW w:w="628" w:type="pct"/>
            <w:tcBorders>
              <w:top w:val="nil"/>
              <w:bottom w:val="nil"/>
            </w:tcBorders>
            <w:shd w:val="clear" w:color="auto" w:fill="auto"/>
            <w:noWrap/>
            <w:vAlign w:val="center"/>
            <w:hideMark/>
          </w:tcPr>
          <w:p w14:paraId="20083B04" w14:textId="77777777" w:rsidR="00874916" w:rsidRPr="002C524B" w:rsidRDefault="00874916" w:rsidP="00EA28C4">
            <w:pPr>
              <w:jc w:val="center"/>
              <w:rPr>
                <w:sz w:val="18"/>
                <w:szCs w:val="18"/>
              </w:rPr>
            </w:pPr>
            <w:r w:rsidRPr="002C524B">
              <w:rPr>
                <w:sz w:val="18"/>
                <w:szCs w:val="18"/>
              </w:rPr>
              <w:t>1208.78</w:t>
            </w:r>
          </w:p>
        </w:tc>
        <w:tc>
          <w:tcPr>
            <w:tcW w:w="470" w:type="pct"/>
            <w:tcBorders>
              <w:top w:val="nil"/>
              <w:bottom w:val="nil"/>
            </w:tcBorders>
            <w:shd w:val="clear" w:color="auto" w:fill="auto"/>
            <w:noWrap/>
            <w:vAlign w:val="center"/>
            <w:hideMark/>
          </w:tcPr>
          <w:p w14:paraId="76CCD9BF" w14:textId="77777777" w:rsidR="00874916" w:rsidRPr="002C524B" w:rsidRDefault="00874916" w:rsidP="00EA28C4">
            <w:pPr>
              <w:jc w:val="center"/>
              <w:rPr>
                <w:sz w:val="18"/>
                <w:szCs w:val="18"/>
              </w:rPr>
            </w:pPr>
            <w:r w:rsidRPr="002C524B">
              <w:rPr>
                <w:sz w:val="18"/>
                <w:szCs w:val="18"/>
              </w:rPr>
              <w:t>24.2%</w:t>
            </w:r>
          </w:p>
        </w:tc>
      </w:tr>
      <w:tr w:rsidR="00874916" w:rsidRPr="002C524B" w14:paraId="77DD6A55" w14:textId="77777777" w:rsidTr="00EA28C4">
        <w:trPr>
          <w:trHeight w:val="270"/>
        </w:trPr>
        <w:tc>
          <w:tcPr>
            <w:tcW w:w="688" w:type="pct"/>
            <w:tcBorders>
              <w:top w:val="nil"/>
              <w:bottom w:val="nil"/>
            </w:tcBorders>
            <w:shd w:val="clear" w:color="auto" w:fill="auto"/>
            <w:noWrap/>
            <w:vAlign w:val="center"/>
            <w:hideMark/>
          </w:tcPr>
          <w:p w14:paraId="115D713A" w14:textId="77777777" w:rsidR="00874916" w:rsidRPr="002C524B" w:rsidRDefault="00874916" w:rsidP="00EA28C4">
            <w:pPr>
              <w:jc w:val="center"/>
              <w:rPr>
                <w:sz w:val="18"/>
                <w:szCs w:val="18"/>
              </w:rPr>
            </w:pPr>
            <w:r w:rsidRPr="002C524B">
              <w:rPr>
                <w:sz w:val="18"/>
                <w:szCs w:val="18"/>
              </w:rPr>
              <w:t>Kenya</w:t>
            </w:r>
          </w:p>
        </w:tc>
        <w:tc>
          <w:tcPr>
            <w:tcW w:w="548" w:type="pct"/>
            <w:tcBorders>
              <w:top w:val="nil"/>
              <w:bottom w:val="nil"/>
            </w:tcBorders>
            <w:shd w:val="clear" w:color="auto" w:fill="auto"/>
            <w:noWrap/>
            <w:vAlign w:val="center"/>
            <w:hideMark/>
          </w:tcPr>
          <w:p w14:paraId="48CD87F3" w14:textId="77777777" w:rsidR="00874916" w:rsidRPr="002C524B" w:rsidRDefault="00874916" w:rsidP="00EA28C4">
            <w:pPr>
              <w:jc w:val="center"/>
              <w:rPr>
                <w:sz w:val="18"/>
                <w:szCs w:val="18"/>
              </w:rPr>
            </w:pPr>
            <w:r w:rsidRPr="002C524B">
              <w:rPr>
                <w:sz w:val="18"/>
                <w:szCs w:val="18"/>
              </w:rPr>
              <w:t>377.912</w:t>
            </w:r>
          </w:p>
        </w:tc>
        <w:tc>
          <w:tcPr>
            <w:tcW w:w="550" w:type="pct"/>
            <w:tcBorders>
              <w:top w:val="nil"/>
              <w:bottom w:val="nil"/>
              <w:right w:val="single" w:sz="4" w:space="0" w:color="auto"/>
            </w:tcBorders>
            <w:shd w:val="clear" w:color="auto" w:fill="auto"/>
            <w:noWrap/>
            <w:vAlign w:val="center"/>
            <w:hideMark/>
          </w:tcPr>
          <w:p w14:paraId="0FE552DE" w14:textId="77777777" w:rsidR="00874916" w:rsidRPr="002C524B" w:rsidRDefault="00874916" w:rsidP="00EA28C4">
            <w:pPr>
              <w:jc w:val="center"/>
              <w:rPr>
                <w:sz w:val="18"/>
                <w:szCs w:val="18"/>
              </w:rPr>
            </w:pPr>
            <w:r w:rsidRPr="002C524B">
              <w:rPr>
                <w:sz w:val="18"/>
                <w:szCs w:val="18"/>
              </w:rPr>
              <w:t>8.3%</w:t>
            </w:r>
          </w:p>
        </w:tc>
        <w:tc>
          <w:tcPr>
            <w:tcW w:w="548" w:type="pct"/>
            <w:tcBorders>
              <w:top w:val="nil"/>
              <w:left w:val="single" w:sz="4" w:space="0" w:color="auto"/>
              <w:bottom w:val="nil"/>
            </w:tcBorders>
            <w:shd w:val="clear" w:color="auto" w:fill="auto"/>
            <w:noWrap/>
            <w:vAlign w:val="center"/>
            <w:hideMark/>
          </w:tcPr>
          <w:p w14:paraId="6BA8BD1A" w14:textId="77777777" w:rsidR="00874916" w:rsidRPr="002C524B" w:rsidRDefault="00874916" w:rsidP="00EA28C4">
            <w:pPr>
              <w:jc w:val="center"/>
              <w:rPr>
                <w:sz w:val="18"/>
                <w:szCs w:val="18"/>
              </w:rPr>
            </w:pPr>
            <w:r w:rsidRPr="002C524B">
              <w:rPr>
                <w:sz w:val="18"/>
                <w:szCs w:val="18"/>
              </w:rPr>
              <w:t>Kenya</w:t>
            </w:r>
          </w:p>
        </w:tc>
        <w:tc>
          <w:tcPr>
            <w:tcW w:w="548" w:type="pct"/>
            <w:tcBorders>
              <w:top w:val="nil"/>
              <w:bottom w:val="nil"/>
            </w:tcBorders>
            <w:shd w:val="clear" w:color="auto" w:fill="auto"/>
            <w:noWrap/>
            <w:vAlign w:val="center"/>
            <w:hideMark/>
          </w:tcPr>
          <w:p w14:paraId="436B7FF6" w14:textId="77777777" w:rsidR="00874916" w:rsidRPr="002C524B" w:rsidRDefault="00874916" w:rsidP="00EA28C4">
            <w:pPr>
              <w:jc w:val="center"/>
              <w:rPr>
                <w:sz w:val="18"/>
                <w:szCs w:val="18"/>
              </w:rPr>
            </w:pPr>
            <w:r w:rsidRPr="002C524B">
              <w:rPr>
                <w:sz w:val="18"/>
                <w:szCs w:val="18"/>
              </w:rPr>
              <w:t>369.4</w:t>
            </w:r>
          </w:p>
        </w:tc>
        <w:tc>
          <w:tcPr>
            <w:tcW w:w="470" w:type="pct"/>
            <w:tcBorders>
              <w:top w:val="nil"/>
              <w:bottom w:val="nil"/>
              <w:right w:val="single" w:sz="4" w:space="0" w:color="auto"/>
            </w:tcBorders>
            <w:shd w:val="clear" w:color="auto" w:fill="auto"/>
            <w:noWrap/>
            <w:vAlign w:val="center"/>
            <w:hideMark/>
          </w:tcPr>
          <w:p w14:paraId="0E18E167" w14:textId="77777777" w:rsidR="00874916" w:rsidRPr="002C524B" w:rsidRDefault="00874916" w:rsidP="00EA28C4">
            <w:pPr>
              <w:jc w:val="center"/>
              <w:rPr>
                <w:sz w:val="18"/>
                <w:szCs w:val="18"/>
              </w:rPr>
            </w:pPr>
            <w:r w:rsidRPr="002C524B">
              <w:rPr>
                <w:sz w:val="18"/>
                <w:szCs w:val="18"/>
              </w:rPr>
              <w:t>7.9%</w:t>
            </w:r>
          </w:p>
        </w:tc>
        <w:tc>
          <w:tcPr>
            <w:tcW w:w="549" w:type="pct"/>
            <w:tcBorders>
              <w:top w:val="nil"/>
              <w:left w:val="single" w:sz="4" w:space="0" w:color="auto"/>
              <w:bottom w:val="nil"/>
            </w:tcBorders>
            <w:shd w:val="clear" w:color="auto" w:fill="auto"/>
            <w:noWrap/>
            <w:vAlign w:val="center"/>
            <w:hideMark/>
          </w:tcPr>
          <w:p w14:paraId="6B8BE882" w14:textId="77777777" w:rsidR="00874916" w:rsidRPr="002C524B" w:rsidRDefault="00874916" w:rsidP="00EA28C4">
            <w:pPr>
              <w:jc w:val="center"/>
              <w:rPr>
                <w:sz w:val="18"/>
                <w:szCs w:val="18"/>
              </w:rPr>
            </w:pPr>
            <w:r w:rsidRPr="002C524B">
              <w:rPr>
                <w:sz w:val="18"/>
                <w:szCs w:val="18"/>
              </w:rPr>
              <w:t>Kenya</w:t>
            </w:r>
          </w:p>
        </w:tc>
        <w:tc>
          <w:tcPr>
            <w:tcW w:w="628" w:type="pct"/>
            <w:tcBorders>
              <w:top w:val="nil"/>
              <w:bottom w:val="nil"/>
            </w:tcBorders>
            <w:shd w:val="clear" w:color="auto" w:fill="auto"/>
            <w:noWrap/>
            <w:vAlign w:val="center"/>
            <w:hideMark/>
          </w:tcPr>
          <w:p w14:paraId="7163B6FD" w14:textId="77777777" w:rsidR="00874916" w:rsidRPr="002C524B" w:rsidRDefault="00874916" w:rsidP="00EA28C4">
            <w:pPr>
              <w:jc w:val="center"/>
              <w:rPr>
                <w:sz w:val="18"/>
                <w:szCs w:val="18"/>
              </w:rPr>
            </w:pPr>
            <w:r w:rsidRPr="002C524B">
              <w:rPr>
                <w:sz w:val="18"/>
                <w:szCs w:val="18"/>
              </w:rPr>
              <w:t>432.4</w:t>
            </w:r>
          </w:p>
        </w:tc>
        <w:tc>
          <w:tcPr>
            <w:tcW w:w="470" w:type="pct"/>
            <w:tcBorders>
              <w:top w:val="nil"/>
              <w:bottom w:val="nil"/>
            </w:tcBorders>
            <w:shd w:val="clear" w:color="auto" w:fill="auto"/>
            <w:noWrap/>
            <w:vAlign w:val="center"/>
            <w:hideMark/>
          </w:tcPr>
          <w:p w14:paraId="196FFA2E" w14:textId="77777777" w:rsidR="00874916" w:rsidRPr="002C524B" w:rsidRDefault="00874916" w:rsidP="00EA28C4">
            <w:pPr>
              <w:jc w:val="center"/>
              <w:rPr>
                <w:sz w:val="18"/>
                <w:szCs w:val="18"/>
              </w:rPr>
            </w:pPr>
            <w:r w:rsidRPr="002C524B">
              <w:rPr>
                <w:sz w:val="18"/>
                <w:szCs w:val="18"/>
              </w:rPr>
              <w:t>8.7%</w:t>
            </w:r>
          </w:p>
        </w:tc>
      </w:tr>
      <w:tr w:rsidR="00874916" w:rsidRPr="002C524B" w14:paraId="2256B51F" w14:textId="77777777" w:rsidTr="00EA28C4">
        <w:trPr>
          <w:trHeight w:val="270"/>
        </w:trPr>
        <w:tc>
          <w:tcPr>
            <w:tcW w:w="688" w:type="pct"/>
            <w:tcBorders>
              <w:top w:val="nil"/>
              <w:bottom w:val="nil"/>
            </w:tcBorders>
            <w:shd w:val="clear" w:color="auto" w:fill="auto"/>
            <w:noWrap/>
            <w:vAlign w:val="center"/>
            <w:hideMark/>
          </w:tcPr>
          <w:p w14:paraId="044544DB" w14:textId="77777777" w:rsidR="00874916" w:rsidRPr="002C524B" w:rsidRDefault="00874916" w:rsidP="00EA28C4">
            <w:pPr>
              <w:jc w:val="center"/>
              <w:rPr>
                <w:sz w:val="18"/>
                <w:szCs w:val="18"/>
              </w:rPr>
            </w:pPr>
            <w:r w:rsidRPr="002C524B">
              <w:rPr>
                <w:sz w:val="18"/>
                <w:szCs w:val="18"/>
              </w:rPr>
              <w:t>Sri Lanka</w:t>
            </w:r>
          </w:p>
        </w:tc>
        <w:tc>
          <w:tcPr>
            <w:tcW w:w="548" w:type="pct"/>
            <w:tcBorders>
              <w:top w:val="nil"/>
              <w:bottom w:val="nil"/>
            </w:tcBorders>
            <w:shd w:val="clear" w:color="auto" w:fill="auto"/>
            <w:noWrap/>
            <w:vAlign w:val="center"/>
            <w:hideMark/>
          </w:tcPr>
          <w:p w14:paraId="706F3057" w14:textId="77777777" w:rsidR="00874916" w:rsidRPr="002C524B" w:rsidRDefault="00874916" w:rsidP="00EA28C4">
            <w:pPr>
              <w:jc w:val="center"/>
              <w:rPr>
                <w:sz w:val="18"/>
                <w:szCs w:val="18"/>
              </w:rPr>
            </w:pPr>
            <w:r w:rsidRPr="002C524B">
              <w:rPr>
                <w:sz w:val="18"/>
                <w:szCs w:val="18"/>
              </w:rPr>
              <w:t>327.5</w:t>
            </w:r>
          </w:p>
        </w:tc>
        <w:tc>
          <w:tcPr>
            <w:tcW w:w="550" w:type="pct"/>
            <w:tcBorders>
              <w:top w:val="nil"/>
              <w:bottom w:val="nil"/>
              <w:right w:val="single" w:sz="4" w:space="0" w:color="auto"/>
            </w:tcBorders>
            <w:shd w:val="clear" w:color="auto" w:fill="auto"/>
            <w:noWrap/>
            <w:vAlign w:val="center"/>
            <w:hideMark/>
          </w:tcPr>
          <w:p w14:paraId="749E6EF1" w14:textId="77777777" w:rsidR="00874916" w:rsidRPr="002C524B" w:rsidRDefault="00874916" w:rsidP="00EA28C4">
            <w:pPr>
              <w:jc w:val="center"/>
              <w:rPr>
                <w:sz w:val="18"/>
                <w:szCs w:val="18"/>
              </w:rPr>
            </w:pPr>
            <w:r w:rsidRPr="002C524B">
              <w:rPr>
                <w:sz w:val="18"/>
                <w:szCs w:val="18"/>
              </w:rPr>
              <w:t>7.2%</w:t>
            </w:r>
          </w:p>
        </w:tc>
        <w:tc>
          <w:tcPr>
            <w:tcW w:w="548" w:type="pct"/>
            <w:tcBorders>
              <w:top w:val="nil"/>
              <w:left w:val="single" w:sz="4" w:space="0" w:color="auto"/>
              <w:bottom w:val="nil"/>
            </w:tcBorders>
            <w:shd w:val="clear" w:color="auto" w:fill="auto"/>
            <w:noWrap/>
            <w:vAlign w:val="center"/>
            <w:hideMark/>
          </w:tcPr>
          <w:p w14:paraId="7D12FEC5" w14:textId="77777777" w:rsidR="00874916" w:rsidRPr="002C524B" w:rsidRDefault="00874916" w:rsidP="00EA28C4">
            <w:pPr>
              <w:jc w:val="center"/>
              <w:rPr>
                <w:sz w:val="18"/>
                <w:szCs w:val="18"/>
              </w:rPr>
            </w:pPr>
            <w:r w:rsidRPr="002C524B">
              <w:rPr>
                <w:sz w:val="18"/>
                <w:szCs w:val="18"/>
              </w:rPr>
              <w:t>Sri Lanka</w:t>
            </w:r>
          </w:p>
        </w:tc>
        <w:tc>
          <w:tcPr>
            <w:tcW w:w="548" w:type="pct"/>
            <w:tcBorders>
              <w:top w:val="nil"/>
              <w:bottom w:val="nil"/>
            </w:tcBorders>
            <w:shd w:val="clear" w:color="auto" w:fill="auto"/>
            <w:noWrap/>
            <w:vAlign w:val="center"/>
            <w:hideMark/>
          </w:tcPr>
          <w:p w14:paraId="5CC4C912" w14:textId="77777777" w:rsidR="00874916" w:rsidRPr="002C524B" w:rsidRDefault="00874916" w:rsidP="00EA28C4">
            <w:pPr>
              <w:jc w:val="center"/>
              <w:rPr>
                <w:sz w:val="18"/>
                <w:szCs w:val="18"/>
              </w:rPr>
            </w:pPr>
            <w:r w:rsidRPr="002C524B">
              <w:rPr>
                <w:sz w:val="18"/>
                <w:szCs w:val="18"/>
              </w:rPr>
              <w:t>330</w:t>
            </w:r>
          </w:p>
        </w:tc>
        <w:tc>
          <w:tcPr>
            <w:tcW w:w="470" w:type="pct"/>
            <w:tcBorders>
              <w:top w:val="nil"/>
              <w:bottom w:val="nil"/>
              <w:right w:val="single" w:sz="4" w:space="0" w:color="auto"/>
            </w:tcBorders>
            <w:shd w:val="clear" w:color="auto" w:fill="auto"/>
            <w:noWrap/>
            <w:vAlign w:val="center"/>
            <w:hideMark/>
          </w:tcPr>
          <w:p w14:paraId="04629AF9" w14:textId="77777777" w:rsidR="00874916" w:rsidRPr="002C524B" w:rsidRDefault="00874916" w:rsidP="00EA28C4">
            <w:pPr>
              <w:jc w:val="center"/>
              <w:rPr>
                <w:sz w:val="18"/>
                <w:szCs w:val="18"/>
              </w:rPr>
            </w:pPr>
            <w:r w:rsidRPr="002C524B">
              <w:rPr>
                <w:sz w:val="18"/>
                <w:szCs w:val="18"/>
              </w:rPr>
              <w:t>7.0%</w:t>
            </w:r>
          </w:p>
        </w:tc>
        <w:tc>
          <w:tcPr>
            <w:tcW w:w="549" w:type="pct"/>
            <w:tcBorders>
              <w:top w:val="nil"/>
              <w:left w:val="single" w:sz="4" w:space="0" w:color="auto"/>
              <w:bottom w:val="nil"/>
            </w:tcBorders>
            <w:shd w:val="clear" w:color="auto" w:fill="auto"/>
            <w:noWrap/>
            <w:vAlign w:val="center"/>
            <w:hideMark/>
          </w:tcPr>
          <w:p w14:paraId="55DFF75B" w14:textId="77777777" w:rsidR="00874916" w:rsidRPr="002C524B" w:rsidRDefault="00874916" w:rsidP="00EA28C4">
            <w:pPr>
              <w:jc w:val="center"/>
              <w:rPr>
                <w:sz w:val="18"/>
                <w:szCs w:val="18"/>
              </w:rPr>
            </w:pPr>
            <w:r w:rsidRPr="002C524B">
              <w:rPr>
                <w:sz w:val="18"/>
                <w:szCs w:val="18"/>
              </w:rPr>
              <w:t>Sri Lanka</w:t>
            </w:r>
          </w:p>
        </w:tc>
        <w:tc>
          <w:tcPr>
            <w:tcW w:w="628" w:type="pct"/>
            <w:tcBorders>
              <w:top w:val="nil"/>
              <w:bottom w:val="nil"/>
            </w:tcBorders>
            <w:shd w:val="clear" w:color="auto" w:fill="auto"/>
            <w:noWrap/>
            <w:vAlign w:val="center"/>
            <w:hideMark/>
          </w:tcPr>
          <w:p w14:paraId="0C21410B" w14:textId="77777777" w:rsidR="00874916" w:rsidRPr="002C524B" w:rsidRDefault="00874916" w:rsidP="00EA28C4">
            <w:pPr>
              <w:jc w:val="center"/>
              <w:rPr>
                <w:sz w:val="18"/>
                <w:szCs w:val="18"/>
              </w:rPr>
            </w:pPr>
            <w:r w:rsidRPr="002C524B">
              <w:rPr>
                <w:sz w:val="18"/>
                <w:szCs w:val="18"/>
              </w:rPr>
              <w:t>340.23</w:t>
            </w:r>
          </w:p>
        </w:tc>
        <w:tc>
          <w:tcPr>
            <w:tcW w:w="470" w:type="pct"/>
            <w:tcBorders>
              <w:top w:val="nil"/>
              <w:bottom w:val="nil"/>
            </w:tcBorders>
            <w:shd w:val="clear" w:color="auto" w:fill="auto"/>
            <w:noWrap/>
            <w:vAlign w:val="center"/>
            <w:hideMark/>
          </w:tcPr>
          <w:p w14:paraId="72C8F472" w14:textId="77777777" w:rsidR="00874916" w:rsidRPr="002C524B" w:rsidRDefault="00874916" w:rsidP="00EA28C4">
            <w:pPr>
              <w:jc w:val="center"/>
              <w:rPr>
                <w:sz w:val="18"/>
                <w:szCs w:val="18"/>
              </w:rPr>
            </w:pPr>
            <w:r w:rsidRPr="002C524B">
              <w:rPr>
                <w:sz w:val="18"/>
                <w:szCs w:val="18"/>
              </w:rPr>
              <w:t>6.8%</w:t>
            </w:r>
          </w:p>
        </w:tc>
      </w:tr>
      <w:tr w:rsidR="00874916" w:rsidRPr="002C524B" w14:paraId="762E7056" w14:textId="77777777" w:rsidTr="00EA28C4">
        <w:trPr>
          <w:trHeight w:val="270"/>
        </w:trPr>
        <w:tc>
          <w:tcPr>
            <w:tcW w:w="688" w:type="pct"/>
            <w:tcBorders>
              <w:top w:val="nil"/>
              <w:bottom w:val="nil"/>
            </w:tcBorders>
            <w:shd w:val="clear" w:color="auto" w:fill="auto"/>
            <w:noWrap/>
            <w:vAlign w:val="center"/>
            <w:hideMark/>
          </w:tcPr>
          <w:p w14:paraId="736F3BE7" w14:textId="77777777" w:rsidR="00874916" w:rsidRPr="002C524B" w:rsidRDefault="00874916" w:rsidP="00EA28C4">
            <w:pPr>
              <w:jc w:val="center"/>
              <w:rPr>
                <w:sz w:val="18"/>
                <w:szCs w:val="18"/>
              </w:rPr>
            </w:pPr>
            <w:r w:rsidRPr="002C524B">
              <w:rPr>
                <w:sz w:val="18"/>
                <w:szCs w:val="18"/>
              </w:rPr>
              <w:t>Turkey</w:t>
            </w:r>
          </w:p>
        </w:tc>
        <w:tc>
          <w:tcPr>
            <w:tcW w:w="548" w:type="pct"/>
            <w:tcBorders>
              <w:top w:val="nil"/>
              <w:bottom w:val="nil"/>
            </w:tcBorders>
            <w:shd w:val="clear" w:color="auto" w:fill="auto"/>
            <w:noWrap/>
            <w:vAlign w:val="center"/>
            <w:hideMark/>
          </w:tcPr>
          <w:p w14:paraId="0D59FE5D" w14:textId="77777777" w:rsidR="00874916" w:rsidRPr="002C524B" w:rsidRDefault="00874916" w:rsidP="00EA28C4">
            <w:pPr>
              <w:jc w:val="center"/>
              <w:rPr>
                <w:sz w:val="18"/>
                <w:szCs w:val="18"/>
              </w:rPr>
            </w:pPr>
            <w:r w:rsidRPr="002C524B">
              <w:rPr>
                <w:sz w:val="18"/>
                <w:szCs w:val="18"/>
              </w:rPr>
              <w:t>221.6</w:t>
            </w:r>
          </w:p>
        </w:tc>
        <w:tc>
          <w:tcPr>
            <w:tcW w:w="550" w:type="pct"/>
            <w:tcBorders>
              <w:top w:val="nil"/>
              <w:bottom w:val="nil"/>
              <w:right w:val="single" w:sz="4" w:space="0" w:color="auto"/>
            </w:tcBorders>
            <w:shd w:val="clear" w:color="auto" w:fill="auto"/>
            <w:noWrap/>
            <w:vAlign w:val="center"/>
            <w:hideMark/>
          </w:tcPr>
          <w:p w14:paraId="507FE98F" w14:textId="77777777" w:rsidR="00874916" w:rsidRPr="002C524B" w:rsidRDefault="00874916" w:rsidP="00EA28C4">
            <w:pPr>
              <w:jc w:val="center"/>
              <w:rPr>
                <w:sz w:val="18"/>
                <w:szCs w:val="18"/>
              </w:rPr>
            </w:pPr>
            <w:r w:rsidRPr="002C524B">
              <w:rPr>
                <w:sz w:val="18"/>
                <w:szCs w:val="18"/>
              </w:rPr>
              <w:t>4.9%</w:t>
            </w:r>
          </w:p>
        </w:tc>
        <w:tc>
          <w:tcPr>
            <w:tcW w:w="548" w:type="pct"/>
            <w:tcBorders>
              <w:top w:val="nil"/>
              <w:left w:val="single" w:sz="4" w:space="0" w:color="auto"/>
              <w:bottom w:val="nil"/>
            </w:tcBorders>
            <w:shd w:val="clear" w:color="auto" w:fill="auto"/>
            <w:noWrap/>
            <w:vAlign w:val="center"/>
            <w:hideMark/>
          </w:tcPr>
          <w:p w14:paraId="5630007E" w14:textId="77777777" w:rsidR="00874916" w:rsidRPr="002C524B" w:rsidRDefault="00874916" w:rsidP="00EA28C4">
            <w:pPr>
              <w:jc w:val="center"/>
              <w:rPr>
                <w:sz w:val="18"/>
                <w:szCs w:val="18"/>
              </w:rPr>
            </w:pPr>
            <w:r w:rsidRPr="002C524B">
              <w:rPr>
                <w:sz w:val="18"/>
                <w:szCs w:val="18"/>
              </w:rPr>
              <w:t>Turkey</w:t>
            </w:r>
          </w:p>
        </w:tc>
        <w:tc>
          <w:tcPr>
            <w:tcW w:w="548" w:type="pct"/>
            <w:tcBorders>
              <w:top w:val="nil"/>
              <w:bottom w:val="nil"/>
            </w:tcBorders>
            <w:shd w:val="clear" w:color="auto" w:fill="auto"/>
            <w:noWrap/>
            <w:vAlign w:val="center"/>
            <w:hideMark/>
          </w:tcPr>
          <w:p w14:paraId="0A8FD10C" w14:textId="77777777" w:rsidR="00874916" w:rsidRPr="002C524B" w:rsidRDefault="00874916" w:rsidP="00EA28C4">
            <w:pPr>
              <w:jc w:val="center"/>
              <w:rPr>
                <w:sz w:val="18"/>
                <w:szCs w:val="18"/>
              </w:rPr>
            </w:pPr>
            <w:r w:rsidRPr="002C524B">
              <w:rPr>
                <w:sz w:val="18"/>
                <w:szCs w:val="18"/>
              </w:rPr>
              <w:t>225</w:t>
            </w:r>
          </w:p>
        </w:tc>
        <w:tc>
          <w:tcPr>
            <w:tcW w:w="470" w:type="pct"/>
            <w:tcBorders>
              <w:top w:val="nil"/>
              <w:bottom w:val="nil"/>
              <w:right w:val="single" w:sz="4" w:space="0" w:color="auto"/>
            </w:tcBorders>
            <w:shd w:val="clear" w:color="auto" w:fill="auto"/>
            <w:noWrap/>
            <w:vAlign w:val="center"/>
            <w:hideMark/>
          </w:tcPr>
          <w:p w14:paraId="4A5362B8" w14:textId="77777777" w:rsidR="00874916" w:rsidRPr="002C524B" w:rsidRDefault="00874916" w:rsidP="00EA28C4">
            <w:pPr>
              <w:jc w:val="center"/>
              <w:rPr>
                <w:sz w:val="18"/>
                <w:szCs w:val="18"/>
              </w:rPr>
            </w:pPr>
            <w:r w:rsidRPr="002C524B">
              <w:rPr>
                <w:sz w:val="18"/>
                <w:szCs w:val="18"/>
              </w:rPr>
              <w:t>4.8%</w:t>
            </w:r>
          </w:p>
        </w:tc>
        <w:tc>
          <w:tcPr>
            <w:tcW w:w="549" w:type="pct"/>
            <w:tcBorders>
              <w:top w:val="nil"/>
              <w:left w:val="single" w:sz="4" w:space="0" w:color="auto"/>
              <w:bottom w:val="nil"/>
            </w:tcBorders>
            <w:shd w:val="clear" w:color="auto" w:fill="auto"/>
            <w:noWrap/>
            <w:vAlign w:val="center"/>
            <w:hideMark/>
          </w:tcPr>
          <w:p w14:paraId="7BFF10DF" w14:textId="77777777" w:rsidR="00874916" w:rsidRPr="002C524B" w:rsidRDefault="00874916" w:rsidP="00EA28C4">
            <w:pPr>
              <w:jc w:val="center"/>
              <w:rPr>
                <w:sz w:val="18"/>
                <w:szCs w:val="18"/>
              </w:rPr>
            </w:pPr>
            <w:r w:rsidRPr="002C524B">
              <w:rPr>
                <w:sz w:val="18"/>
                <w:szCs w:val="18"/>
              </w:rPr>
              <w:t>Viet Nam</w:t>
            </w:r>
          </w:p>
        </w:tc>
        <w:tc>
          <w:tcPr>
            <w:tcW w:w="628" w:type="pct"/>
            <w:tcBorders>
              <w:top w:val="nil"/>
              <w:bottom w:val="nil"/>
            </w:tcBorders>
            <w:shd w:val="clear" w:color="auto" w:fill="auto"/>
            <w:noWrap/>
            <w:vAlign w:val="center"/>
            <w:hideMark/>
          </w:tcPr>
          <w:p w14:paraId="033727A9" w14:textId="77777777" w:rsidR="00874916" w:rsidRPr="002C524B" w:rsidRDefault="00874916" w:rsidP="00EA28C4">
            <w:pPr>
              <w:jc w:val="center"/>
              <w:rPr>
                <w:sz w:val="18"/>
                <w:szCs w:val="18"/>
              </w:rPr>
            </w:pPr>
            <w:r w:rsidRPr="002C524B">
              <w:rPr>
                <w:sz w:val="18"/>
                <w:szCs w:val="18"/>
              </w:rPr>
              <w:t>217.7</w:t>
            </w:r>
          </w:p>
        </w:tc>
        <w:tc>
          <w:tcPr>
            <w:tcW w:w="470" w:type="pct"/>
            <w:tcBorders>
              <w:top w:val="nil"/>
              <w:bottom w:val="nil"/>
            </w:tcBorders>
            <w:shd w:val="clear" w:color="auto" w:fill="auto"/>
            <w:noWrap/>
            <w:vAlign w:val="center"/>
            <w:hideMark/>
          </w:tcPr>
          <w:p w14:paraId="75F9408E" w14:textId="77777777" w:rsidR="00874916" w:rsidRPr="002C524B" w:rsidRDefault="00874916" w:rsidP="00EA28C4">
            <w:pPr>
              <w:jc w:val="center"/>
              <w:rPr>
                <w:sz w:val="18"/>
                <w:szCs w:val="18"/>
              </w:rPr>
            </w:pPr>
            <w:r w:rsidRPr="002C524B">
              <w:rPr>
                <w:sz w:val="18"/>
                <w:szCs w:val="18"/>
              </w:rPr>
              <w:t>4.4%</w:t>
            </w:r>
          </w:p>
        </w:tc>
      </w:tr>
      <w:tr w:rsidR="00874916" w:rsidRPr="002C524B" w14:paraId="1F058D59" w14:textId="77777777" w:rsidTr="00EA28C4">
        <w:trPr>
          <w:trHeight w:val="270"/>
        </w:trPr>
        <w:tc>
          <w:tcPr>
            <w:tcW w:w="688" w:type="pct"/>
            <w:tcBorders>
              <w:top w:val="nil"/>
              <w:bottom w:val="nil"/>
            </w:tcBorders>
            <w:shd w:val="clear" w:color="auto" w:fill="auto"/>
            <w:noWrap/>
            <w:vAlign w:val="center"/>
            <w:hideMark/>
          </w:tcPr>
          <w:p w14:paraId="6E98819C" w14:textId="77777777" w:rsidR="00874916" w:rsidRPr="002C524B" w:rsidRDefault="00874916" w:rsidP="00EA28C4">
            <w:pPr>
              <w:jc w:val="center"/>
              <w:rPr>
                <w:sz w:val="18"/>
                <w:szCs w:val="18"/>
              </w:rPr>
            </w:pPr>
            <w:r w:rsidRPr="002C524B">
              <w:rPr>
                <w:sz w:val="18"/>
                <w:szCs w:val="18"/>
              </w:rPr>
              <w:t>Viet Nam</w:t>
            </w:r>
          </w:p>
        </w:tc>
        <w:tc>
          <w:tcPr>
            <w:tcW w:w="548" w:type="pct"/>
            <w:tcBorders>
              <w:top w:val="nil"/>
              <w:bottom w:val="nil"/>
            </w:tcBorders>
            <w:shd w:val="clear" w:color="auto" w:fill="auto"/>
            <w:noWrap/>
            <w:vAlign w:val="center"/>
            <w:hideMark/>
          </w:tcPr>
          <w:p w14:paraId="6BB12CF0" w14:textId="77777777" w:rsidR="00874916" w:rsidRPr="002C524B" w:rsidRDefault="00874916" w:rsidP="00EA28C4">
            <w:pPr>
              <w:jc w:val="center"/>
              <w:rPr>
                <w:sz w:val="18"/>
                <w:szCs w:val="18"/>
              </w:rPr>
            </w:pPr>
            <w:r w:rsidRPr="002C524B">
              <w:rPr>
                <w:sz w:val="18"/>
                <w:szCs w:val="18"/>
              </w:rPr>
              <w:t>206.6</w:t>
            </w:r>
          </w:p>
        </w:tc>
        <w:tc>
          <w:tcPr>
            <w:tcW w:w="550" w:type="pct"/>
            <w:tcBorders>
              <w:top w:val="nil"/>
              <w:bottom w:val="nil"/>
              <w:right w:val="single" w:sz="4" w:space="0" w:color="auto"/>
            </w:tcBorders>
            <w:shd w:val="clear" w:color="auto" w:fill="auto"/>
            <w:noWrap/>
            <w:vAlign w:val="center"/>
            <w:hideMark/>
          </w:tcPr>
          <w:p w14:paraId="0715E95A" w14:textId="77777777" w:rsidR="00874916" w:rsidRPr="002C524B" w:rsidRDefault="00874916" w:rsidP="00EA28C4">
            <w:pPr>
              <w:jc w:val="center"/>
              <w:rPr>
                <w:sz w:val="18"/>
                <w:szCs w:val="18"/>
              </w:rPr>
            </w:pPr>
            <w:r w:rsidRPr="002C524B">
              <w:rPr>
                <w:sz w:val="18"/>
                <w:szCs w:val="18"/>
              </w:rPr>
              <w:t>4.5%</w:t>
            </w:r>
          </w:p>
        </w:tc>
        <w:tc>
          <w:tcPr>
            <w:tcW w:w="548" w:type="pct"/>
            <w:tcBorders>
              <w:top w:val="nil"/>
              <w:left w:val="single" w:sz="4" w:space="0" w:color="auto"/>
              <w:bottom w:val="nil"/>
            </w:tcBorders>
            <w:shd w:val="clear" w:color="auto" w:fill="auto"/>
            <w:noWrap/>
            <w:vAlign w:val="center"/>
            <w:hideMark/>
          </w:tcPr>
          <w:p w14:paraId="6EA5E667" w14:textId="77777777" w:rsidR="00874916" w:rsidRPr="002C524B" w:rsidRDefault="00874916" w:rsidP="00EA28C4">
            <w:pPr>
              <w:jc w:val="center"/>
              <w:rPr>
                <w:sz w:val="18"/>
                <w:szCs w:val="18"/>
              </w:rPr>
            </w:pPr>
            <w:r w:rsidRPr="002C524B">
              <w:rPr>
                <w:sz w:val="18"/>
                <w:szCs w:val="18"/>
              </w:rPr>
              <w:t>Viet Nam</w:t>
            </w:r>
          </w:p>
        </w:tc>
        <w:tc>
          <w:tcPr>
            <w:tcW w:w="548" w:type="pct"/>
            <w:tcBorders>
              <w:top w:val="nil"/>
              <w:bottom w:val="nil"/>
            </w:tcBorders>
            <w:shd w:val="clear" w:color="auto" w:fill="auto"/>
            <w:noWrap/>
            <w:vAlign w:val="center"/>
            <w:hideMark/>
          </w:tcPr>
          <w:p w14:paraId="6D84ECE9" w14:textId="77777777" w:rsidR="00874916" w:rsidRPr="002C524B" w:rsidRDefault="00874916" w:rsidP="00EA28C4">
            <w:pPr>
              <w:jc w:val="center"/>
              <w:rPr>
                <w:sz w:val="18"/>
                <w:szCs w:val="18"/>
              </w:rPr>
            </w:pPr>
            <w:r w:rsidRPr="002C524B">
              <w:rPr>
                <w:sz w:val="18"/>
                <w:szCs w:val="18"/>
              </w:rPr>
              <w:t>211.5</w:t>
            </w:r>
          </w:p>
        </w:tc>
        <w:tc>
          <w:tcPr>
            <w:tcW w:w="470" w:type="pct"/>
            <w:tcBorders>
              <w:top w:val="nil"/>
              <w:bottom w:val="nil"/>
              <w:right w:val="single" w:sz="4" w:space="0" w:color="auto"/>
            </w:tcBorders>
            <w:shd w:val="clear" w:color="auto" w:fill="auto"/>
            <w:noWrap/>
            <w:vAlign w:val="center"/>
            <w:hideMark/>
          </w:tcPr>
          <w:p w14:paraId="1F818B47" w14:textId="77777777" w:rsidR="00874916" w:rsidRPr="002C524B" w:rsidRDefault="00874916" w:rsidP="00EA28C4">
            <w:pPr>
              <w:jc w:val="center"/>
              <w:rPr>
                <w:sz w:val="18"/>
                <w:szCs w:val="18"/>
              </w:rPr>
            </w:pPr>
            <w:r w:rsidRPr="002C524B">
              <w:rPr>
                <w:sz w:val="18"/>
                <w:szCs w:val="18"/>
              </w:rPr>
              <w:t>4.5%</w:t>
            </w:r>
          </w:p>
        </w:tc>
        <w:tc>
          <w:tcPr>
            <w:tcW w:w="549" w:type="pct"/>
            <w:tcBorders>
              <w:top w:val="nil"/>
              <w:left w:val="single" w:sz="4" w:space="0" w:color="auto"/>
              <w:bottom w:val="nil"/>
            </w:tcBorders>
            <w:shd w:val="clear" w:color="auto" w:fill="auto"/>
            <w:noWrap/>
            <w:vAlign w:val="center"/>
            <w:hideMark/>
          </w:tcPr>
          <w:p w14:paraId="47C8D42C" w14:textId="77777777" w:rsidR="00874916" w:rsidRPr="002C524B" w:rsidRDefault="00874916" w:rsidP="00EA28C4">
            <w:pPr>
              <w:jc w:val="center"/>
              <w:rPr>
                <w:sz w:val="18"/>
                <w:szCs w:val="18"/>
              </w:rPr>
            </w:pPr>
            <w:r w:rsidRPr="002C524B">
              <w:rPr>
                <w:sz w:val="18"/>
                <w:szCs w:val="18"/>
              </w:rPr>
              <w:t>Turkey</w:t>
            </w:r>
          </w:p>
        </w:tc>
        <w:tc>
          <w:tcPr>
            <w:tcW w:w="628" w:type="pct"/>
            <w:tcBorders>
              <w:top w:val="nil"/>
              <w:bottom w:val="nil"/>
            </w:tcBorders>
            <w:shd w:val="clear" w:color="auto" w:fill="auto"/>
            <w:noWrap/>
            <w:vAlign w:val="center"/>
            <w:hideMark/>
          </w:tcPr>
          <w:p w14:paraId="7E806A5B" w14:textId="77777777" w:rsidR="00874916" w:rsidRPr="002C524B" w:rsidRDefault="00874916" w:rsidP="00EA28C4">
            <w:pPr>
              <w:jc w:val="center"/>
              <w:rPr>
                <w:sz w:val="18"/>
                <w:szCs w:val="18"/>
              </w:rPr>
            </w:pPr>
            <w:r w:rsidRPr="002C524B">
              <w:rPr>
                <w:sz w:val="18"/>
                <w:szCs w:val="18"/>
              </w:rPr>
              <w:t>212.4</w:t>
            </w:r>
          </w:p>
        </w:tc>
        <w:tc>
          <w:tcPr>
            <w:tcW w:w="470" w:type="pct"/>
            <w:tcBorders>
              <w:top w:val="nil"/>
              <w:bottom w:val="nil"/>
            </w:tcBorders>
            <w:shd w:val="clear" w:color="auto" w:fill="auto"/>
            <w:noWrap/>
            <w:vAlign w:val="center"/>
            <w:hideMark/>
          </w:tcPr>
          <w:p w14:paraId="1F7D251D" w14:textId="77777777" w:rsidR="00874916" w:rsidRPr="002C524B" w:rsidRDefault="00874916" w:rsidP="00EA28C4">
            <w:pPr>
              <w:jc w:val="center"/>
              <w:rPr>
                <w:sz w:val="18"/>
                <w:szCs w:val="18"/>
              </w:rPr>
            </w:pPr>
            <w:r w:rsidRPr="002C524B">
              <w:rPr>
                <w:sz w:val="18"/>
                <w:szCs w:val="18"/>
              </w:rPr>
              <w:t>4.3%</w:t>
            </w:r>
          </w:p>
        </w:tc>
      </w:tr>
      <w:tr w:rsidR="00874916" w:rsidRPr="002C524B" w14:paraId="058505EC" w14:textId="77777777" w:rsidTr="00EA28C4">
        <w:trPr>
          <w:trHeight w:val="270"/>
        </w:trPr>
        <w:tc>
          <w:tcPr>
            <w:tcW w:w="688" w:type="pct"/>
            <w:tcBorders>
              <w:top w:val="nil"/>
              <w:bottom w:val="nil"/>
            </w:tcBorders>
            <w:shd w:val="clear" w:color="auto" w:fill="auto"/>
            <w:noWrap/>
            <w:vAlign w:val="center"/>
            <w:hideMark/>
          </w:tcPr>
          <w:p w14:paraId="330C5192" w14:textId="77777777" w:rsidR="00874916" w:rsidRPr="002C524B" w:rsidRDefault="00874916" w:rsidP="00EA28C4">
            <w:pPr>
              <w:jc w:val="center"/>
              <w:rPr>
                <w:sz w:val="18"/>
                <w:szCs w:val="18"/>
              </w:rPr>
            </w:pPr>
            <w:r w:rsidRPr="002C524B">
              <w:rPr>
                <w:sz w:val="18"/>
                <w:szCs w:val="18"/>
              </w:rPr>
              <w:t>Indonesia</w:t>
            </w:r>
          </w:p>
        </w:tc>
        <w:tc>
          <w:tcPr>
            <w:tcW w:w="548" w:type="pct"/>
            <w:tcBorders>
              <w:top w:val="nil"/>
              <w:bottom w:val="nil"/>
            </w:tcBorders>
            <w:shd w:val="clear" w:color="auto" w:fill="auto"/>
            <w:noWrap/>
            <w:vAlign w:val="center"/>
            <w:hideMark/>
          </w:tcPr>
          <w:p w14:paraId="7AA21764" w14:textId="77777777" w:rsidR="00874916" w:rsidRPr="002C524B" w:rsidRDefault="00874916" w:rsidP="00EA28C4">
            <w:pPr>
              <w:jc w:val="center"/>
              <w:rPr>
                <w:sz w:val="18"/>
                <w:szCs w:val="18"/>
              </w:rPr>
            </w:pPr>
            <w:r w:rsidRPr="002C524B">
              <w:rPr>
                <w:sz w:val="18"/>
                <w:szCs w:val="18"/>
              </w:rPr>
              <w:t>150.2</w:t>
            </w:r>
          </w:p>
        </w:tc>
        <w:tc>
          <w:tcPr>
            <w:tcW w:w="550" w:type="pct"/>
            <w:tcBorders>
              <w:top w:val="nil"/>
              <w:bottom w:val="nil"/>
              <w:right w:val="single" w:sz="4" w:space="0" w:color="auto"/>
            </w:tcBorders>
            <w:shd w:val="clear" w:color="auto" w:fill="auto"/>
            <w:noWrap/>
            <w:vAlign w:val="center"/>
            <w:hideMark/>
          </w:tcPr>
          <w:p w14:paraId="376850DD" w14:textId="77777777" w:rsidR="00874916" w:rsidRPr="002C524B" w:rsidRDefault="00874916" w:rsidP="00EA28C4">
            <w:pPr>
              <w:jc w:val="center"/>
              <w:rPr>
                <w:sz w:val="18"/>
                <w:szCs w:val="18"/>
              </w:rPr>
            </w:pPr>
            <w:r w:rsidRPr="002C524B">
              <w:rPr>
                <w:sz w:val="18"/>
                <w:szCs w:val="18"/>
              </w:rPr>
              <w:t>3.3%</w:t>
            </w:r>
          </w:p>
        </w:tc>
        <w:tc>
          <w:tcPr>
            <w:tcW w:w="548" w:type="pct"/>
            <w:tcBorders>
              <w:top w:val="nil"/>
              <w:left w:val="single" w:sz="4" w:space="0" w:color="auto"/>
              <w:bottom w:val="nil"/>
            </w:tcBorders>
            <w:shd w:val="clear" w:color="auto" w:fill="auto"/>
            <w:noWrap/>
            <w:vAlign w:val="center"/>
            <w:hideMark/>
          </w:tcPr>
          <w:p w14:paraId="37F2F9BD" w14:textId="77777777" w:rsidR="00874916" w:rsidRPr="002C524B" w:rsidRDefault="00874916" w:rsidP="00EA28C4">
            <w:pPr>
              <w:jc w:val="center"/>
              <w:rPr>
                <w:sz w:val="18"/>
                <w:szCs w:val="18"/>
              </w:rPr>
            </w:pPr>
            <w:r w:rsidRPr="002C524B">
              <w:rPr>
                <w:sz w:val="18"/>
                <w:szCs w:val="18"/>
              </w:rPr>
              <w:t>Indonesia</w:t>
            </w:r>
          </w:p>
        </w:tc>
        <w:tc>
          <w:tcPr>
            <w:tcW w:w="548" w:type="pct"/>
            <w:tcBorders>
              <w:top w:val="nil"/>
              <w:bottom w:val="nil"/>
            </w:tcBorders>
            <w:shd w:val="clear" w:color="auto" w:fill="auto"/>
            <w:noWrap/>
            <w:vAlign w:val="center"/>
            <w:hideMark/>
          </w:tcPr>
          <w:p w14:paraId="7F639E20" w14:textId="77777777" w:rsidR="00874916" w:rsidRPr="002C524B" w:rsidRDefault="00874916" w:rsidP="00EA28C4">
            <w:pPr>
              <w:jc w:val="center"/>
              <w:rPr>
                <w:sz w:val="18"/>
                <w:szCs w:val="18"/>
              </w:rPr>
            </w:pPr>
            <w:r w:rsidRPr="002C524B">
              <w:rPr>
                <w:sz w:val="18"/>
                <w:szCs w:val="18"/>
              </w:rPr>
              <w:t>143.4</w:t>
            </w:r>
          </w:p>
        </w:tc>
        <w:tc>
          <w:tcPr>
            <w:tcW w:w="470" w:type="pct"/>
            <w:tcBorders>
              <w:top w:val="nil"/>
              <w:bottom w:val="nil"/>
              <w:right w:val="single" w:sz="4" w:space="0" w:color="auto"/>
            </w:tcBorders>
            <w:shd w:val="clear" w:color="auto" w:fill="auto"/>
            <w:noWrap/>
            <w:vAlign w:val="center"/>
            <w:hideMark/>
          </w:tcPr>
          <w:p w14:paraId="2BB622FE" w14:textId="77777777" w:rsidR="00874916" w:rsidRPr="002C524B" w:rsidRDefault="00874916" w:rsidP="00EA28C4">
            <w:pPr>
              <w:jc w:val="center"/>
              <w:rPr>
                <w:sz w:val="18"/>
                <w:szCs w:val="18"/>
              </w:rPr>
            </w:pPr>
            <w:r w:rsidRPr="002C524B">
              <w:rPr>
                <w:sz w:val="18"/>
                <w:szCs w:val="18"/>
              </w:rPr>
              <w:t>3.1%</w:t>
            </w:r>
          </w:p>
        </w:tc>
        <w:tc>
          <w:tcPr>
            <w:tcW w:w="549" w:type="pct"/>
            <w:tcBorders>
              <w:top w:val="nil"/>
              <w:left w:val="single" w:sz="4" w:space="0" w:color="auto"/>
              <w:bottom w:val="nil"/>
            </w:tcBorders>
            <w:shd w:val="clear" w:color="auto" w:fill="auto"/>
            <w:noWrap/>
            <w:vAlign w:val="center"/>
            <w:hideMark/>
          </w:tcPr>
          <w:p w14:paraId="05693D5F" w14:textId="77777777" w:rsidR="00874916" w:rsidRPr="002C524B" w:rsidRDefault="00874916" w:rsidP="00EA28C4">
            <w:pPr>
              <w:jc w:val="center"/>
              <w:rPr>
                <w:sz w:val="18"/>
                <w:szCs w:val="18"/>
              </w:rPr>
            </w:pPr>
            <w:r w:rsidRPr="002C524B">
              <w:rPr>
                <w:sz w:val="18"/>
                <w:szCs w:val="18"/>
              </w:rPr>
              <w:t>Indonesia</w:t>
            </w:r>
          </w:p>
        </w:tc>
        <w:tc>
          <w:tcPr>
            <w:tcW w:w="628" w:type="pct"/>
            <w:tcBorders>
              <w:top w:val="nil"/>
              <w:bottom w:val="nil"/>
            </w:tcBorders>
            <w:shd w:val="clear" w:color="auto" w:fill="auto"/>
            <w:noWrap/>
            <w:vAlign w:val="center"/>
            <w:hideMark/>
          </w:tcPr>
          <w:p w14:paraId="316429D9" w14:textId="77777777" w:rsidR="00874916" w:rsidRPr="002C524B" w:rsidRDefault="00874916" w:rsidP="00EA28C4">
            <w:pPr>
              <w:jc w:val="center"/>
              <w:rPr>
                <w:sz w:val="18"/>
                <w:szCs w:val="18"/>
              </w:rPr>
            </w:pPr>
            <w:r w:rsidRPr="002C524B">
              <w:rPr>
                <w:sz w:val="18"/>
                <w:szCs w:val="18"/>
              </w:rPr>
              <w:t>145.8</w:t>
            </w:r>
          </w:p>
        </w:tc>
        <w:tc>
          <w:tcPr>
            <w:tcW w:w="470" w:type="pct"/>
            <w:tcBorders>
              <w:top w:val="nil"/>
              <w:bottom w:val="nil"/>
            </w:tcBorders>
            <w:shd w:val="clear" w:color="auto" w:fill="auto"/>
            <w:noWrap/>
            <w:vAlign w:val="center"/>
            <w:hideMark/>
          </w:tcPr>
          <w:p w14:paraId="6AA6367B" w14:textId="77777777" w:rsidR="00874916" w:rsidRPr="002C524B" w:rsidRDefault="00874916" w:rsidP="00EA28C4">
            <w:pPr>
              <w:jc w:val="center"/>
              <w:rPr>
                <w:sz w:val="18"/>
                <w:szCs w:val="18"/>
              </w:rPr>
            </w:pPr>
            <w:r w:rsidRPr="002C524B">
              <w:rPr>
                <w:sz w:val="18"/>
                <w:szCs w:val="18"/>
              </w:rPr>
              <w:t>2.9%</w:t>
            </w:r>
          </w:p>
        </w:tc>
      </w:tr>
      <w:tr w:rsidR="00874916" w:rsidRPr="002C524B" w14:paraId="2A5E3D2F" w14:textId="77777777" w:rsidTr="00EA28C4">
        <w:trPr>
          <w:trHeight w:val="270"/>
        </w:trPr>
        <w:tc>
          <w:tcPr>
            <w:tcW w:w="688" w:type="pct"/>
            <w:tcBorders>
              <w:top w:val="nil"/>
              <w:bottom w:val="nil"/>
            </w:tcBorders>
            <w:shd w:val="clear" w:color="auto" w:fill="auto"/>
            <w:noWrap/>
            <w:vAlign w:val="center"/>
            <w:hideMark/>
          </w:tcPr>
          <w:p w14:paraId="5B40DE2A" w14:textId="77777777" w:rsidR="00874916" w:rsidRPr="002C524B" w:rsidRDefault="00874916" w:rsidP="00EA28C4">
            <w:pPr>
              <w:jc w:val="center"/>
              <w:rPr>
                <w:sz w:val="18"/>
                <w:szCs w:val="18"/>
              </w:rPr>
            </w:pPr>
            <w:r w:rsidRPr="002C524B">
              <w:rPr>
                <w:sz w:val="18"/>
                <w:szCs w:val="18"/>
              </w:rPr>
              <w:t>Iran (Islamic Republic of)</w:t>
            </w:r>
          </w:p>
        </w:tc>
        <w:tc>
          <w:tcPr>
            <w:tcW w:w="548" w:type="pct"/>
            <w:tcBorders>
              <w:top w:val="nil"/>
              <w:bottom w:val="nil"/>
            </w:tcBorders>
            <w:shd w:val="clear" w:color="auto" w:fill="auto"/>
            <w:noWrap/>
            <w:vAlign w:val="center"/>
            <w:hideMark/>
          </w:tcPr>
          <w:p w14:paraId="6297CA45" w14:textId="77777777" w:rsidR="00874916" w:rsidRPr="002C524B" w:rsidRDefault="00874916" w:rsidP="00EA28C4">
            <w:pPr>
              <w:jc w:val="center"/>
              <w:rPr>
                <w:sz w:val="18"/>
                <w:szCs w:val="18"/>
              </w:rPr>
            </w:pPr>
            <w:r w:rsidRPr="002C524B">
              <w:rPr>
                <w:sz w:val="18"/>
                <w:szCs w:val="18"/>
              </w:rPr>
              <w:t>103.89</w:t>
            </w:r>
          </w:p>
        </w:tc>
        <w:tc>
          <w:tcPr>
            <w:tcW w:w="550" w:type="pct"/>
            <w:tcBorders>
              <w:top w:val="nil"/>
              <w:bottom w:val="nil"/>
              <w:right w:val="single" w:sz="4" w:space="0" w:color="auto"/>
            </w:tcBorders>
            <w:shd w:val="clear" w:color="auto" w:fill="auto"/>
            <w:noWrap/>
            <w:vAlign w:val="center"/>
            <w:hideMark/>
          </w:tcPr>
          <w:p w14:paraId="7437B12C" w14:textId="77777777" w:rsidR="00874916" w:rsidRPr="002C524B" w:rsidRDefault="00874916" w:rsidP="00EA28C4">
            <w:pPr>
              <w:jc w:val="center"/>
              <w:rPr>
                <w:sz w:val="18"/>
                <w:szCs w:val="18"/>
              </w:rPr>
            </w:pPr>
            <w:r w:rsidRPr="002C524B">
              <w:rPr>
                <w:sz w:val="18"/>
                <w:szCs w:val="18"/>
              </w:rPr>
              <w:t>2.3%</w:t>
            </w:r>
          </w:p>
        </w:tc>
        <w:tc>
          <w:tcPr>
            <w:tcW w:w="548" w:type="pct"/>
            <w:tcBorders>
              <w:top w:val="nil"/>
              <w:left w:val="single" w:sz="4" w:space="0" w:color="auto"/>
              <w:bottom w:val="nil"/>
            </w:tcBorders>
            <w:shd w:val="clear" w:color="auto" w:fill="auto"/>
            <w:noWrap/>
            <w:vAlign w:val="center"/>
            <w:hideMark/>
          </w:tcPr>
          <w:p w14:paraId="1794EBB5" w14:textId="77777777" w:rsidR="00874916" w:rsidRPr="002C524B" w:rsidRDefault="00874916" w:rsidP="00EA28C4">
            <w:pPr>
              <w:jc w:val="center"/>
              <w:rPr>
                <w:sz w:val="18"/>
                <w:szCs w:val="18"/>
              </w:rPr>
            </w:pPr>
            <w:r w:rsidRPr="002C524B">
              <w:rPr>
                <w:sz w:val="18"/>
                <w:szCs w:val="18"/>
              </w:rPr>
              <w:t>Iran (Islamic Republic of)</w:t>
            </w:r>
          </w:p>
        </w:tc>
        <w:tc>
          <w:tcPr>
            <w:tcW w:w="548" w:type="pct"/>
            <w:tcBorders>
              <w:top w:val="nil"/>
              <w:bottom w:val="nil"/>
            </w:tcBorders>
            <w:shd w:val="clear" w:color="auto" w:fill="auto"/>
            <w:noWrap/>
            <w:vAlign w:val="center"/>
            <w:hideMark/>
          </w:tcPr>
          <w:p w14:paraId="47234902" w14:textId="77777777" w:rsidR="00874916" w:rsidRPr="002C524B" w:rsidRDefault="00874916" w:rsidP="00EA28C4">
            <w:pPr>
              <w:jc w:val="center"/>
              <w:rPr>
                <w:sz w:val="18"/>
                <w:szCs w:val="18"/>
              </w:rPr>
            </w:pPr>
            <w:r w:rsidRPr="002C524B">
              <w:rPr>
                <w:sz w:val="18"/>
                <w:szCs w:val="18"/>
              </w:rPr>
              <w:t>95.272</w:t>
            </w:r>
          </w:p>
        </w:tc>
        <w:tc>
          <w:tcPr>
            <w:tcW w:w="470" w:type="pct"/>
            <w:tcBorders>
              <w:top w:val="nil"/>
              <w:bottom w:val="nil"/>
              <w:right w:val="single" w:sz="4" w:space="0" w:color="auto"/>
            </w:tcBorders>
            <w:shd w:val="clear" w:color="auto" w:fill="auto"/>
            <w:noWrap/>
            <w:vAlign w:val="center"/>
            <w:hideMark/>
          </w:tcPr>
          <w:p w14:paraId="2FB4ABCB" w14:textId="77777777" w:rsidR="00874916" w:rsidRPr="002C524B" w:rsidRDefault="00874916" w:rsidP="00EA28C4">
            <w:pPr>
              <w:jc w:val="center"/>
              <w:rPr>
                <w:sz w:val="18"/>
                <w:szCs w:val="18"/>
              </w:rPr>
            </w:pPr>
            <w:r w:rsidRPr="002C524B">
              <w:rPr>
                <w:sz w:val="18"/>
                <w:szCs w:val="18"/>
              </w:rPr>
              <w:t>2.0%</w:t>
            </w:r>
          </w:p>
        </w:tc>
        <w:tc>
          <w:tcPr>
            <w:tcW w:w="549" w:type="pct"/>
            <w:tcBorders>
              <w:top w:val="nil"/>
              <w:left w:val="single" w:sz="4" w:space="0" w:color="auto"/>
              <w:bottom w:val="nil"/>
            </w:tcBorders>
            <w:shd w:val="clear" w:color="auto" w:fill="auto"/>
            <w:noWrap/>
            <w:vAlign w:val="center"/>
            <w:hideMark/>
          </w:tcPr>
          <w:p w14:paraId="412F4AF6" w14:textId="77777777" w:rsidR="00874916" w:rsidRPr="002C524B" w:rsidRDefault="00874916" w:rsidP="00EA28C4">
            <w:pPr>
              <w:jc w:val="center"/>
              <w:rPr>
                <w:sz w:val="18"/>
                <w:szCs w:val="18"/>
              </w:rPr>
            </w:pPr>
            <w:r w:rsidRPr="002C524B">
              <w:rPr>
                <w:sz w:val="18"/>
                <w:szCs w:val="18"/>
              </w:rPr>
              <w:t>Iran (Islamic Republic of)</w:t>
            </w:r>
          </w:p>
        </w:tc>
        <w:tc>
          <w:tcPr>
            <w:tcW w:w="628" w:type="pct"/>
            <w:tcBorders>
              <w:top w:val="nil"/>
              <w:bottom w:val="nil"/>
            </w:tcBorders>
            <w:shd w:val="clear" w:color="auto" w:fill="auto"/>
            <w:noWrap/>
            <w:vAlign w:val="center"/>
            <w:hideMark/>
          </w:tcPr>
          <w:p w14:paraId="4E5B8C65" w14:textId="77777777" w:rsidR="00874916" w:rsidRPr="002C524B" w:rsidRDefault="00874916" w:rsidP="00EA28C4">
            <w:pPr>
              <w:jc w:val="center"/>
              <w:rPr>
                <w:sz w:val="18"/>
                <w:szCs w:val="18"/>
              </w:rPr>
            </w:pPr>
            <w:r w:rsidRPr="002C524B">
              <w:rPr>
                <w:sz w:val="18"/>
                <w:szCs w:val="18"/>
              </w:rPr>
              <w:t>116.818</w:t>
            </w:r>
          </w:p>
        </w:tc>
        <w:tc>
          <w:tcPr>
            <w:tcW w:w="470" w:type="pct"/>
            <w:tcBorders>
              <w:top w:val="nil"/>
              <w:bottom w:val="nil"/>
            </w:tcBorders>
            <w:shd w:val="clear" w:color="auto" w:fill="auto"/>
            <w:noWrap/>
            <w:vAlign w:val="center"/>
            <w:hideMark/>
          </w:tcPr>
          <w:p w14:paraId="2925CE0B" w14:textId="77777777" w:rsidR="00874916" w:rsidRPr="002C524B" w:rsidRDefault="00874916" w:rsidP="00EA28C4">
            <w:pPr>
              <w:jc w:val="center"/>
              <w:rPr>
                <w:sz w:val="18"/>
                <w:szCs w:val="18"/>
              </w:rPr>
            </w:pPr>
            <w:r w:rsidRPr="002C524B">
              <w:rPr>
                <w:sz w:val="18"/>
                <w:szCs w:val="18"/>
              </w:rPr>
              <w:t>2.3%</w:t>
            </w:r>
          </w:p>
        </w:tc>
      </w:tr>
      <w:tr w:rsidR="00874916" w:rsidRPr="002C524B" w14:paraId="58E13E97" w14:textId="77777777" w:rsidTr="00EA28C4">
        <w:trPr>
          <w:trHeight w:val="270"/>
        </w:trPr>
        <w:tc>
          <w:tcPr>
            <w:tcW w:w="688" w:type="pct"/>
            <w:tcBorders>
              <w:top w:val="nil"/>
              <w:bottom w:val="nil"/>
            </w:tcBorders>
            <w:shd w:val="clear" w:color="auto" w:fill="auto"/>
            <w:noWrap/>
            <w:vAlign w:val="center"/>
            <w:hideMark/>
          </w:tcPr>
          <w:p w14:paraId="7C5E0EF5" w14:textId="77777777" w:rsidR="00874916" w:rsidRPr="002C524B" w:rsidRDefault="00874916" w:rsidP="00EA28C4">
            <w:pPr>
              <w:jc w:val="center"/>
              <w:rPr>
                <w:sz w:val="18"/>
                <w:szCs w:val="18"/>
              </w:rPr>
            </w:pPr>
            <w:r w:rsidRPr="002C524B">
              <w:rPr>
                <w:sz w:val="18"/>
                <w:szCs w:val="18"/>
              </w:rPr>
              <w:t>Argentina</w:t>
            </w:r>
          </w:p>
        </w:tc>
        <w:tc>
          <w:tcPr>
            <w:tcW w:w="548" w:type="pct"/>
            <w:tcBorders>
              <w:top w:val="nil"/>
              <w:bottom w:val="nil"/>
            </w:tcBorders>
            <w:shd w:val="clear" w:color="auto" w:fill="auto"/>
            <w:noWrap/>
            <w:vAlign w:val="center"/>
            <w:hideMark/>
          </w:tcPr>
          <w:p w14:paraId="3F70D9DF" w14:textId="77777777" w:rsidR="00874916" w:rsidRPr="002C524B" w:rsidRDefault="00874916" w:rsidP="00EA28C4">
            <w:pPr>
              <w:jc w:val="center"/>
              <w:rPr>
                <w:sz w:val="18"/>
                <w:szCs w:val="18"/>
              </w:rPr>
            </w:pPr>
            <w:r w:rsidRPr="002C524B">
              <w:rPr>
                <w:sz w:val="18"/>
                <w:szCs w:val="18"/>
              </w:rPr>
              <w:t>92.892</w:t>
            </w:r>
          </w:p>
        </w:tc>
        <w:tc>
          <w:tcPr>
            <w:tcW w:w="550" w:type="pct"/>
            <w:tcBorders>
              <w:top w:val="nil"/>
              <w:bottom w:val="nil"/>
              <w:right w:val="single" w:sz="4" w:space="0" w:color="auto"/>
            </w:tcBorders>
            <w:shd w:val="clear" w:color="auto" w:fill="auto"/>
            <w:noWrap/>
            <w:vAlign w:val="center"/>
            <w:hideMark/>
          </w:tcPr>
          <w:p w14:paraId="67630611" w14:textId="77777777" w:rsidR="00874916" w:rsidRPr="002C524B" w:rsidRDefault="00874916" w:rsidP="00EA28C4">
            <w:pPr>
              <w:jc w:val="center"/>
              <w:rPr>
                <w:sz w:val="18"/>
                <w:szCs w:val="18"/>
              </w:rPr>
            </w:pPr>
            <w:r w:rsidRPr="002C524B">
              <w:rPr>
                <w:sz w:val="18"/>
                <w:szCs w:val="18"/>
              </w:rPr>
              <w:t>2.0%</w:t>
            </w:r>
          </w:p>
        </w:tc>
        <w:tc>
          <w:tcPr>
            <w:tcW w:w="548" w:type="pct"/>
            <w:tcBorders>
              <w:top w:val="nil"/>
              <w:left w:val="single" w:sz="4" w:space="0" w:color="auto"/>
              <w:bottom w:val="nil"/>
            </w:tcBorders>
            <w:shd w:val="clear" w:color="auto" w:fill="auto"/>
            <w:noWrap/>
            <w:vAlign w:val="center"/>
            <w:hideMark/>
          </w:tcPr>
          <w:p w14:paraId="5CECB402" w14:textId="77777777" w:rsidR="00874916" w:rsidRPr="002C524B" w:rsidRDefault="00874916" w:rsidP="00EA28C4">
            <w:pPr>
              <w:jc w:val="center"/>
              <w:rPr>
                <w:sz w:val="18"/>
                <w:szCs w:val="18"/>
              </w:rPr>
            </w:pPr>
            <w:r w:rsidRPr="002C524B">
              <w:rPr>
                <w:sz w:val="18"/>
                <w:szCs w:val="18"/>
              </w:rPr>
              <w:t>Myanmar</w:t>
            </w:r>
          </w:p>
        </w:tc>
        <w:tc>
          <w:tcPr>
            <w:tcW w:w="548" w:type="pct"/>
            <w:tcBorders>
              <w:top w:val="nil"/>
              <w:bottom w:val="nil"/>
            </w:tcBorders>
            <w:shd w:val="clear" w:color="auto" w:fill="auto"/>
            <w:noWrap/>
            <w:vAlign w:val="center"/>
            <w:hideMark/>
          </w:tcPr>
          <w:p w14:paraId="7FC297E6" w14:textId="77777777" w:rsidR="00874916" w:rsidRPr="002C524B" w:rsidRDefault="00874916" w:rsidP="00EA28C4">
            <w:pPr>
              <w:jc w:val="center"/>
              <w:rPr>
                <w:sz w:val="18"/>
                <w:szCs w:val="18"/>
              </w:rPr>
            </w:pPr>
            <w:r w:rsidRPr="002C524B">
              <w:rPr>
                <w:sz w:val="18"/>
                <w:szCs w:val="18"/>
              </w:rPr>
              <w:t>94.6</w:t>
            </w:r>
          </w:p>
        </w:tc>
        <w:tc>
          <w:tcPr>
            <w:tcW w:w="470" w:type="pct"/>
            <w:tcBorders>
              <w:top w:val="nil"/>
              <w:bottom w:val="nil"/>
              <w:right w:val="single" w:sz="4" w:space="0" w:color="auto"/>
            </w:tcBorders>
            <w:shd w:val="clear" w:color="auto" w:fill="auto"/>
            <w:noWrap/>
            <w:vAlign w:val="center"/>
            <w:hideMark/>
          </w:tcPr>
          <w:p w14:paraId="674A5753" w14:textId="77777777" w:rsidR="00874916" w:rsidRPr="002C524B" w:rsidRDefault="00874916" w:rsidP="00EA28C4">
            <w:pPr>
              <w:jc w:val="center"/>
              <w:rPr>
                <w:sz w:val="18"/>
                <w:szCs w:val="18"/>
              </w:rPr>
            </w:pPr>
            <w:r w:rsidRPr="002C524B">
              <w:rPr>
                <w:sz w:val="18"/>
                <w:szCs w:val="18"/>
              </w:rPr>
              <w:t>2.0%</w:t>
            </w:r>
          </w:p>
        </w:tc>
        <w:tc>
          <w:tcPr>
            <w:tcW w:w="549" w:type="pct"/>
            <w:tcBorders>
              <w:top w:val="nil"/>
              <w:left w:val="single" w:sz="4" w:space="0" w:color="auto"/>
              <w:bottom w:val="nil"/>
            </w:tcBorders>
            <w:shd w:val="clear" w:color="auto" w:fill="auto"/>
            <w:noWrap/>
            <w:vAlign w:val="center"/>
            <w:hideMark/>
          </w:tcPr>
          <w:p w14:paraId="2A050643" w14:textId="77777777" w:rsidR="00874916" w:rsidRPr="002C524B" w:rsidRDefault="00874916" w:rsidP="00EA28C4">
            <w:pPr>
              <w:jc w:val="center"/>
              <w:rPr>
                <w:sz w:val="18"/>
                <w:szCs w:val="18"/>
              </w:rPr>
            </w:pPr>
            <w:r w:rsidRPr="002C524B">
              <w:rPr>
                <w:sz w:val="18"/>
                <w:szCs w:val="18"/>
              </w:rPr>
              <w:t>Myanmar</w:t>
            </w:r>
          </w:p>
        </w:tc>
        <w:tc>
          <w:tcPr>
            <w:tcW w:w="628" w:type="pct"/>
            <w:tcBorders>
              <w:top w:val="nil"/>
              <w:bottom w:val="nil"/>
            </w:tcBorders>
            <w:shd w:val="clear" w:color="auto" w:fill="auto"/>
            <w:noWrap/>
            <w:vAlign w:val="center"/>
            <w:hideMark/>
          </w:tcPr>
          <w:p w14:paraId="1DCDFC87" w14:textId="77777777" w:rsidR="00874916" w:rsidRPr="002C524B" w:rsidRDefault="00874916" w:rsidP="00EA28C4">
            <w:pPr>
              <w:jc w:val="center"/>
              <w:rPr>
                <w:sz w:val="18"/>
                <w:szCs w:val="18"/>
              </w:rPr>
            </w:pPr>
            <w:r w:rsidRPr="002C524B">
              <w:rPr>
                <w:sz w:val="18"/>
                <w:szCs w:val="18"/>
              </w:rPr>
              <w:t>96.3</w:t>
            </w:r>
          </w:p>
        </w:tc>
        <w:tc>
          <w:tcPr>
            <w:tcW w:w="470" w:type="pct"/>
            <w:tcBorders>
              <w:top w:val="nil"/>
              <w:bottom w:val="nil"/>
            </w:tcBorders>
            <w:shd w:val="clear" w:color="auto" w:fill="auto"/>
            <w:noWrap/>
            <w:vAlign w:val="center"/>
            <w:hideMark/>
          </w:tcPr>
          <w:p w14:paraId="025D85C3" w14:textId="77777777" w:rsidR="00874916" w:rsidRPr="002C524B" w:rsidRDefault="00874916" w:rsidP="00EA28C4">
            <w:pPr>
              <w:jc w:val="center"/>
              <w:rPr>
                <w:sz w:val="18"/>
                <w:szCs w:val="18"/>
              </w:rPr>
            </w:pPr>
            <w:r w:rsidRPr="002C524B">
              <w:rPr>
                <w:sz w:val="18"/>
                <w:szCs w:val="18"/>
              </w:rPr>
              <w:t>1.9%</w:t>
            </w:r>
          </w:p>
        </w:tc>
      </w:tr>
      <w:tr w:rsidR="00874916" w:rsidRPr="002C524B" w14:paraId="3F21D119" w14:textId="77777777" w:rsidTr="00EA28C4">
        <w:trPr>
          <w:trHeight w:val="270"/>
        </w:trPr>
        <w:tc>
          <w:tcPr>
            <w:tcW w:w="688" w:type="pct"/>
            <w:tcBorders>
              <w:top w:val="nil"/>
              <w:bottom w:val="single" w:sz="4" w:space="0" w:color="auto"/>
            </w:tcBorders>
            <w:shd w:val="clear" w:color="auto" w:fill="auto"/>
            <w:noWrap/>
            <w:vAlign w:val="center"/>
            <w:hideMark/>
          </w:tcPr>
          <w:p w14:paraId="542AFBE7" w14:textId="77777777" w:rsidR="00874916" w:rsidRPr="002C524B" w:rsidRDefault="00874916" w:rsidP="00EA28C4">
            <w:pPr>
              <w:jc w:val="center"/>
              <w:rPr>
                <w:sz w:val="18"/>
                <w:szCs w:val="18"/>
              </w:rPr>
            </w:pPr>
            <w:r w:rsidRPr="002C524B">
              <w:rPr>
                <w:sz w:val="18"/>
                <w:szCs w:val="18"/>
              </w:rPr>
              <w:t>Japan</w:t>
            </w:r>
          </w:p>
        </w:tc>
        <w:tc>
          <w:tcPr>
            <w:tcW w:w="548" w:type="pct"/>
            <w:tcBorders>
              <w:top w:val="nil"/>
              <w:bottom w:val="single" w:sz="4" w:space="0" w:color="auto"/>
            </w:tcBorders>
            <w:shd w:val="clear" w:color="auto" w:fill="auto"/>
            <w:noWrap/>
            <w:vAlign w:val="center"/>
            <w:hideMark/>
          </w:tcPr>
          <w:p w14:paraId="100E9D9E" w14:textId="77777777" w:rsidR="00874916" w:rsidRPr="002C524B" w:rsidRDefault="00874916" w:rsidP="00EA28C4">
            <w:pPr>
              <w:jc w:val="center"/>
              <w:rPr>
                <w:sz w:val="18"/>
                <w:szCs w:val="18"/>
              </w:rPr>
            </w:pPr>
            <w:r w:rsidRPr="002C524B">
              <w:rPr>
                <w:sz w:val="18"/>
                <w:szCs w:val="18"/>
              </w:rPr>
              <w:t>82.1</w:t>
            </w:r>
          </w:p>
        </w:tc>
        <w:tc>
          <w:tcPr>
            <w:tcW w:w="550" w:type="pct"/>
            <w:tcBorders>
              <w:top w:val="nil"/>
              <w:bottom w:val="single" w:sz="4" w:space="0" w:color="auto"/>
              <w:right w:val="single" w:sz="4" w:space="0" w:color="auto"/>
            </w:tcBorders>
            <w:shd w:val="clear" w:color="auto" w:fill="auto"/>
            <w:noWrap/>
            <w:vAlign w:val="center"/>
            <w:hideMark/>
          </w:tcPr>
          <w:p w14:paraId="1BC181EE" w14:textId="77777777" w:rsidR="00874916" w:rsidRPr="002C524B" w:rsidRDefault="00874916" w:rsidP="00EA28C4">
            <w:pPr>
              <w:jc w:val="center"/>
              <w:rPr>
                <w:sz w:val="18"/>
                <w:szCs w:val="18"/>
              </w:rPr>
            </w:pPr>
            <w:r w:rsidRPr="002C524B">
              <w:rPr>
                <w:sz w:val="18"/>
                <w:szCs w:val="18"/>
              </w:rPr>
              <w:t>1.8%</w:t>
            </w:r>
          </w:p>
        </w:tc>
        <w:tc>
          <w:tcPr>
            <w:tcW w:w="548" w:type="pct"/>
            <w:tcBorders>
              <w:top w:val="nil"/>
              <w:left w:val="single" w:sz="4" w:space="0" w:color="auto"/>
              <w:bottom w:val="single" w:sz="4" w:space="0" w:color="auto"/>
            </w:tcBorders>
            <w:shd w:val="clear" w:color="auto" w:fill="auto"/>
            <w:noWrap/>
            <w:vAlign w:val="center"/>
            <w:hideMark/>
          </w:tcPr>
          <w:p w14:paraId="69A23E88" w14:textId="77777777" w:rsidR="00874916" w:rsidRPr="002C524B" w:rsidRDefault="00874916" w:rsidP="00EA28C4">
            <w:pPr>
              <w:jc w:val="center"/>
              <w:rPr>
                <w:sz w:val="18"/>
                <w:szCs w:val="18"/>
              </w:rPr>
            </w:pPr>
            <w:r w:rsidRPr="002C524B">
              <w:rPr>
                <w:sz w:val="18"/>
                <w:szCs w:val="18"/>
              </w:rPr>
              <w:t>Japan</w:t>
            </w:r>
          </w:p>
        </w:tc>
        <w:tc>
          <w:tcPr>
            <w:tcW w:w="548" w:type="pct"/>
            <w:tcBorders>
              <w:top w:val="nil"/>
              <w:bottom w:val="single" w:sz="4" w:space="0" w:color="auto"/>
            </w:tcBorders>
            <w:shd w:val="clear" w:color="auto" w:fill="auto"/>
            <w:noWrap/>
            <w:vAlign w:val="center"/>
            <w:hideMark/>
          </w:tcPr>
          <w:p w14:paraId="1045D4A8" w14:textId="77777777" w:rsidR="00874916" w:rsidRPr="002C524B" w:rsidRDefault="00874916" w:rsidP="00EA28C4">
            <w:pPr>
              <w:jc w:val="center"/>
              <w:rPr>
                <w:sz w:val="18"/>
                <w:szCs w:val="18"/>
              </w:rPr>
            </w:pPr>
            <w:r w:rsidRPr="002C524B">
              <w:rPr>
                <w:sz w:val="18"/>
                <w:szCs w:val="18"/>
              </w:rPr>
              <w:t>85.9</w:t>
            </w:r>
          </w:p>
        </w:tc>
        <w:tc>
          <w:tcPr>
            <w:tcW w:w="470" w:type="pct"/>
            <w:tcBorders>
              <w:top w:val="nil"/>
              <w:bottom w:val="single" w:sz="4" w:space="0" w:color="auto"/>
              <w:right w:val="single" w:sz="4" w:space="0" w:color="auto"/>
            </w:tcBorders>
            <w:shd w:val="clear" w:color="auto" w:fill="auto"/>
            <w:noWrap/>
            <w:vAlign w:val="center"/>
            <w:hideMark/>
          </w:tcPr>
          <w:p w14:paraId="61FBDE10" w14:textId="77777777" w:rsidR="00874916" w:rsidRPr="002C524B" w:rsidRDefault="00874916" w:rsidP="00EA28C4">
            <w:pPr>
              <w:jc w:val="center"/>
              <w:rPr>
                <w:sz w:val="18"/>
                <w:szCs w:val="18"/>
              </w:rPr>
            </w:pPr>
            <w:r w:rsidRPr="002C524B">
              <w:rPr>
                <w:sz w:val="18"/>
                <w:szCs w:val="18"/>
              </w:rPr>
              <w:t>1.8%</w:t>
            </w:r>
          </w:p>
        </w:tc>
        <w:tc>
          <w:tcPr>
            <w:tcW w:w="549" w:type="pct"/>
            <w:tcBorders>
              <w:top w:val="nil"/>
              <w:left w:val="single" w:sz="4" w:space="0" w:color="auto"/>
              <w:bottom w:val="single" w:sz="4" w:space="0" w:color="auto"/>
            </w:tcBorders>
            <w:shd w:val="clear" w:color="auto" w:fill="auto"/>
            <w:noWrap/>
            <w:vAlign w:val="center"/>
            <w:hideMark/>
          </w:tcPr>
          <w:p w14:paraId="1682EC06" w14:textId="77777777" w:rsidR="00874916" w:rsidRPr="002C524B" w:rsidRDefault="00874916" w:rsidP="00EA28C4">
            <w:pPr>
              <w:jc w:val="center"/>
              <w:rPr>
                <w:sz w:val="18"/>
                <w:szCs w:val="18"/>
              </w:rPr>
            </w:pPr>
            <w:r w:rsidRPr="002C524B">
              <w:rPr>
                <w:sz w:val="18"/>
                <w:szCs w:val="18"/>
              </w:rPr>
              <w:t>Japan</w:t>
            </w:r>
          </w:p>
        </w:tc>
        <w:tc>
          <w:tcPr>
            <w:tcW w:w="628" w:type="pct"/>
            <w:tcBorders>
              <w:top w:val="nil"/>
              <w:bottom w:val="single" w:sz="4" w:space="0" w:color="auto"/>
            </w:tcBorders>
            <w:shd w:val="clear" w:color="auto" w:fill="auto"/>
            <w:noWrap/>
            <w:vAlign w:val="center"/>
            <w:hideMark/>
          </w:tcPr>
          <w:p w14:paraId="37A55E59" w14:textId="77777777" w:rsidR="00874916" w:rsidRPr="002C524B" w:rsidRDefault="00874916" w:rsidP="00EA28C4">
            <w:pPr>
              <w:jc w:val="center"/>
              <w:rPr>
                <w:sz w:val="18"/>
                <w:szCs w:val="18"/>
              </w:rPr>
            </w:pPr>
            <w:r w:rsidRPr="002C524B">
              <w:rPr>
                <w:sz w:val="18"/>
                <w:szCs w:val="18"/>
              </w:rPr>
              <w:t>84.8</w:t>
            </w:r>
          </w:p>
        </w:tc>
        <w:tc>
          <w:tcPr>
            <w:tcW w:w="470" w:type="pct"/>
            <w:tcBorders>
              <w:top w:val="nil"/>
              <w:bottom w:val="single" w:sz="4" w:space="0" w:color="auto"/>
            </w:tcBorders>
            <w:shd w:val="clear" w:color="auto" w:fill="auto"/>
            <w:noWrap/>
            <w:vAlign w:val="center"/>
            <w:hideMark/>
          </w:tcPr>
          <w:p w14:paraId="5E2150B3" w14:textId="77777777" w:rsidR="00874916" w:rsidRPr="002C524B" w:rsidRDefault="00874916" w:rsidP="00EA28C4">
            <w:pPr>
              <w:jc w:val="center"/>
              <w:rPr>
                <w:sz w:val="18"/>
                <w:szCs w:val="18"/>
              </w:rPr>
            </w:pPr>
            <w:r w:rsidRPr="002C524B">
              <w:rPr>
                <w:sz w:val="18"/>
                <w:szCs w:val="18"/>
              </w:rPr>
              <w:t>1.7%</w:t>
            </w:r>
          </w:p>
        </w:tc>
      </w:tr>
      <w:tr w:rsidR="00874916" w:rsidRPr="002C524B" w14:paraId="3E1E9E75" w14:textId="77777777" w:rsidTr="00EA28C4">
        <w:trPr>
          <w:trHeight w:val="270"/>
        </w:trPr>
        <w:tc>
          <w:tcPr>
            <w:tcW w:w="688" w:type="pct"/>
            <w:tcBorders>
              <w:top w:val="single" w:sz="4" w:space="0" w:color="auto"/>
            </w:tcBorders>
            <w:shd w:val="clear" w:color="auto" w:fill="auto"/>
            <w:noWrap/>
            <w:vAlign w:val="center"/>
            <w:hideMark/>
          </w:tcPr>
          <w:p w14:paraId="0F5F7F68" w14:textId="77777777" w:rsidR="00874916" w:rsidRPr="002C524B" w:rsidRDefault="00874916" w:rsidP="00EA28C4">
            <w:pPr>
              <w:jc w:val="center"/>
              <w:rPr>
                <w:sz w:val="18"/>
                <w:szCs w:val="18"/>
              </w:rPr>
            </w:pPr>
            <w:r w:rsidRPr="002C524B">
              <w:rPr>
                <w:sz w:val="18"/>
                <w:szCs w:val="18"/>
              </w:rPr>
              <w:t>World</w:t>
            </w:r>
          </w:p>
        </w:tc>
        <w:tc>
          <w:tcPr>
            <w:tcW w:w="548" w:type="pct"/>
            <w:tcBorders>
              <w:top w:val="single" w:sz="4" w:space="0" w:color="auto"/>
            </w:tcBorders>
            <w:shd w:val="clear" w:color="auto" w:fill="auto"/>
            <w:noWrap/>
            <w:vAlign w:val="center"/>
            <w:hideMark/>
          </w:tcPr>
          <w:p w14:paraId="5DA76BA8" w14:textId="77777777" w:rsidR="00874916" w:rsidRPr="002C524B" w:rsidRDefault="00874916" w:rsidP="00EA28C4">
            <w:pPr>
              <w:jc w:val="center"/>
              <w:rPr>
                <w:sz w:val="18"/>
                <w:szCs w:val="18"/>
              </w:rPr>
            </w:pPr>
            <w:r w:rsidRPr="002C524B">
              <w:rPr>
                <w:sz w:val="18"/>
                <w:szCs w:val="18"/>
              </w:rPr>
              <w:t>4561</w:t>
            </w:r>
          </w:p>
        </w:tc>
        <w:tc>
          <w:tcPr>
            <w:tcW w:w="550" w:type="pct"/>
            <w:tcBorders>
              <w:top w:val="single" w:sz="4" w:space="0" w:color="auto"/>
              <w:right w:val="single" w:sz="4" w:space="0" w:color="auto"/>
            </w:tcBorders>
            <w:shd w:val="clear" w:color="auto" w:fill="auto"/>
            <w:noWrap/>
            <w:vAlign w:val="center"/>
            <w:hideMark/>
          </w:tcPr>
          <w:p w14:paraId="7AD9F2AE" w14:textId="77777777" w:rsidR="00874916" w:rsidRPr="002C524B" w:rsidRDefault="00874916" w:rsidP="00EA28C4">
            <w:pPr>
              <w:jc w:val="center"/>
              <w:rPr>
                <w:sz w:val="18"/>
                <w:szCs w:val="18"/>
              </w:rPr>
            </w:pPr>
            <w:r w:rsidRPr="002C524B">
              <w:rPr>
                <w:sz w:val="18"/>
                <w:szCs w:val="18"/>
              </w:rPr>
              <w:t>—</w:t>
            </w:r>
          </w:p>
        </w:tc>
        <w:tc>
          <w:tcPr>
            <w:tcW w:w="548" w:type="pct"/>
            <w:tcBorders>
              <w:top w:val="single" w:sz="4" w:space="0" w:color="auto"/>
              <w:left w:val="single" w:sz="4" w:space="0" w:color="auto"/>
            </w:tcBorders>
            <w:shd w:val="clear" w:color="auto" w:fill="auto"/>
            <w:noWrap/>
            <w:vAlign w:val="center"/>
            <w:hideMark/>
          </w:tcPr>
          <w:p w14:paraId="163FF792" w14:textId="77777777" w:rsidR="00874916" w:rsidRPr="002C524B" w:rsidRDefault="00874916" w:rsidP="00EA28C4">
            <w:pPr>
              <w:jc w:val="center"/>
              <w:rPr>
                <w:sz w:val="18"/>
                <w:szCs w:val="18"/>
              </w:rPr>
            </w:pPr>
            <w:r w:rsidRPr="002C524B">
              <w:rPr>
                <w:sz w:val="18"/>
                <w:szCs w:val="18"/>
              </w:rPr>
              <w:t>World</w:t>
            </w:r>
          </w:p>
        </w:tc>
        <w:tc>
          <w:tcPr>
            <w:tcW w:w="548" w:type="pct"/>
            <w:tcBorders>
              <w:top w:val="single" w:sz="4" w:space="0" w:color="auto"/>
            </w:tcBorders>
            <w:shd w:val="clear" w:color="auto" w:fill="auto"/>
            <w:noWrap/>
            <w:vAlign w:val="center"/>
            <w:hideMark/>
          </w:tcPr>
          <w:p w14:paraId="2F096758" w14:textId="77777777" w:rsidR="00874916" w:rsidRPr="002C524B" w:rsidRDefault="00874916" w:rsidP="00EA28C4">
            <w:pPr>
              <w:jc w:val="center"/>
              <w:rPr>
                <w:sz w:val="18"/>
                <w:szCs w:val="18"/>
              </w:rPr>
            </w:pPr>
            <w:r w:rsidRPr="002C524B">
              <w:rPr>
                <w:sz w:val="18"/>
                <w:szCs w:val="18"/>
              </w:rPr>
              <w:t>4693</w:t>
            </w:r>
          </w:p>
        </w:tc>
        <w:tc>
          <w:tcPr>
            <w:tcW w:w="470" w:type="pct"/>
            <w:tcBorders>
              <w:top w:val="single" w:sz="4" w:space="0" w:color="auto"/>
              <w:right w:val="single" w:sz="4" w:space="0" w:color="auto"/>
            </w:tcBorders>
            <w:shd w:val="clear" w:color="auto" w:fill="auto"/>
            <w:noWrap/>
            <w:vAlign w:val="center"/>
            <w:hideMark/>
          </w:tcPr>
          <w:p w14:paraId="16CE6381" w14:textId="77777777" w:rsidR="00874916" w:rsidRPr="002C524B" w:rsidRDefault="00874916" w:rsidP="00EA28C4">
            <w:pPr>
              <w:jc w:val="center"/>
              <w:rPr>
                <w:sz w:val="18"/>
                <w:szCs w:val="18"/>
              </w:rPr>
            </w:pPr>
            <w:r w:rsidRPr="002C524B">
              <w:rPr>
                <w:sz w:val="18"/>
                <w:szCs w:val="18"/>
              </w:rPr>
              <w:t>—</w:t>
            </w:r>
          </w:p>
        </w:tc>
        <w:tc>
          <w:tcPr>
            <w:tcW w:w="549" w:type="pct"/>
            <w:tcBorders>
              <w:top w:val="single" w:sz="4" w:space="0" w:color="auto"/>
              <w:left w:val="single" w:sz="4" w:space="0" w:color="auto"/>
            </w:tcBorders>
            <w:shd w:val="clear" w:color="auto" w:fill="auto"/>
            <w:noWrap/>
            <w:vAlign w:val="center"/>
            <w:hideMark/>
          </w:tcPr>
          <w:p w14:paraId="06CBF8C0" w14:textId="77777777" w:rsidR="00874916" w:rsidRPr="002C524B" w:rsidRDefault="00874916" w:rsidP="00EA28C4">
            <w:pPr>
              <w:jc w:val="center"/>
              <w:rPr>
                <w:sz w:val="18"/>
                <w:szCs w:val="18"/>
              </w:rPr>
            </w:pPr>
            <w:r w:rsidRPr="002C524B">
              <w:rPr>
                <w:sz w:val="18"/>
                <w:szCs w:val="18"/>
              </w:rPr>
              <w:t>World</w:t>
            </w:r>
          </w:p>
        </w:tc>
        <w:tc>
          <w:tcPr>
            <w:tcW w:w="628" w:type="pct"/>
            <w:tcBorders>
              <w:top w:val="single" w:sz="4" w:space="0" w:color="auto"/>
            </w:tcBorders>
            <w:shd w:val="clear" w:color="auto" w:fill="auto"/>
            <w:noWrap/>
            <w:vAlign w:val="center"/>
            <w:hideMark/>
          </w:tcPr>
          <w:p w14:paraId="5A1289A8" w14:textId="77777777" w:rsidR="00874916" w:rsidRPr="002C524B" w:rsidRDefault="00874916" w:rsidP="00EA28C4">
            <w:pPr>
              <w:jc w:val="center"/>
              <w:rPr>
                <w:sz w:val="18"/>
                <w:szCs w:val="18"/>
              </w:rPr>
            </w:pPr>
            <w:r w:rsidRPr="002C524B">
              <w:rPr>
                <w:sz w:val="18"/>
                <w:szCs w:val="18"/>
              </w:rPr>
              <w:t>4993</w:t>
            </w:r>
          </w:p>
        </w:tc>
        <w:tc>
          <w:tcPr>
            <w:tcW w:w="470" w:type="pct"/>
            <w:tcBorders>
              <w:top w:val="single" w:sz="4" w:space="0" w:color="auto"/>
            </w:tcBorders>
            <w:shd w:val="clear" w:color="auto" w:fill="auto"/>
            <w:noWrap/>
            <w:vAlign w:val="center"/>
            <w:hideMark/>
          </w:tcPr>
          <w:p w14:paraId="1437DCCF" w14:textId="77777777" w:rsidR="00874916" w:rsidRPr="002C524B" w:rsidRDefault="00874916" w:rsidP="00EA28C4">
            <w:pPr>
              <w:jc w:val="center"/>
              <w:rPr>
                <w:sz w:val="18"/>
                <w:szCs w:val="18"/>
              </w:rPr>
            </w:pPr>
            <w:r w:rsidRPr="002C524B">
              <w:rPr>
                <w:sz w:val="18"/>
                <w:szCs w:val="18"/>
              </w:rPr>
              <w:t>—</w:t>
            </w:r>
          </w:p>
        </w:tc>
      </w:tr>
      <w:tr w:rsidR="00874916" w:rsidRPr="002C524B" w14:paraId="29973149" w14:textId="77777777" w:rsidTr="00EA28C4">
        <w:trPr>
          <w:trHeight w:val="270"/>
        </w:trPr>
        <w:tc>
          <w:tcPr>
            <w:tcW w:w="688" w:type="pct"/>
            <w:shd w:val="clear" w:color="auto" w:fill="auto"/>
            <w:noWrap/>
            <w:vAlign w:val="center"/>
            <w:hideMark/>
          </w:tcPr>
          <w:p w14:paraId="37B1BD41" w14:textId="77777777" w:rsidR="00874916" w:rsidRPr="002C524B" w:rsidRDefault="00874916" w:rsidP="00EA28C4">
            <w:pPr>
              <w:jc w:val="center"/>
              <w:rPr>
                <w:sz w:val="18"/>
                <w:szCs w:val="18"/>
              </w:rPr>
            </w:pPr>
            <w:r w:rsidRPr="002C524B">
              <w:rPr>
                <w:sz w:val="18"/>
                <w:szCs w:val="18"/>
              </w:rPr>
              <w:t>Total</w:t>
            </w:r>
          </w:p>
        </w:tc>
        <w:tc>
          <w:tcPr>
            <w:tcW w:w="548" w:type="pct"/>
            <w:shd w:val="clear" w:color="auto" w:fill="auto"/>
            <w:noWrap/>
            <w:vAlign w:val="center"/>
            <w:hideMark/>
          </w:tcPr>
          <w:p w14:paraId="38B63CC8" w14:textId="77777777" w:rsidR="00874916" w:rsidRPr="002C524B" w:rsidRDefault="00874916" w:rsidP="00EA28C4">
            <w:pPr>
              <w:jc w:val="center"/>
              <w:rPr>
                <w:sz w:val="18"/>
                <w:szCs w:val="18"/>
              </w:rPr>
            </w:pPr>
            <w:r w:rsidRPr="002C524B">
              <w:rPr>
                <w:sz w:val="18"/>
                <w:szCs w:val="18"/>
              </w:rPr>
              <w:t>—</w:t>
            </w:r>
          </w:p>
        </w:tc>
        <w:tc>
          <w:tcPr>
            <w:tcW w:w="550" w:type="pct"/>
            <w:tcBorders>
              <w:bottom w:val="single" w:sz="12" w:space="0" w:color="auto"/>
              <w:right w:val="single" w:sz="4" w:space="0" w:color="auto"/>
            </w:tcBorders>
            <w:shd w:val="clear" w:color="auto" w:fill="auto"/>
            <w:noWrap/>
            <w:vAlign w:val="center"/>
            <w:hideMark/>
          </w:tcPr>
          <w:p w14:paraId="42469A26" w14:textId="77777777" w:rsidR="00874916" w:rsidRPr="002C524B" w:rsidRDefault="00874916" w:rsidP="00EA28C4">
            <w:pPr>
              <w:jc w:val="center"/>
              <w:rPr>
                <w:sz w:val="18"/>
                <w:szCs w:val="18"/>
              </w:rPr>
            </w:pPr>
            <w:r w:rsidRPr="002C524B">
              <w:rPr>
                <w:sz w:val="18"/>
                <w:szCs w:val="18"/>
              </w:rPr>
              <w:t>93.86%</w:t>
            </w:r>
          </w:p>
        </w:tc>
        <w:tc>
          <w:tcPr>
            <w:tcW w:w="548" w:type="pct"/>
            <w:tcBorders>
              <w:left w:val="single" w:sz="4" w:space="0" w:color="auto"/>
            </w:tcBorders>
            <w:shd w:val="clear" w:color="auto" w:fill="auto"/>
            <w:noWrap/>
            <w:vAlign w:val="center"/>
            <w:hideMark/>
          </w:tcPr>
          <w:p w14:paraId="29948750" w14:textId="77777777" w:rsidR="00874916" w:rsidRPr="002C524B" w:rsidRDefault="00874916" w:rsidP="00EA28C4">
            <w:pPr>
              <w:jc w:val="center"/>
              <w:rPr>
                <w:sz w:val="18"/>
                <w:szCs w:val="18"/>
              </w:rPr>
            </w:pPr>
            <w:r w:rsidRPr="002C524B">
              <w:rPr>
                <w:sz w:val="18"/>
                <w:szCs w:val="18"/>
              </w:rPr>
              <w:t>Total</w:t>
            </w:r>
          </w:p>
        </w:tc>
        <w:tc>
          <w:tcPr>
            <w:tcW w:w="548" w:type="pct"/>
            <w:shd w:val="clear" w:color="auto" w:fill="auto"/>
            <w:noWrap/>
            <w:vAlign w:val="center"/>
            <w:hideMark/>
          </w:tcPr>
          <w:p w14:paraId="4217C3EE" w14:textId="77777777" w:rsidR="00874916" w:rsidRPr="002C524B" w:rsidRDefault="00874916" w:rsidP="00EA28C4">
            <w:pPr>
              <w:jc w:val="center"/>
              <w:rPr>
                <w:sz w:val="18"/>
                <w:szCs w:val="18"/>
              </w:rPr>
            </w:pPr>
            <w:r w:rsidRPr="002C524B">
              <w:rPr>
                <w:sz w:val="18"/>
                <w:szCs w:val="18"/>
              </w:rPr>
              <w:t>—</w:t>
            </w:r>
          </w:p>
        </w:tc>
        <w:tc>
          <w:tcPr>
            <w:tcW w:w="470" w:type="pct"/>
            <w:tcBorders>
              <w:bottom w:val="single" w:sz="12" w:space="0" w:color="auto"/>
              <w:right w:val="single" w:sz="4" w:space="0" w:color="auto"/>
            </w:tcBorders>
            <w:shd w:val="clear" w:color="auto" w:fill="auto"/>
            <w:noWrap/>
            <w:vAlign w:val="center"/>
            <w:hideMark/>
          </w:tcPr>
          <w:p w14:paraId="24C46052" w14:textId="77777777" w:rsidR="00874916" w:rsidRPr="002C524B" w:rsidRDefault="00874916" w:rsidP="00EA28C4">
            <w:pPr>
              <w:jc w:val="center"/>
              <w:rPr>
                <w:sz w:val="18"/>
                <w:szCs w:val="18"/>
              </w:rPr>
            </w:pPr>
            <w:r w:rsidRPr="002C524B">
              <w:rPr>
                <w:sz w:val="18"/>
                <w:szCs w:val="18"/>
              </w:rPr>
              <w:t>95.46%</w:t>
            </w:r>
          </w:p>
        </w:tc>
        <w:tc>
          <w:tcPr>
            <w:tcW w:w="549" w:type="pct"/>
            <w:tcBorders>
              <w:left w:val="single" w:sz="4" w:space="0" w:color="auto"/>
            </w:tcBorders>
            <w:shd w:val="clear" w:color="auto" w:fill="auto"/>
            <w:noWrap/>
            <w:vAlign w:val="center"/>
            <w:hideMark/>
          </w:tcPr>
          <w:p w14:paraId="1CB001FB" w14:textId="77777777" w:rsidR="00874916" w:rsidRPr="002C524B" w:rsidRDefault="00874916" w:rsidP="00EA28C4">
            <w:pPr>
              <w:jc w:val="center"/>
              <w:rPr>
                <w:sz w:val="18"/>
                <w:szCs w:val="18"/>
              </w:rPr>
            </w:pPr>
            <w:r w:rsidRPr="002C524B">
              <w:rPr>
                <w:sz w:val="18"/>
                <w:szCs w:val="18"/>
              </w:rPr>
              <w:t>Total</w:t>
            </w:r>
          </w:p>
        </w:tc>
        <w:tc>
          <w:tcPr>
            <w:tcW w:w="628" w:type="pct"/>
            <w:shd w:val="clear" w:color="auto" w:fill="auto"/>
            <w:noWrap/>
            <w:vAlign w:val="center"/>
            <w:hideMark/>
          </w:tcPr>
          <w:p w14:paraId="2748CC02" w14:textId="77777777" w:rsidR="00874916" w:rsidRPr="002C524B" w:rsidRDefault="00874916" w:rsidP="00EA28C4">
            <w:pPr>
              <w:jc w:val="center"/>
              <w:rPr>
                <w:sz w:val="18"/>
                <w:szCs w:val="18"/>
              </w:rPr>
            </w:pPr>
            <w:r w:rsidRPr="002C524B">
              <w:rPr>
                <w:sz w:val="18"/>
                <w:szCs w:val="18"/>
              </w:rPr>
              <w:t>—</w:t>
            </w:r>
          </w:p>
        </w:tc>
        <w:tc>
          <w:tcPr>
            <w:tcW w:w="470" w:type="pct"/>
            <w:shd w:val="clear" w:color="auto" w:fill="auto"/>
            <w:noWrap/>
            <w:vAlign w:val="center"/>
            <w:hideMark/>
          </w:tcPr>
          <w:p w14:paraId="2EC729B1" w14:textId="77777777" w:rsidR="00874916" w:rsidRPr="002C524B" w:rsidRDefault="00874916" w:rsidP="00EA28C4">
            <w:pPr>
              <w:jc w:val="center"/>
              <w:rPr>
                <w:sz w:val="18"/>
                <w:szCs w:val="18"/>
              </w:rPr>
            </w:pPr>
            <w:r w:rsidRPr="002C524B">
              <w:rPr>
                <w:sz w:val="18"/>
                <w:szCs w:val="18"/>
              </w:rPr>
              <w:t>95.73%</w:t>
            </w:r>
          </w:p>
        </w:tc>
      </w:tr>
    </w:tbl>
    <w:p w14:paraId="284A8A06" w14:textId="77777777" w:rsidR="00874916" w:rsidRPr="002C524B" w:rsidRDefault="00874916" w:rsidP="00874916"/>
    <w:tbl>
      <w:tblPr>
        <w:tblW w:w="8670" w:type="dxa"/>
        <w:tblInd w:w="93" w:type="dxa"/>
        <w:tblBorders>
          <w:top w:val="single" w:sz="12" w:space="0" w:color="auto"/>
          <w:bottom w:val="single" w:sz="12" w:space="0" w:color="auto"/>
        </w:tblBorders>
        <w:tblLook w:val="04A0" w:firstRow="1" w:lastRow="0" w:firstColumn="1" w:lastColumn="0" w:noHBand="0" w:noVBand="1"/>
      </w:tblPr>
      <w:tblGrid>
        <w:gridCol w:w="2283"/>
        <w:gridCol w:w="1418"/>
        <w:gridCol w:w="1151"/>
        <w:gridCol w:w="1444"/>
        <w:gridCol w:w="1444"/>
        <w:gridCol w:w="930"/>
      </w:tblGrid>
      <w:tr w:rsidR="00874916" w:rsidRPr="002C524B" w14:paraId="65DDBFA3" w14:textId="77777777" w:rsidTr="00EA28C4">
        <w:trPr>
          <w:trHeight w:val="270"/>
        </w:trPr>
        <w:tc>
          <w:tcPr>
            <w:tcW w:w="2283" w:type="dxa"/>
            <w:tcBorders>
              <w:bottom w:val="single" w:sz="4" w:space="0" w:color="auto"/>
            </w:tcBorders>
            <w:shd w:val="clear" w:color="auto" w:fill="auto"/>
            <w:noWrap/>
            <w:vAlign w:val="center"/>
            <w:hideMark/>
          </w:tcPr>
          <w:p w14:paraId="4E9DCD1D" w14:textId="77777777" w:rsidR="00874916" w:rsidRPr="002C524B" w:rsidRDefault="00874916" w:rsidP="00EA28C4">
            <w:pPr>
              <w:jc w:val="center"/>
              <w:rPr>
                <w:sz w:val="18"/>
                <w:szCs w:val="18"/>
              </w:rPr>
            </w:pPr>
          </w:p>
        </w:tc>
        <w:tc>
          <w:tcPr>
            <w:tcW w:w="1418" w:type="dxa"/>
            <w:tcBorders>
              <w:bottom w:val="single" w:sz="4" w:space="0" w:color="auto"/>
            </w:tcBorders>
            <w:shd w:val="clear" w:color="auto" w:fill="auto"/>
            <w:noWrap/>
            <w:vAlign w:val="center"/>
            <w:hideMark/>
          </w:tcPr>
          <w:p w14:paraId="16D2AF93" w14:textId="77777777" w:rsidR="00874916" w:rsidRPr="002C524B" w:rsidRDefault="00874916" w:rsidP="00EA28C4">
            <w:pPr>
              <w:jc w:val="center"/>
              <w:rPr>
                <w:sz w:val="18"/>
                <w:szCs w:val="18"/>
              </w:rPr>
            </w:pPr>
            <w:r w:rsidRPr="002C524B">
              <w:rPr>
                <w:sz w:val="18"/>
                <w:szCs w:val="18"/>
              </w:rPr>
              <w:t>2014</w:t>
            </w:r>
          </w:p>
        </w:tc>
        <w:tc>
          <w:tcPr>
            <w:tcW w:w="1151" w:type="dxa"/>
            <w:tcBorders>
              <w:top w:val="single" w:sz="12" w:space="0" w:color="auto"/>
              <w:bottom w:val="single" w:sz="4" w:space="0" w:color="auto"/>
              <w:right w:val="single" w:sz="4" w:space="0" w:color="auto"/>
            </w:tcBorders>
            <w:shd w:val="clear" w:color="auto" w:fill="auto"/>
            <w:noWrap/>
            <w:vAlign w:val="center"/>
            <w:hideMark/>
          </w:tcPr>
          <w:p w14:paraId="2BA64C4E" w14:textId="77777777" w:rsidR="00874916" w:rsidRPr="002C524B" w:rsidRDefault="00874916" w:rsidP="00EA28C4">
            <w:pPr>
              <w:jc w:val="center"/>
              <w:rPr>
                <w:sz w:val="18"/>
                <w:szCs w:val="18"/>
              </w:rPr>
            </w:pPr>
          </w:p>
        </w:tc>
        <w:tc>
          <w:tcPr>
            <w:tcW w:w="1444" w:type="dxa"/>
            <w:tcBorders>
              <w:left w:val="single" w:sz="4" w:space="0" w:color="auto"/>
              <w:bottom w:val="single" w:sz="4" w:space="0" w:color="auto"/>
            </w:tcBorders>
            <w:shd w:val="clear" w:color="auto" w:fill="auto"/>
            <w:noWrap/>
            <w:vAlign w:val="center"/>
            <w:hideMark/>
          </w:tcPr>
          <w:p w14:paraId="25CA2521" w14:textId="77777777" w:rsidR="00874916" w:rsidRPr="002C524B" w:rsidRDefault="00874916" w:rsidP="00EA28C4">
            <w:pPr>
              <w:jc w:val="center"/>
              <w:rPr>
                <w:sz w:val="18"/>
                <w:szCs w:val="18"/>
              </w:rPr>
            </w:pPr>
          </w:p>
        </w:tc>
        <w:tc>
          <w:tcPr>
            <w:tcW w:w="1444" w:type="dxa"/>
            <w:tcBorders>
              <w:bottom w:val="single" w:sz="4" w:space="0" w:color="auto"/>
            </w:tcBorders>
            <w:shd w:val="clear" w:color="auto" w:fill="auto"/>
            <w:noWrap/>
            <w:vAlign w:val="center"/>
            <w:hideMark/>
          </w:tcPr>
          <w:p w14:paraId="56FF1FD4" w14:textId="77777777" w:rsidR="00874916" w:rsidRPr="002C524B" w:rsidRDefault="00874916" w:rsidP="00EA28C4">
            <w:pPr>
              <w:jc w:val="center"/>
              <w:rPr>
                <w:sz w:val="18"/>
                <w:szCs w:val="18"/>
              </w:rPr>
            </w:pPr>
            <w:r w:rsidRPr="002C524B">
              <w:rPr>
                <w:sz w:val="18"/>
                <w:szCs w:val="18"/>
              </w:rPr>
              <w:t>2015</w:t>
            </w:r>
          </w:p>
        </w:tc>
        <w:tc>
          <w:tcPr>
            <w:tcW w:w="930" w:type="dxa"/>
            <w:tcBorders>
              <w:bottom w:val="single" w:sz="4" w:space="0" w:color="auto"/>
            </w:tcBorders>
            <w:shd w:val="clear" w:color="auto" w:fill="auto"/>
            <w:noWrap/>
            <w:vAlign w:val="center"/>
            <w:hideMark/>
          </w:tcPr>
          <w:p w14:paraId="1474F4BD" w14:textId="77777777" w:rsidR="00874916" w:rsidRPr="002C524B" w:rsidRDefault="00874916" w:rsidP="00EA28C4">
            <w:pPr>
              <w:jc w:val="center"/>
              <w:rPr>
                <w:sz w:val="18"/>
                <w:szCs w:val="18"/>
              </w:rPr>
            </w:pPr>
          </w:p>
        </w:tc>
      </w:tr>
      <w:tr w:rsidR="00874916" w:rsidRPr="002C524B" w14:paraId="6FB2CC34" w14:textId="77777777" w:rsidTr="00EA28C4">
        <w:trPr>
          <w:trHeight w:val="270"/>
        </w:trPr>
        <w:tc>
          <w:tcPr>
            <w:tcW w:w="2283" w:type="dxa"/>
            <w:tcBorders>
              <w:top w:val="single" w:sz="4" w:space="0" w:color="auto"/>
              <w:bottom w:val="single" w:sz="4" w:space="0" w:color="auto"/>
            </w:tcBorders>
            <w:shd w:val="clear" w:color="auto" w:fill="auto"/>
            <w:noWrap/>
            <w:vAlign w:val="center"/>
            <w:hideMark/>
          </w:tcPr>
          <w:p w14:paraId="070DCD46" w14:textId="77777777" w:rsidR="00874916" w:rsidRPr="002C524B" w:rsidRDefault="00874916" w:rsidP="00EA28C4">
            <w:pPr>
              <w:jc w:val="center"/>
              <w:rPr>
                <w:sz w:val="18"/>
                <w:szCs w:val="18"/>
              </w:rPr>
            </w:pPr>
            <w:r w:rsidRPr="002C524B">
              <w:rPr>
                <w:sz w:val="18"/>
                <w:szCs w:val="18"/>
              </w:rPr>
              <w:t>Country</w:t>
            </w:r>
          </w:p>
        </w:tc>
        <w:tc>
          <w:tcPr>
            <w:tcW w:w="1418" w:type="dxa"/>
            <w:tcBorders>
              <w:top w:val="single" w:sz="4" w:space="0" w:color="auto"/>
              <w:bottom w:val="single" w:sz="4" w:space="0" w:color="auto"/>
            </w:tcBorders>
            <w:shd w:val="clear" w:color="auto" w:fill="auto"/>
            <w:noWrap/>
            <w:vAlign w:val="center"/>
            <w:hideMark/>
          </w:tcPr>
          <w:p w14:paraId="3788AFFA" w14:textId="77777777" w:rsidR="00874916" w:rsidRPr="002C524B" w:rsidRDefault="00874916" w:rsidP="00EA28C4">
            <w:pPr>
              <w:jc w:val="center"/>
              <w:rPr>
                <w:sz w:val="18"/>
                <w:szCs w:val="18"/>
              </w:rPr>
            </w:pPr>
            <w:r w:rsidRPr="002C524B">
              <w:rPr>
                <w:sz w:val="18"/>
                <w:szCs w:val="18"/>
              </w:rPr>
              <w:t xml:space="preserve">Thousand </w:t>
            </w:r>
            <w:r>
              <w:rPr>
                <w:sz w:val="18"/>
                <w:szCs w:val="18"/>
              </w:rPr>
              <w:t>Tons</w:t>
            </w:r>
          </w:p>
        </w:tc>
        <w:tc>
          <w:tcPr>
            <w:tcW w:w="1151" w:type="dxa"/>
            <w:tcBorders>
              <w:top w:val="single" w:sz="4" w:space="0" w:color="auto"/>
              <w:bottom w:val="single" w:sz="4" w:space="0" w:color="auto"/>
              <w:right w:val="single" w:sz="4" w:space="0" w:color="auto"/>
            </w:tcBorders>
            <w:shd w:val="clear" w:color="auto" w:fill="auto"/>
            <w:noWrap/>
            <w:vAlign w:val="center"/>
            <w:hideMark/>
          </w:tcPr>
          <w:p w14:paraId="11D3D07B" w14:textId="77777777" w:rsidR="00874916" w:rsidRPr="002C524B" w:rsidRDefault="00874916" w:rsidP="00EA28C4">
            <w:pPr>
              <w:jc w:val="center"/>
              <w:rPr>
                <w:sz w:val="18"/>
                <w:szCs w:val="18"/>
              </w:rPr>
            </w:pPr>
            <w:r w:rsidRPr="002C524B">
              <w:rPr>
                <w:sz w:val="18"/>
                <w:szCs w:val="18"/>
              </w:rPr>
              <w:t>Percent</w:t>
            </w:r>
          </w:p>
        </w:tc>
        <w:tc>
          <w:tcPr>
            <w:tcW w:w="1444" w:type="dxa"/>
            <w:tcBorders>
              <w:top w:val="single" w:sz="4" w:space="0" w:color="auto"/>
              <w:left w:val="single" w:sz="4" w:space="0" w:color="auto"/>
              <w:bottom w:val="single" w:sz="4" w:space="0" w:color="auto"/>
            </w:tcBorders>
            <w:shd w:val="clear" w:color="auto" w:fill="auto"/>
            <w:noWrap/>
            <w:vAlign w:val="center"/>
            <w:hideMark/>
          </w:tcPr>
          <w:p w14:paraId="05F1BD2D" w14:textId="77777777" w:rsidR="00874916" w:rsidRPr="002C524B" w:rsidRDefault="00874916" w:rsidP="00EA28C4">
            <w:pPr>
              <w:jc w:val="center"/>
              <w:rPr>
                <w:sz w:val="18"/>
                <w:szCs w:val="18"/>
              </w:rPr>
            </w:pPr>
            <w:r w:rsidRPr="002C524B">
              <w:rPr>
                <w:sz w:val="18"/>
                <w:szCs w:val="18"/>
              </w:rPr>
              <w:t>Country</w:t>
            </w:r>
          </w:p>
        </w:tc>
        <w:tc>
          <w:tcPr>
            <w:tcW w:w="1444" w:type="dxa"/>
            <w:tcBorders>
              <w:top w:val="single" w:sz="4" w:space="0" w:color="auto"/>
              <w:bottom w:val="single" w:sz="4" w:space="0" w:color="auto"/>
            </w:tcBorders>
            <w:shd w:val="clear" w:color="auto" w:fill="auto"/>
            <w:noWrap/>
            <w:vAlign w:val="center"/>
            <w:hideMark/>
          </w:tcPr>
          <w:p w14:paraId="25F32D8F" w14:textId="77777777" w:rsidR="00874916" w:rsidRPr="002C524B" w:rsidRDefault="00874916" w:rsidP="00EA28C4">
            <w:pPr>
              <w:jc w:val="center"/>
              <w:rPr>
                <w:sz w:val="18"/>
                <w:szCs w:val="18"/>
              </w:rPr>
            </w:pPr>
            <w:r w:rsidRPr="002C524B">
              <w:rPr>
                <w:sz w:val="18"/>
                <w:szCs w:val="18"/>
              </w:rPr>
              <w:t xml:space="preserve">Thousand </w:t>
            </w:r>
            <w:r>
              <w:rPr>
                <w:sz w:val="18"/>
                <w:szCs w:val="18"/>
              </w:rPr>
              <w:t>Tons</w:t>
            </w:r>
          </w:p>
        </w:tc>
        <w:tc>
          <w:tcPr>
            <w:tcW w:w="930" w:type="dxa"/>
            <w:tcBorders>
              <w:top w:val="single" w:sz="4" w:space="0" w:color="auto"/>
              <w:bottom w:val="single" w:sz="4" w:space="0" w:color="auto"/>
            </w:tcBorders>
            <w:shd w:val="clear" w:color="auto" w:fill="auto"/>
            <w:noWrap/>
            <w:vAlign w:val="center"/>
            <w:hideMark/>
          </w:tcPr>
          <w:p w14:paraId="7D2781FD" w14:textId="77777777" w:rsidR="00874916" w:rsidRPr="002C524B" w:rsidRDefault="00874916" w:rsidP="00EA28C4">
            <w:pPr>
              <w:jc w:val="center"/>
              <w:rPr>
                <w:sz w:val="18"/>
                <w:szCs w:val="18"/>
              </w:rPr>
            </w:pPr>
            <w:r w:rsidRPr="002C524B">
              <w:rPr>
                <w:sz w:val="18"/>
                <w:szCs w:val="18"/>
              </w:rPr>
              <w:t>Percent</w:t>
            </w:r>
          </w:p>
        </w:tc>
      </w:tr>
      <w:tr w:rsidR="00874916" w:rsidRPr="002C524B" w14:paraId="0B1071EB" w14:textId="77777777" w:rsidTr="00EA28C4">
        <w:trPr>
          <w:trHeight w:val="270"/>
        </w:trPr>
        <w:tc>
          <w:tcPr>
            <w:tcW w:w="2283" w:type="dxa"/>
            <w:tcBorders>
              <w:top w:val="single" w:sz="4" w:space="0" w:color="auto"/>
              <w:bottom w:val="nil"/>
            </w:tcBorders>
            <w:shd w:val="clear" w:color="auto" w:fill="auto"/>
            <w:noWrap/>
            <w:vAlign w:val="center"/>
            <w:hideMark/>
          </w:tcPr>
          <w:p w14:paraId="3950EC7D" w14:textId="77777777" w:rsidR="00874916" w:rsidRPr="002C524B" w:rsidRDefault="00874916" w:rsidP="00EA28C4">
            <w:pPr>
              <w:jc w:val="center"/>
              <w:rPr>
                <w:sz w:val="18"/>
                <w:szCs w:val="18"/>
              </w:rPr>
            </w:pPr>
            <w:r w:rsidRPr="002C524B">
              <w:rPr>
                <w:sz w:val="18"/>
                <w:szCs w:val="18"/>
              </w:rPr>
              <w:t>China</w:t>
            </w:r>
          </w:p>
        </w:tc>
        <w:tc>
          <w:tcPr>
            <w:tcW w:w="1418" w:type="dxa"/>
            <w:tcBorders>
              <w:top w:val="single" w:sz="4" w:space="0" w:color="auto"/>
              <w:bottom w:val="nil"/>
            </w:tcBorders>
            <w:shd w:val="clear" w:color="auto" w:fill="auto"/>
            <w:noWrap/>
            <w:vAlign w:val="center"/>
            <w:hideMark/>
          </w:tcPr>
          <w:p w14:paraId="708D4C27" w14:textId="77777777" w:rsidR="00874916" w:rsidRPr="002C524B" w:rsidRDefault="00874916" w:rsidP="00EA28C4">
            <w:pPr>
              <w:jc w:val="center"/>
              <w:rPr>
                <w:sz w:val="18"/>
                <w:szCs w:val="18"/>
              </w:rPr>
            </w:pPr>
            <w:r w:rsidRPr="002C524B">
              <w:rPr>
                <w:sz w:val="18"/>
                <w:szCs w:val="18"/>
              </w:rPr>
              <w:t>2095.57</w:t>
            </w:r>
          </w:p>
        </w:tc>
        <w:tc>
          <w:tcPr>
            <w:tcW w:w="1151" w:type="dxa"/>
            <w:tcBorders>
              <w:top w:val="single" w:sz="4" w:space="0" w:color="auto"/>
              <w:bottom w:val="nil"/>
              <w:right w:val="single" w:sz="4" w:space="0" w:color="auto"/>
            </w:tcBorders>
            <w:shd w:val="clear" w:color="auto" w:fill="auto"/>
            <w:noWrap/>
            <w:vAlign w:val="center"/>
            <w:hideMark/>
          </w:tcPr>
          <w:p w14:paraId="77AF5EB7" w14:textId="77777777" w:rsidR="00874916" w:rsidRPr="002C524B" w:rsidRDefault="00874916" w:rsidP="00EA28C4">
            <w:pPr>
              <w:jc w:val="center"/>
              <w:rPr>
                <w:sz w:val="18"/>
                <w:szCs w:val="18"/>
              </w:rPr>
            </w:pPr>
            <w:r w:rsidRPr="002C524B">
              <w:rPr>
                <w:sz w:val="18"/>
                <w:szCs w:val="18"/>
              </w:rPr>
              <w:t>40.3%</w:t>
            </w:r>
          </w:p>
        </w:tc>
        <w:tc>
          <w:tcPr>
            <w:tcW w:w="1444" w:type="dxa"/>
            <w:tcBorders>
              <w:top w:val="single" w:sz="4" w:space="0" w:color="auto"/>
              <w:left w:val="single" w:sz="4" w:space="0" w:color="auto"/>
              <w:bottom w:val="nil"/>
            </w:tcBorders>
            <w:shd w:val="clear" w:color="auto" w:fill="auto"/>
            <w:noWrap/>
            <w:vAlign w:val="center"/>
            <w:hideMark/>
          </w:tcPr>
          <w:p w14:paraId="1DD177B6" w14:textId="77777777" w:rsidR="00874916" w:rsidRPr="002C524B" w:rsidRDefault="00874916" w:rsidP="00EA28C4">
            <w:pPr>
              <w:jc w:val="center"/>
              <w:rPr>
                <w:sz w:val="18"/>
                <w:szCs w:val="18"/>
              </w:rPr>
            </w:pPr>
            <w:r w:rsidRPr="002C524B">
              <w:rPr>
                <w:sz w:val="18"/>
                <w:szCs w:val="18"/>
              </w:rPr>
              <w:t>China</w:t>
            </w:r>
          </w:p>
        </w:tc>
        <w:tc>
          <w:tcPr>
            <w:tcW w:w="1444" w:type="dxa"/>
            <w:tcBorders>
              <w:top w:val="single" w:sz="4" w:space="0" w:color="auto"/>
              <w:bottom w:val="nil"/>
            </w:tcBorders>
            <w:shd w:val="clear" w:color="auto" w:fill="auto"/>
            <w:noWrap/>
            <w:vAlign w:val="center"/>
            <w:hideMark/>
          </w:tcPr>
          <w:p w14:paraId="07EA43E2" w14:textId="77777777" w:rsidR="00874916" w:rsidRPr="002C524B" w:rsidRDefault="00874916" w:rsidP="00EA28C4">
            <w:pPr>
              <w:jc w:val="center"/>
              <w:rPr>
                <w:sz w:val="18"/>
                <w:szCs w:val="18"/>
              </w:rPr>
            </w:pPr>
            <w:r w:rsidRPr="002C524B">
              <w:rPr>
                <w:sz w:val="18"/>
                <w:szCs w:val="18"/>
              </w:rPr>
              <w:t>2278</w:t>
            </w:r>
          </w:p>
        </w:tc>
        <w:tc>
          <w:tcPr>
            <w:tcW w:w="930" w:type="dxa"/>
            <w:tcBorders>
              <w:top w:val="single" w:sz="4" w:space="0" w:color="auto"/>
              <w:bottom w:val="nil"/>
            </w:tcBorders>
            <w:shd w:val="clear" w:color="auto" w:fill="auto"/>
            <w:noWrap/>
            <w:vAlign w:val="center"/>
            <w:hideMark/>
          </w:tcPr>
          <w:p w14:paraId="413AE282" w14:textId="77777777" w:rsidR="00874916" w:rsidRPr="002C524B" w:rsidRDefault="00874916" w:rsidP="00EA28C4">
            <w:pPr>
              <w:jc w:val="center"/>
              <w:rPr>
                <w:sz w:val="18"/>
                <w:szCs w:val="18"/>
              </w:rPr>
            </w:pPr>
            <w:r w:rsidRPr="002C524B">
              <w:rPr>
                <w:sz w:val="18"/>
                <w:szCs w:val="18"/>
              </w:rPr>
              <w:t>43.0%</w:t>
            </w:r>
          </w:p>
        </w:tc>
      </w:tr>
      <w:tr w:rsidR="00874916" w:rsidRPr="002C524B" w14:paraId="3A6333E1" w14:textId="77777777" w:rsidTr="00EA28C4">
        <w:trPr>
          <w:trHeight w:val="270"/>
        </w:trPr>
        <w:tc>
          <w:tcPr>
            <w:tcW w:w="2283" w:type="dxa"/>
            <w:tcBorders>
              <w:top w:val="nil"/>
              <w:bottom w:val="nil"/>
            </w:tcBorders>
            <w:shd w:val="clear" w:color="auto" w:fill="auto"/>
            <w:noWrap/>
            <w:vAlign w:val="center"/>
            <w:hideMark/>
          </w:tcPr>
          <w:p w14:paraId="10EEEBF0" w14:textId="77777777" w:rsidR="00874916" w:rsidRPr="002C524B" w:rsidRDefault="00874916" w:rsidP="00EA28C4">
            <w:pPr>
              <w:jc w:val="center"/>
              <w:rPr>
                <w:sz w:val="18"/>
                <w:szCs w:val="18"/>
              </w:rPr>
            </w:pPr>
            <w:r w:rsidRPr="002C524B">
              <w:rPr>
                <w:sz w:val="18"/>
                <w:szCs w:val="18"/>
              </w:rPr>
              <w:t>India</w:t>
            </w:r>
          </w:p>
        </w:tc>
        <w:tc>
          <w:tcPr>
            <w:tcW w:w="1418" w:type="dxa"/>
            <w:tcBorders>
              <w:top w:val="nil"/>
              <w:bottom w:val="nil"/>
            </w:tcBorders>
            <w:shd w:val="clear" w:color="auto" w:fill="auto"/>
            <w:noWrap/>
            <w:vAlign w:val="center"/>
            <w:hideMark/>
          </w:tcPr>
          <w:p w14:paraId="38DE0611" w14:textId="77777777" w:rsidR="00874916" w:rsidRPr="002C524B" w:rsidRDefault="00874916" w:rsidP="00EA28C4">
            <w:pPr>
              <w:jc w:val="center"/>
              <w:rPr>
                <w:sz w:val="18"/>
                <w:szCs w:val="18"/>
              </w:rPr>
            </w:pPr>
            <w:r w:rsidRPr="002C524B">
              <w:rPr>
                <w:sz w:val="18"/>
                <w:szCs w:val="18"/>
              </w:rPr>
              <w:t>1207.31</w:t>
            </w:r>
          </w:p>
        </w:tc>
        <w:tc>
          <w:tcPr>
            <w:tcW w:w="1151" w:type="dxa"/>
            <w:tcBorders>
              <w:top w:val="nil"/>
              <w:bottom w:val="nil"/>
              <w:right w:val="single" w:sz="4" w:space="0" w:color="auto"/>
            </w:tcBorders>
            <w:shd w:val="clear" w:color="auto" w:fill="auto"/>
            <w:noWrap/>
            <w:vAlign w:val="center"/>
            <w:hideMark/>
          </w:tcPr>
          <w:p w14:paraId="389B96A3" w14:textId="77777777" w:rsidR="00874916" w:rsidRPr="002C524B" w:rsidRDefault="00874916" w:rsidP="00EA28C4">
            <w:pPr>
              <w:jc w:val="center"/>
              <w:rPr>
                <w:sz w:val="18"/>
                <w:szCs w:val="18"/>
              </w:rPr>
            </w:pPr>
            <w:r w:rsidRPr="002C524B">
              <w:rPr>
                <w:sz w:val="18"/>
                <w:szCs w:val="18"/>
              </w:rPr>
              <w:t>23.2%</w:t>
            </w:r>
          </w:p>
        </w:tc>
        <w:tc>
          <w:tcPr>
            <w:tcW w:w="1444" w:type="dxa"/>
            <w:tcBorders>
              <w:top w:val="nil"/>
              <w:left w:val="single" w:sz="4" w:space="0" w:color="auto"/>
              <w:bottom w:val="nil"/>
            </w:tcBorders>
            <w:shd w:val="clear" w:color="auto" w:fill="auto"/>
            <w:noWrap/>
            <w:vAlign w:val="center"/>
            <w:hideMark/>
          </w:tcPr>
          <w:p w14:paraId="43EECA99" w14:textId="77777777" w:rsidR="00874916" w:rsidRPr="002C524B" w:rsidRDefault="00874916" w:rsidP="00EA28C4">
            <w:pPr>
              <w:jc w:val="center"/>
              <w:rPr>
                <w:sz w:val="18"/>
                <w:szCs w:val="18"/>
              </w:rPr>
            </w:pPr>
            <w:r w:rsidRPr="002C524B">
              <w:rPr>
                <w:sz w:val="18"/>
                <w:szCs w:val="18"/>
              </w:rPr>
              <w:t>India</w:t>
            </w:r>
          </w:p>
        </w:tc>
        <w:tc>
          <w:tcPr>
            <w:tcW w:w="1444" w:type="dxa"/>
            <w:tcBorders>
              <w:top w:val="nil"/>
              <w:bottom w:val="nil"/>
            </w:tcBorders>
            <w:shd w:val="clear" w:color="auto" w:fill="auto"/>
            <w:noWrap/>
            <w:vAlign w:val="center"/>
            <w:hideMark/>
          </w:tcPr>
          <w:p w14:paraId="3ADF3230" w14:textId="77777777" w:rsidR="00874916" w:rsidRPr="002C524B" w:rsidRDefault="00874916" w:rsidP="00EA28C4">
            <w:pPr>
              <w:jc w:val="center"/>
              <w:rPr>
                <w:sz w:val="18"/>
                <w:szCs w:val="18"/>
              </w:rPr>
            </w:pPr>
            <w:r w:rsidRPr="002C524B">
              <w:rPr>
                <w:sz w:val="18"/>
                <w:szCs w:val="18"/>
              </w:rPr>
              <w:t>1208.66</w:t>
            </w:r>
          </w:p>
        </w:tc>
        <w:tc>
          <w:tcPr>
            <w:tcW w:w="930" w:type="dxa"/>
            <w:tcBorders>
              <w:top w:val="nil"/>
              <w:bottom w:val="nil"/>
            </w:tcBorders>
            <w:shd w:val="clear" w:color="auto" w:fill="auto"/>
            <w:noWrap/>
            <w:vAlign w:val="center"/>
            <w:hideMark/>
          </w:tcPr>
          <w:p w14:paraId="1F9536C7" w14:textId="77777777" w:rsidR="00874916" w:rsidRPr="002C524B" w:rsidRDefault="00874916" w:rsidP="00EA28C4">
            <w:pPr>
              <w:jc w:val="center"/>
              <w:rPr>
                <w:sz w:val="18"/>
                <w:szCs w:val="18"/>
              </w:rPr>
            </w:pPr>
            <w:r w:rsidRPr="002C524B">
              <w:rPr>
                <w:sz w:val="18"/>
                <w:szCs w:val="18"/>
              </w:rPr>
              <w:t>22.8%</w:t>
            </w:r>
          </w:p>
        </w:tc>
      </w:tr>
      <w:tr w:rsidR="00874916" w:rsidRPr="002C524B" w14:paraId="35C62209" w14:textId="77777777" w:rsidTr="00EA28C4">
        <w:trPr>
          <w:trHeight w:val="270"/>
        </w:trPr>
        <w:tc>
          <w:tcPr>
            <w:tcW w:w="2283" w:type="dxa"/>
            <w:tcBorders>
              <w:top w:val="nil"/>
              <w:bottom w:val="nil"/>
            </w:tcBorders>
            <w:shd w:val="clear" w:color="auto" w:fill="auto"/>
            <w:noWrap/>
            <w:vAlign w:val="center"/>
            <w:hideMark/>
          </w:tcPr>
          <w:p w14:paraId="0ACA1270" w14:textId="77777777" w:rsidR="00874916" w:rsidRPr="002C524B" w:rsidRDefault="00874916" w:rsidP="00EA28C4">
            <w:pPr>
              <w:jc w:val="center"/>
              <w:rPr>
                <w:sz w:val="18"/>
                <w:szCs w:val="18"/>
              </w:rPr>
            </w:pPr>
            <w:r w:rsidRPr="002C524B">
              <w:rPr>
                <w:sz w:val="18"/>
                <w:szCs w:val="18"/>
              </w:rPr>
              <w:t>Kenya</w:t>
            </w:r>
          </w:p>
        </w:tc>
        <w:tc>
          <w:tcPr>
            <w:tcW w:w="1418" w:type="dxa"/>
            <w:tcBorders>
              <w:top w:val="nil"/>
              <w:bottom w:val="nil"/>
            </w:tcBorders>
            <w:shd w:val="clear" w:color="auto" w:fill="auto"/>
            <w:noWrap/>
            <w:vAlign w:val="center"/>
            <w:hideMark/>
          </w:tcPr>
          <w:p w14:paraId="0532020C" w14:textId="77777777" w:rsidR="00874916" w:rsidRPr="002C524B" w:rsidRDefault="00874916" w:rsidP="00EA28C4">
            <w:pPr>
              <w:jc w:val="center"/>
              <w:rPr>
                <w:sz w:val="18"/>
                <w:szCs w:val="18"/>
              </w:rPr>
            </w:pPr>
            <w:r w:rsidRPr="002C524B">
              <w:rPr>
                <w:sz w:val="18"/>
                <w:szCs w:val="18"/>
              </w:rPr>
              <w:t>445.105</w:t>
            </w:r>
          </w:p>
        </w:tc>
        <w:tc>
          <w:tcPr>
            <w:tcW w:w="1151" w:type="dxa"/>
            <w:tcBorders>
              <w:top w:val="nil"/>
              <w:bottom w:val="nil"/>
              <w:right w:val="single" w:sz="4" w:space="0" w:color="auto"/>
            </w:tcBorders>
            <w:shd w:val="clear" w:color="auto" w:fill="auto"/>
            <w:noWrap/>
            <w:vAlign w:val="center"/>
            <w:hideMark/>
          </w:tcPr>
          <w:p w14:paraId="6A85320A" w14:textId="77777777" w:rsidR="00874916" w:rsidRPr="002C524B" w:rsidRDefault="00874916" w:rsidP="00EA28C4">
            <w:pPr>
              <w:jc w:val="center"/>
              <w:rPr>
                <w:sz w:val="18"/>
                <w:szCs w:val="18"/>
              </w:rPr>
            </w:pPr>
            <w:r w:rsidRPr="002C524B">
              <w:rPr>
                <w:sz w:val="18"/>
                <w:szCs w:val="18"/>
              </w:rPr>
              <w:t>8.6%</w:t>
            </w:r>
          </w:p>
        </w:tc>
        <w:tc>
          <w:tcPr>
            <w:tcW w:w="1444" w:type="dxa"/>
            <w:tcBorders>
              <w:top w:val="nil"/>
              <w:left w:val="single" w:sz="4" w:space="0" w:color="auto"/>
              <w:bottom w:val="nil"/>
            </w:tcBorders>
            <w:shd w:val="clear" w:color="auto" w:fill="auto"/>
            <w:noWrap/>
            <w:vAlign w:val="center"/>
            <w:hideMark/>
          </w:tcPr>
          <w:p w14:paraId="12DDA5DE" w14:textId="77777777" w:rsidR="00874916" w:rsidRPr="002C524B" w:rsidRDefault="00874916" w:rsidP="00EA28C4">
            <w:pPr>
              <w:jc w:val="center"/>
              <w:rPr>
                <w:sz w:val="18"/>
                <w:szCs w:val="18"/>
              </w:rPr>
            </w:pPr>
            <w:r w:rsidRPr="002C524B">
              <w:rPr>
                <w:sz w:val="18"/>
                <w:szCs w:val="18"/>
              </w:rPr>
              <w:t>Kenya</w:t>
            </w:r>
          </w:p>
        </w:tc>
        <w:tc>
          <w:tcPr>
            <w:tcW w:w="1444" w:type="dxa"/>
            <w:tcBorders>
              <w:top w:val="nil"/>
              <w:bottom w:val="nil"/>
            </w:tcBorders>
            <w:shd w:val="clear" w:color="auto" w:fill="auto"/>
            <w:noWrap/>
            <w:vAlign w:val="center"/>
            <w:hideMark/>
          </w:tcPr>
          <w:p w14:paraId="5C30EF44" w14:textId="77777777" w:rsidR="00874916" w:rsidRPr="002C524B" w:rsidRDefault="00874916" w:rsidP="00EA28C4">
            <w:pPr>
              <w:jc w:val="center"/>
              <w:rPr>
                <w:sz w:val="18"/>
                <w:szCs w:val="18"/>
              </w:rPr>
            </w:pPr>
            <w:r w:rsidRPr="002C524B">
              <w:rPr>
                <w:sz w:val="18"/>
                <w:szCs w:val="18"/>
              </w:rPr>
              <w:t>399.211</w:t>
            </w:r>
          </w:p>
        </w:tc>
        <w:tc>
          <w:tcPr>
            <w:tcW w:w="930" w:type="dxa"/>
            <w:tcBorders>
              <w:top w:val="nil"/>
              <w:bottom w:val="nil"/>
            </w:tcBorders>
            <w:shd w:val="clear" w:color="auto" w:fill="auto"/>
            <w:noWrap/>
            <w:vAlign w:val="center"/>
            <w:hideMark/>
          </w:tcPr>
          <w:p w14:paraId="5C57F7B1" w14:textId="77777777" w:rsidR="00874916" w:rsidRPr="002C524B" w:rsidRDefault="00874916" w:rsidP="00EA28C4">
            <w:pPr>
              <w:jc w:val="center"/>
              <w:rPr>
                <w:sz w:val="18"/>
                <w:szCs w:val="18"/>
              </w:rPr>
            </w:pPr>
            <w:r w:rsidRPr="002C524B">
              <w:rPr>
                <w:sz w:val="18"/>
                <w:szCs w:val="18"/>
              </w:rPr>
              <w:t>7.5%</w:t>
            </w:r>
          </w:p>
        </w:tc>
      </w:tr>
      <w:tr w:rsidR="00874916" w:rsidRPr="002C524B" w14:paraId="35386807" w14:textId="77777777" w:rsidTr="00EA28C4">
        <w:trPr>
          <w:trHeight w:val="270"/>
        </w:trPr>
        <w:tc>
          <w:tcPr>
            <w:tcW w:w="2283" w:type="dxa"/>
            <w:tcBorders>
              <w:top w:val="nil"/>
              <w:bottom w:val="nil"/>
            </w:tcBorders>
            <w:shd w:val="clear" w:color="auto" w:fill="auto"/>
            <w:noWrap/>
            <w:vAlign w:val="center"/>
            <w:hideMark/>
          </w:tcPr>
          <w:p w14:paraId="0D1479DB" w14:textId="77777777" w:rsidR="00874916" w:rsidRPr="002C524B" w:rsidRDefault="00874916" w:rsidP="00EA28C4">
            <w:pPr>
              <w:jc w:val="center"/>
              <w:rPr>
                <w:sz w:val="18"/>
                <w:szCs w:val="18"/>
              </w:rPr>
            </w:pPr>
            <w:r w:rsidRPr="002C524B">
              <w:rPr>
                <w:sz w:val="18"/>
                <w:szCs w:val="18"/>
              </w:rPr>
              <w:t>Sri Lanka</w:t>
            </w:r>
          </w:p>
        </w:tc>
        <w:tc>
          <w:tcPr>
            <w:tcW w:w="1418" w:type="dxa"/>
            <w:tcBorders>
              <w:top w:val="nil"/>
              <w:bottom w:val="nil"/>
            </w:tcBorders>
            <w:shd w:val="clear" w:color="auto" w:fill="auto"/>
            <w:noWrap/>
            <w:vAlign w:val="center"/>
            <w:hideMark/>
          </w:tcPr>
          <w:p w14:paraId="65937E14" w14:textId="77777777" w:rsidR="00874916" w:rsidRPr="002C524B" w:rsidRDefault="00874916" w:rsidP="00EA28C4">
            <w:pPr>
              <w:jc w:val="center"/>
              <w:rPr>
                <w:sz w:val="18"/>
                <w:szCs w:val="18"/>
              </w:rPr>
            </w:pPr>
            <w:r w:rsidRPr="002C524B">
              <w:rPr>
                <w:sz w:val="18"/>
                <w:szCs w:val="18"/>
              </w:rPr>
              <w:t>338.032</w:t>
            </w:r>
          </w:p>
        </w:tc>
        <w:tc>
          <w:tcPr>
            <w:tcW w:w="1151" w:type="dxa"/>
            <w:tcBorders>
              <w:top w:val="nil"/>
              <w:bottom w:val="nil"/>
              <w:right w:val="single" w:sz="4" w:space="0" w:color="auto"/>
            </w:tcBorders>
            <w:shd w:val="clear" w:color="auto" w:fill="auto"/>
            <w:noWrap/>
            <w:vAlign w:val="center"/>
            <w:hideMark/>
          </w:tcPr>
          <w:p w14:paraId="6658B5F5" w14:textId="77777777" w:rsidR="00874916" w:rsidRPr="002C524B" w:rsidRDefault="00874916" w:rsidP="00EA28C4">
            <w:pPr>
              <w:jc w:val="center"/>
              <w:rPr>
                <w:sz w:val="18"/>
                <w:szCs w:val="18"/>
              </w:rPr>
            </w:pPr>
            <w:r w:rsidRPr="002C524B">
              <w:rPr>
                <w:sz w:val="18"/>
                <w:szCs w:val="18"/>
              </w:rPr>
              <w:t>6.5%</w:t>
            </w:r>
          </w:p>
        </w:tc>
        <w:tc>
          <w:tcPr>
            <w:tcW w:w="1444" w:type="dxa"/>
            <w:tcBorders>
              <w:top w:val="nil"/>
              <w:left w:val="single" w:sz="4" w:space="0" w:color="auto"/>
              <w:bottom w:val="nil"/>
            </w:tcBorders>
            <w:shd w:val="clear" w:color="auto" w:fill="auto"/>
            <w:noWrap/>
            <w:vAlign w:val="center"/>
            <w:hideMark/>
          </w:tcPr>
          <w:p w14:paraId="74495908" w14:textId="77777777" w:rsidR="00874916" w:rsidRPr="002C524B" w:rsidRDefault="00874916" w:rsidP="00EA28C4">
            <w:pPr>
              <w:jc w:val="center"/>
              <w:rPr>
                <w:sz w:val="18"/>
                <w:szCs w:val="18"/>
              </w:rPr>
            </w:pPr>
            <w:r w:rsidRPr="002C524B">
              <w:rPr>
                <w:sz w:val="18"/>
                <w:szCs w:val="18"/>
              </w:rPr>
              <w:t>Sri Lanka</w:t>
            </w:r>
          </w:p>
        </w:tc>
        <w:tc>
          <w:tcPr>
            <w:tcW w:w="1444" w:type="dxa"/>
            <w:tcBorders>
              <w:top w:val="nil"/>
              <w:bottom w:val="nil"/>
            </w:tcBorders>
            <w:shd w:val="clear" w:color="auto" w:fill="auto"/>
            <w:noWrap/>
            <w:vAlign w:val="center"/>
            <w:hideMark/>
          </w:tcPr>
          <w:p w14:paraId="3CE990BA" w14:textId="77777777" w:rsidR="00874916" w:rsidRPr="002C524B" w:rsidRDefault="00874916" w:rsidP="00EA28C4">
            <w:pPr>
              <w:jc w:val="center"/>
              <w:rPr>
                <w:sz w:val="18"/>
                <w:szCs w:val="18"/>
              </w:rPr>
            </w:pPr>
            <w:r w:rsidRPr="002C524B">
              <w:rPr>
                <w:sz w:val="18"/>
                <w:szCs w:val="18"/>
              </w:rPr>
              <w:t>328.964</w:t>
            </w:r>
          </w:p>
        </w:tc>
        <w:tc>
          <w:tcPr>
            <w:tcW w:w="930" w:type="dxa"/>
            <w:tcBorders>
              <w:top w:val="nil"/>
              <w:bottom w:val="nil"/>
            </w:tcBorders>
            <w:shd w:val="clear" w:color="auto" w:fill="auto"/>
            <w:noWrap/>
            <w:vAlign w:val="center"/>
            <w:hideMark/>
          </w:tcPr>
          <w:p w14:paraId="6761FD1E" w14:textId="77777777" w:rsidR="00874916" w:rsidRPr="002C524B" w:rsidRDefault="00874916" w:rsidP="00EA28C4">
            <w:pPr>
              <w:jc w:val="center"/>
              <w:rPr>
                <w:sz w:val="18"/>
                <w:szCs w:val="18"/>
              </w:rPr>
            </w:pPr>
            <w:r w:rsidRPr="002C524B">
              <w:rPr>
                <w:sz w:val="18"/>
                <w:szCs w:val="18"/>
              </w:rPr>
              <w:t>6.2%</w:t>
            </w:r>
          </w:p>
        </w:tc>
      </w:tr>
      <w:tr w:rsidR="00874916" w:rsidRPr="002C524B" w14:paraId="385876F1" w14:textId="77777777" w:rsidTr="00EA28C4">
        <w:trPr>
          <w:trHeight w:val="270"/>
        </w:trPr>
        <w:tc>
          <w:tcPr>
            <w:tcW w:w="2283" w:type="dxa"/>
            <w:tcBorders>
              <w:top w:val="nil"/>
              <w:bottom w:val="nil"/>
            </w:tcBorders>
            <w:shd w:val="clear" w:color="auto" w:fill="auto"/>
            <w:noWrap/>
            <w:vAlign w:val="center"/>
            <w:hideMark/>
          </w:tcPr>
          <w:p w14:paraId="4FFB9F3F" w14:textId="77777777" w:rsidR="00874916" w:rsidRPr="002C524B" w:rsidRDefault="00874916" w:rsidP="00EA28C4">
            <w:pPr>
              <w:jc w:val="center"/>
              <w:rPr>
                <w:sz w:val="18"/>
                <w:szCs w:val="18"/>
              </w:rPr>
            </w:pPr>
            <w:r w:rsidRPr="002C524B">
              <w:rPr>
                <w:sz w:val="18"/>
                <w:szCs w:val="18"/>
              </w:rPr>
              <w:t>Viet Nam</w:t>
            </w:r>
          </w:p>
        </w:tc>
        <w:tc>
          <w:tcPr>
            <w:tcW w:w="1418" w:type="dxa"/>
            <w:tcBorders>
              <w:top w:val="nil"/>
              <w:bottom w:val="nil"/>
            </w:tcBorders>
            <w:shd w:val="clear" w:color="auto" w:fill="auto"/>
            <w:noWrap/>
            <w:vAlign w:val="center"/>
            <w:hideMark/>
          </w:tcPr>
          <w:p w14:paraId="03191167" w14:textId="77777777" w:rsidR="00874916" w:rsidRPr="002C524B" w:rsidRDefault="00874916" w:rsidP="00EA28C4">
            <w:pPr>
              <w:jc w:val="center"/>
              <w:rPr>
                <w:sz w:val="18"/>
                <w:szCs w:val="18"/>
              </w:rPr>
            </w:pPr>
            <w:r w:rsidRPr="002C524B">
              <w:rPr>
                <w:sz w:val="18"/>
                <w:szCs w:val="18"/>
              </w:rPr>
              <w:t>228.36</w:t>
            </w:r>
          </w:p>
        </w:tc>
        <w:tc>
          <w:tcPr>
            <w:tcW w:w="1151" w:type="dxa"/>
            <w:tcBorders>
              <w:top w:val="nil"/>
              <w:bottom w:val="nil"/>
              <w:right w:val="single" w:sz="4" w:space="0" w:color="auto"/>
            </w:tcBorders>
            <w:shd w:val="clear" w:color="auto" w:fill="auto"/>
            <w:noWrap/>
            <w:vAlign w:val="center"/>
            <w:hideMark/>
          </w:tcPr>
          <w:p w14:paraId="73BD43E7" w14:textId="77777777" w:rsidR="00874916" w:rsidRPr="002C524B" w:rsidRDefault="00874916" w:rsidP="00EA28C4">
            <w:pPr>
              <w:jc w:val="center"/>
              <w:rPr>
                <w:sz w:val="18"/>
                <w:szCs w:val="18"/>
              </w:rPr>
            </w:pPr>
            <w:r w:rsidRPr="002C524B">
              <w:rPr>
                <w:sz w:val="18"/>
                <w:szCs w:val="18"/>
              </w:rPr>
              <w:t>4.4%</w:t>
            </w:r>
          </w:p>
        </w:tc>
        <w:tc>
          <w:tcPr>
            <w:tcW w:w="1444" w:type="dxa"/>
            <w:tcBorders>
              <w:top w:val="nil"/>
              <w:left w:val="single" w:sz="4" w:space="0" w:color="auto"/>
              <w:bottom w:val="nil"/>
            </w:tcBorders>
            <w:shd w:val="clear" w:color="auto" w:fill="auto"/>
            <w:noWrap/>
            <w:vAlign w:val="center"/>
            <w:hideMark/>
          </w:tcPr>
          <w:p w14:paraId="3EE2EA8F" w14:textId="77777777" w:rsidR="00874916" w:rsidRPr="002C524B" w:rsidRDefault="00874916" w:rsidP="00EA28C4">
            <w:pPr>
              <w:jc w:val="center"/>
              <w:rPr>
                <w:sz w:val="18"/>
                <w:szCs w:val="18"/>
              </w:rPr>
            </w:pPr>
            <w:r w:rsidRPr="002C524B">
              <w:rPr>
                <w:sz w:val="18"/>
                <w:szCs w:val="18"/>
              </w:rPr>
              <w:t>Turkey</w:t>
            </w:r>
          </w:p>
        </w:tc>
        <w:tc>
          <w:tcPr>
            <w:tcW w:w="1444" w:type="dxa"/>
            <w:tcBorders>
              <w:top w:val="nil"/>
              <w:bottom w:val="nil"/>
            </w:tcBorders>
            <w:shd w:val="clear" w:color="auto" w:fill="auto"/>
            <w:noWrap/>
            <w:vAlign w:val="center"/>
            <w:hideMark/>
          </w:tcPr>
          <w:p w14:paraId="224D4140" w14:textId="77777777" w:rsidR="00874916" w:rsidRPr="002C524B" w:rsidRDefault="00874916" w:rsidP="00EA28C4">
            <w:pPr>
              <w:jc w:val="center"/>
              <w:rPr>
                <w:sz w:val="18"/>
                <w:szCs w:val="18"/>
              </w:rPr>
            </w:pPr>
            <w:r w:rsidRPr="002C524B">
              <w:rPr>
                <w:sz w:val="18"/>
                <w:szCs w:val="18"/>
              </w:rPr>
              <w:t>258.541</w:t>
            </w:r>
          </w:p>
        </w:tc>
        <w:tc>
          <w:tcPr>
            <w:tcW w:w="930" w:type="dxa"/>
            <w:tcBorders>
              <w:top w:val="nil"/>
              <w:bottom w:val="nil"/>
            </w:tcBorders>
            <w:shd w:val="clear" w:color="auto" w:fill="auto"/>
            <w:noWrap/>
            <w:vAlign w:val="center"/>
            <w:hideMark/>
          </w:tcPr>
          <w:p w14:paraId="08CCEACD" w14:textId="77777777" w:rsidR="00874916" w:rsidRPr="002C524B" w:rsidRDefault="00874916" w:rsidP="00EA28C4">
            <w:pPr>
              <w:jc w:val="center"/>
              <w:rPr>
                <w:sz w:val="18"/>
                <w:szCs w:val="18"/>
              </w:rPr>
            </w:pPr>
            <w:r w:rsidRPr="002C524B">
              <w:rPr>
                <w:sz w:val="18"/>
                <w:szCs w:val="18"/>
              </w:rPr>
              <w:t>4.9%</w:t>
            </w:r>
          </w:p>
        </w:tc>
      </w:tr>
      <w:tr w:rsidR="00874916" w:rsidRPr="002C524B" w14:paraId="56F83E1C" w14:textId="77777777" w:rsidTr="00EA28C4">
        <w:trPr>
          <w:trHeight w:val="270"/>
        </w:trPr>
        <w:tc>
          <w:tcPr>
            <w:tcW w:w="2283" w:type="dxa"/>
            <w:tcBorders>
              <w:top w:val="nil"/>
              <w:bottom w:val="nil"/>
            </w:tcBorders>
            <w:shd w:val="clear" w:color="auto" w:fill="auto"/>
            <w:noWrap/>
            <w:vAlign w:val="center"/>
            <w:hideMark/>
          </w:tcPr>
          <w:p w14:paraId="34D7C56E" w14:textId="77777777" w:rsidR="00874916" w:rsidRPr="002C524B" w:rsidRDefault="00874916" w:rsidP="00EA28C4">
            <w:pPr>
              <w:jc w:val="center"/>
              <w:rPr>
                <w:sz w:val="18"/>
                <w:szCs w:val="18"/>
              </w:rPr>
            </w:pPr>
            <w:r w:rsidRPr="002C524B">
              <w:rPr>
                <w:sz w:val="18"/>
                <w:szCs w:val="18"/>
              </w:rPr>
              <w:t>Turkey</w:t>
            </w:r>
          </w:p>
        </w:tc>
        <w:tc>
          <w:tcPr>
            <w:tcW w:w="1418" w:type="dxa"/>
            <w:tcBorders>
              <w:top w:val="nil"/>
              <w:bottom w:val="nil"/>
            </w:tcBorders>
            <w:shd w:val="clear" w:color="auto" w:fill="auto"/>
            <w:noWrap/>
            <w:vAlign w:val="center"/>
            <w:hideMark/>
          </w:tcPr>
          <w:p w14:paraId="54BDEA8C" w14:textId="77777777" w:rsidR="00874916" w:rsidRPr="002C524B" w:rsidRDefault="00874916" w:rsidP="00EA28C4">
            <w:pPr>
              <w:jc w:val="center"/>
              <w:rPr>
                <w:sz w:val="18"/>
                <w:szCs w:val="18"/>
              </w:rPr>
            </w:pPr>
            <w:r w:rsidRPr="002C524B">
              <w:rPr>
                <w:sz w:val="18"/>
                <w:szCs w:val="18"/>
              </w:rPr>
              <w:t>226.8</w:t>
            </w:r>
          </w:p>
        </w:tc>
        <w:tc>
          <w:tcPr>
            <w:tcW w:w="1151" w:type="dxa"/>
            <w:tcBorders>
              <w:top w:val="nil"/>
              <w:bottom w:val="nil"/>
              <w:right w:val="single" w:sz="4" w:space="0" w:color="auto"/>
            </w:tcBorders>
            <w:shd w:val="clear" w:color="auto" w:fill="auto"/>
            <w:noWrap/>
            <w:vAlign w:val="center"/>
            <w:hideMark/>
          </w:tcPr>
          <w:p w14:paraId="14DBD1AE" w14:textId="77777777" w:rsidR="00874916" w:rsidRPr="002C524B" w:rsidRDefault="00874916" w:rsidP="00EA28C4">
            <w:pPr>
              <w:jc w:val="center"/>
              <w:rPr>
                <w:sz w:val="18"/>
                <w:szCs w:val="18"/>
              </w:rPr>
            </w:pPr>
            <w:r w:rsidRPr="002C524B">
              <w:rPr>
                <w:sz w:val="18"/>
                <w:szCs w:val="18"/>
              </w:rPr>
              <w:t>4.4%</w:t>
            </w:r>
          </w:p>
        </w:tc>
        <w:tc>
          <w:tcPr>
            <w:tcW w:w="1444" w:type="dxa"/>
            <w:tcBorders>
              <w:top w:val="nil"/>
              <w:left w:val="single" w:sz="4" w:space="0" w:color="auto"/>
              <w:bottom w:val="nil"/>
            </w:tcBorders>
            <w:shd w:val="clear" w:color="auto" w:fill="auto"/>
            <w:noWrap/>
            <w:vAlign w:val="center"/>
            <w:hideMark/>
          </w:tcPr>
          <w:p w14:paraId="5007CB5D" w14:textId="77777777" w:rsidR="00874916" w:rsidRPr="002C524B" w:rsidRDefault="00874916" w:rsidP="00EA28C4">
            <w:pPr>
              <w:jc w:val="center"/>
              <w:rPr>
                <w:sz w:val="18"/>
                <w:szCs w:val="18"/>
              </w:rPr>
            </w:pPr>
            <w:r w:rsidRPr="002C524B">
              <w:rPr>
                <w:sz w:val="18"/>
                <w:szCs w:val="18"/>
              </w:rPr>
              <w:t>Viet Nam</w:t>
            </w:r>
          </w:p>
        </w:tc>
        <w:tc>
          <w:tcPr>
            <w:tcW w:w="1444" w:type="dxa"/>
            <w:tcBorders>
              <w:top w:val="nil"/>
              <w:bottom w:val="nil"/>
            </w:tcBorders>
            <w:shd w:val="clear" w:color="auto" w:fill="auto"/>
            <w:noWrap/>
            <w:vAlign w:val="center"/>
            <w:hideMark/>
          </w:tcPr>
          <w:p w14:paraId="56118FBE" w14:textId="77777777" w:rsidR="00874916" w:rsidRPr="002C524B" w:rsidRDefault="00874916" w:rsidP="00EA28C4">
            <w:pPr>
              <w:jc w:val="center"/>
              <w:rPr>
                <w:sz w:val="18"/>
                <w:szCs w:val="18"/>
              </w:rPr>
            </w:pPr>
            <w:r w:rsidRPr="002C524B">
              <w:rPr>
                <w:sz w:val="18"/>
                <w:szCs w:val="18"/>
              </w:rPr>
              <w:t>170</w:t>
            </w:r>
          </w:p>
        </w:tc>
        <w:tc>
          <w:tcPr>
            <w:tcW w:w="930" w:type="dxa"/>
            <w:tcBorders>
              <w:top w:val="nil"/>
              <w:bottom w:val="nil"/>
            </w:tcBorders>
            <w:shd w:val="clear" w:color="auto" w:fill="auto"/>
            <w:noWrap/>
            <w:vAlign w:val="center"/>
            <w:hideMark/>
          </w:tcPr>
          <w:p w14:paraId="7AC44782" w14:textId="77777777" w:rsidR="00874916" w:rsidRPr="002C524B" w:rsidRDefault="00874916" w:rsidP="00EA28C4">
            <w:pPr>
              <w:jc w:val="center"/>
              <w:rPr>
                <w:sz w:val="18"/>
                <w:szCs w:val="18"/>
              </w:rPr>
            </w:pPr>
            <w:r w:rsidRPr="002C524B">
              <w:rPr>
                <w:sz w:val="18"/>
                <w:szCs w:val="18"/>
              </w:rPr>
              <w:t>3.1%</w:t>
            </w:r>
          </w:p>
        </w:tc>
      </w:tr>
      <w:tr w:rsidR="00874916" w:rsidRPr="002C524B" w14:paraId="6340CBD5" w14:textId="77777777" w:rsidTr="00EA28C4">
        <w:trPr>
          <w:trHeight w:val="270"/>
        </w:trPr>
        <w:tc>
          <w:tcPr>
            <w:tcW w:w="2283" w:type="dxa"/>
            <w:tcBorders>
              <w:top w:val="nil"/>
              <w:bottom w:val="nil"/>
            </w:tcBorders>
            <w:shd w:val="clear" w:color="auto" w:fill="auto"/>
            <w:noWrap/>
            <w:vAlign w:val="center"/>
            <w:hideMark/>
          </w:tcPr>
          <w:p w14:paraId="0C73A9FE" w14:textId="77777777" w:rsidR="00874916" w:rsidRPr="002C524B" w:rsidRDefault="00874916" w:rsidP="00EA28C4">
            <w:pPr>
              <w:jc w:val="center"/>
              <w:rPr>
                <w:sz w:val="18"/>
                <w:szCs w:val="18"/>
              </w:rPr>
            </w:pPr>
            <w:r w:rsidRPr="002C524B">
              <w:rPr>
                <w:sz w:val="18"/>
                <w:szCs w:val="18"/>
              </w:rPr>
              <w:t>Indonesia</w:t>
            </w:r>
          </w:p>
        </w:tc>
        <w:tc>
          <w:tcPr>
            <w:tcW w:w="1418" w:type="dxa"/>
            <w:tcBorders>
              <w:top w:val="nil"/>
              <w:bottom w:val="nil"/>
            </w:tcBorders>
            <w:shd w:val="clear" w:color="auto" w:fill="auto"/>
            <w:noWrap/>
            <w:vAlign w:val="center"/>
            <w:hideMark/>
          </w:tcPr>
          <w:p w14:paraId="4C4D2561" w14:textId="77777777" w:rsidR="00874916" w:rsidRPr="002C524B" w:rsidRDefault="00874916" w:rsidP="00EA28C4">
            <w:pPr>
              <w:jc w:val="center"/>
              <w:rPr>
                <w:sz w:val="18"/>
                <w:szCs w:val="18"/>
              </w:rPr>
            </w:pPr>
            <w:r w:rsidRPr="002C524B">
              <w:rPr>
                <w:sz w:val="18"/>
                <w:szCs w:val="18"/>
              </w:rPr>
              <w:t>154.4</w:t>
            </w:r>
          </w:p>
        </w:tc>
        <w:tc>
          <w:tcPr>
            <w:tcW w:w="1151" w:type="dxa"/>
            <w:tcBorders>
              <w:top w:val="nil"/>
              <w:bottom w:val="nil"/>
              <w:right w:val="single" w:sz="4" w:space="0" w:color="auto"/>
            </w:tcBorders>
            <w:shd w:val="clear" w:color="auto" w:fill="auto"/>
            <w:noWrap/>
            <w:vAlign w:val="center"/>
            <w:hideMark/>
          </w:tcPr>
          <w:p w14:paraId="469FC53E" w14:textId="77777777" w:rsidR="00874916" w:rsidRPr="002C524B" w:rsidRDefault="00874916" w:rsidP="00EA28C4">
            <w:pPr>
              <w:jc w:val="center"/>
              <w:rPr>
                <w:sz w:val="18"/>
                <w:szCs w:val="18"/>
              </w:rPr>
            </w:pPr>
            <w:r w:rsidRPr="002C524B">
              <w:rPr>
                <w:sz w:val="18"/>
                <w:szCs w:val="18"/>
              </w:rPr>
              <w:t>3.0%</w:t>
            </w:r>
          </w:p>
        </w:tc>
        <w:tc>
          <w:tcPr>
            <w:tcW w:w="1444" w:type="dxa"/>
            <w:tcBorders>
              <w:top w:val="nil"/>
              <w:left w:val="single" w:sz="4" w:space="0" w:color="auto"/>
              <w:bottom w:val="nil"/>
            </w:tcBorders>
            <w:shd w:val="clear" w:color="auto" w:fill="auto"/>
            <w:noWrap/>
            <w:vAlign w:val="center"/>
            <w:hideMark/>
          </w:tcPr>
          <w:p w14:paraId="7A5EAE8A" w14:textId="77777777" w:rsidR="00874916" w:rsidRPr="002C524B" w:rsidRDefault="00874916" w:rsidP="00EA28C4">
            <w:pPr>
              <w:jc w:val="center"/>
              <w:rPr>
                <w:sz w:val="18"/>
                <w:szCs w:val="18"/>
              </w:rPr>
            </w:pPr>
            <w:r w:rsidRPr="002C524B">
              <w:rPr>
                <w:sz w:val="18"/>
                <w:szCs w:val="18"/>
              </w:rPr>
              <w:t>Indonesia</w:t>
            </w:r>
          </w:p>
        </w:tc>
        <w:tc>
          <w:tcPr>
            <w:tcW w:w="1444" w:type="dxa"/>
            <w:tcBorders>
              <w:top w:val="nil"/>
              <w:bottom w:val="nil"/>
            </w:tcBorders>
            <w:shd w:val="clear" w:color="auto" w:fill="auto"/>
            <w:noWrap/>
            <w:vAlign w:val="center"/>
            <w:hideMark/>
          </w:tcPr>
          <w:p w14:paraId="1D5AEE3A" w14:textId="77777777" w:rsidR="00874916" w:rsidRPr="002C524B" w:rsidRDefault="00874916" w:rsidP="00EA28C4">
            <w:pPr>
              <w:jc w:val="center"/>
              <w:rPr>
                <w:sz w:val="18"/>
                <w:szCs w:val="18"/>
              </w:rPr>
            </w:pPr>
            <w:r w:rsidRPr="002C524B">
              <w:rPr>
                <w:sz w:val="18"/>
                <w:szCs w:val="18"/>
              </w:rPr>
              <w:t>129.293</w:t>
            </w:r>
          </w:p>
        </w:tc>
        <w:tc>
          <w:tcPr>
            <w:tcW w:w="930" w:type="dxa"/>
            <w:tcBorders>
              <w:top w:val="nil"/>
              <w:bottom w:val="nil"/>
            </w:tcBorders>
            <w:shd w:val="clear" w:color="auto" w:fill="auto"/>
            <w:noWrap/>
            <w:vAlign w:val="center"/>
            <w:hideMark/>
          </w:tcPr>
          <w:p w14:paraId="4471F7EB" w14:textId="77777777" w:rsidR="00874916" w:rsidRPr="002C524B" w:rsidRDefault="00874916" w:rsidP="00EA28C4">
            <w:pPr>
              <w:jc w:val="center"/>
              <w:rPr>
                <w:sz w:val="18"/>
                <w:szCs w:val="18"/>
              </w:rPr>
            </w:pPr>
            <w:r w:rsidRPr="002C524B">
              <w:rPr>
                <w:sz w:val="18"/>
                <w:szCs w:val="18"/>
              </w:rPr>
              <w:t>2.4%</w:t>
            </w:r>
          </w:p>
        </w:tc>
      </w:tr>
      <w:tr w:rsidR="00874916" w:rsidRPr="002C524B" w14:paraId="46F73738" w14:textId="77777777" w:rsidTr="00EA28C4">
        <w:trPr>
          <w:trHeight w:val="270"/>
        </w:trPr>
        <w:tc>
          <w:tcPr>
            <w:tcW w:w="2283" w:type="dxa"/>
            <w:tcBorders>
              <w:top w:val="nil"/>
              <w:bottom w:val="nil"/>
            </w:tcBorders>
            <w:shd w:val="clear" w:color="auto" w:fill="auto"/>
            <w:noWrap/>
            <w:vAlign w:val="center"/>
            <w:hideMark/>
          </w:tcPr>
          <w:p w14:paraId="47D8A5EF" w14:textId="77777777" w:rsidR="00874916" w:rsidRPr="002C524B" w:rsidRDefault="00874916" w:rsidP="00EA28C4">
            <w:pPr>
              <w:jc w:val="center"/>
              <w:rPr>
                <w:sz w:val="18"/>
                <w:szCs w:val="18"/>
              </w:rPr>
            </w:pPr>
            <w:r w:rsidRPr="002C524B">
              <w:rPr>
                <w:sz w:val="18"/>
                <w:szCs w:val="18"/>
              </w:rPr>
              <w:t>Iran (Islamic Republic of)</w:t>
            </w:r>
          </w:p>
        </w:tc>
        <w:tc>
          <w:tcPr>
            <w:tcW w:w="1418" w:type="dxa"/>
            <w:tcBorders>
              <w:top w:val="nil"/>
              <w:bottom w:val="nil"/>
            </w:tcBorders>
            <w:shd w:val="clear" w:color="auto" w:fill="auto"/>
            <w:noWrap/>
            <w:vAlign w:val="center"/>
            <w:hideMark/>
          </w:tcPr>
          <w:p w14:paraId="5D62AFD1" w14:textId="77777777" w:rsidR="00874916" w:rsidRPr="002C524B" w:rsidRDefault="00874916" w:rsidP="00EA28C4">
            <w:pPr>
              <w:jc w:val="center"/>
              <w:rPr>
                <w:sz w:val="18"/>
                <w:szCs w:val="18"/>
              </w:rPr>
            </w:pPr>
            <w:r w:rsidRPr="002C524B">
              <w:rPr>
                <w:sz w:val="18"/>
                <w:szCs w:val="18"/>
              </w:rPr>
              <w:t>119.388</w:t>
            </w:r>
          </w:p>
        </w:tc>
        <w:tc>
          <w:tcPr>
            <w:tcW w:w="1151" w:type="dxa"/>
            <w:tcBorders>
              <w:top w:val="nil"/>
              <w:bottom w:val="nil"/>
              <w:right w:val="single" w:sz="4" w:space="0" w:color="auto"/>
            </w:tcBorders>
            <w:shd w:val="clear" w:color="auto" w:fill="auto"/>
            <w:noWrap/>
            <w:vAlign w:val="center"/>
            <w:hideMark/>
          </w:tcPr>
          <w:p w14:paraId="2DFFD7A4" w14:textId="77777777" w:rsidR="00874916" w:rsidRPr="002C524B" w:rsidRDefault="00874916" w:rsidP="00EA28C4">
            <w:pPr>
              <w:jc w:val="center"/>
              <w:rPr>
                <w:sz w:val="18"/>
                <w:szCs w:val="18"/>
              </w:rPr>
            </w:pPr>
            <w:r w:rsidRPr="002C524B">
              <w:rPr>
                <w:sz w:val="18"/>
                <w:szCs w:val="18"/>
              </w:rPr>
              <w:t>2.3%</w:t>
            </w:r>
          </w:p>
        </w:tc>
        <w:tc>
          <w:tcPr>
            <w:tcW w:w="1444" w:type="dxa"/>
            <w:tcBorders>
              <w:top w:val="nil"/>
              <w:left w:val="single" w:sz="4" w:space="0" w:color="auto"/>
              <w:bottom w:val="nil"/>
            </w:tcBorders>
            <w:shd w:val="clear" w:color="auto" w:fill="auto"/>
            <w:noWrap/>
            <w:vAlign w:val="center"/>
            <w:hideMark/>
          </w:tcPr>
          <w:p w14:paraId="4B008BF0" w14:textId="77777777" w:rsidR="00874916" w:rsidRPr="002C524B" w:rsidRDefault="00874916" w:rsidP="00EA28C4">
            <w:pPr>
              <w:jc w:val="center"/>
              <w:rPr>
                <w:sz w:val="18"/>
                <w:szCs w:val="18"/>
              </w:rPr>
            </w:pPr>
            <w:r w:rsidRPr="002C524B">
              <w:rPr>
                <w:sz w:val="18"/>
                <w:szCs w:val="18"/>
              </w:rPr>
              <w:t>Argentina</w:t>
            </w:r>
          </w:p>
        </w:tc>
        <w:tc>
          <w:tcPr>
            <w:tcW w:w="1444" w:type="dxa"/>
            <w:tcBorders>
              <w:top w:val="nil"/>
              <w:bottom w:val="nil"/>
            </w:tcBorders>
            <w:shd w:val="clear" w:color="auto" w:fill="auto"/>
            <w:noWrap/>
            <w:vAlign w:val="center"/>
            <w:hideMark/>
          </w:tcPr>
          <w:p w14:paraId="6F055C76" w14:textId="77777777" w:rsidR="00874916" w:rsidRPr="002C524B" w:rsidRDefault="00874916" w:rsidP="00EA28C4">
            <w:pPr>
              <w:jc w:val="center"/>
              <w:rPr>
                <w:sz w:val="18"/>
                <w:szCs w:val="18"/>
              </w:rPr>
            </w:pPr>
            <w:r w:rsidRPr="002C524B">
              <w:rPr>
                <w:sz w:val="18"/>
                <w:szCs w:val="18"/>
              </w:rPr>
              <w:t>83</w:t>
            </w:r>
          </w:p>
        </w:tc>
        <w:tc>
          <w:tcPr>
            <w:tcW w:w="930" w:type="dxa"/>
            <w:tcBorders>
              <w:top w:val="nil"/>
              <w:bottom w:val="nil"/>
            </w:tcBorders>
            <w:shd w:val="clear" w:color="auto" w:fill="auto"/>
            <w:noWrap/>
            <w:vAlign w:val="center"/>
            <w:hideMark/>
          </w:tcPr>
          <w:p w14:paraId="3BB918BF" w14:textId="77777777" w:rsidR="00874916" w:rsidRPr="002C524B" w:rsidRDefault="00874916" w:rsidP="00EA28C4">
            <w:pPr>
              <w:jc w:val="center"/>
              <w:rPr>
                <w:sz w:val="18"/>
                <w:szCs w:val="18"/>
              </w:rPr>
            </w:pPr>
            <w:r w:rsidRPr="002C524B">
              <w:rPr>
                <w:sz w:val="18"/>
                <w:szCs w:val="18"/>
              </w:rPr>
              <w:t>1.6%</w:t>
            </w:r>
          </w:p>
        </w:tc>
      </w:tr>
      <w:tr w:rsidR="00874916" w:rsidRPr="002C524B" w14:paraId="504E2703" w14:textId="77777777" w:rsidTr="00EA28C4">
        <w:trPr>
          <w:trHeight w:val="270"/>
        </w:trPr>
        <w:tc>
          <w:tcPr>
            <w:tcW w:w="2283" w:type="dxa"/>
            <w:tcBorders>
              <w:top w:val="nil"/>
              <w:bottom w:val="nil"/>
            </w:tcBorders>
            <w:shd w:val="clear" w:color="auto" w:fill="auto"/>
            <w:noWrap/>
            <w:vAlign w:val="center"/>
            <w:hideMark/>
          </w:tcPr>
          <w:p w14:paraId="150E4566" w14:textId="77777777" w:rsidR="00874916" w:rsidRPr="002C524B" w:rsidRDefault="00874916" w:rsidP="00EA28C4">
            <w:pPr>
              <w:jc w:val="center"/>
              <w:rPr>
                <w:sz w:val="18"/>
                <w:szCs w:val="18"/>
              </w:rPr>
            </w:pPr>
            <w:r w:rsidRPr="002C524B">
              <w:rPr>
                <w:sz w:val="18"/>
                <w:szCs w:val="18"/>
              </w:rPr>
              <w:t>Myanmar</w:t>
            </w:r>
          </w:p>
        </w:tc>
        <w:tc>
          <w:tcPr>
            <w:tcW w:w="1418" w:type="dxa"/>
            <w:tcBorders>
              <w:top w:val="nil"/>
              <w:bottom w:val="nil"/>
            </w:tcBorders>
            <w:shd w:val="clear" w:color="auto" w:fill="auto"/>
            <w:noWrap/>
            <w:vAlign w:val="center"/>
            <w:hideMark/>
          </w:tcPr>
          <w:p w14:paraId="5F891CAA" w14:textId="77777777" w:rsidR="00874916" w:rsidRPr="002C524B" w:rsidRDefault="00874916" w:rsidP="00EA28C4">
            <w:pPr>
              <w:jc w:val="center"/>
              <w:rPr>
                <w:sz w:val="18"/>
                <w:szCs w:val="18"/>
              </w:rPr>
            </w:pPr>
            <w:r w:rsidRPr="002C524B">
              <w:rPr>
                <w:sz w:val="18"/>
                <w:szCs w:val="18"/>
              </w:rPr>
              <w:t>98.6</w:t>
            </w:r>
          </w:p>
        </w:tc>
        <w:tc>
          <w:tcPr>
            <w:tcW w:w="1151" w:type="dxa"/>
            <w:tcBorders>
              <w:top w:val="nil"/>
              <w:bottom w:val="nil"/>
              <w:right w:val="single" w:sz="4" w:space="0" w:color="auto"/>
            </w:tcBorders>
            <w:shd w:val="clear" w:color="auto" w:fill="auto"/>
            <w:noWrap/>
            <w:vAlign w:val="center"/>
            <w:hideMark/>
          </w:tcPr>
          <w:p w14:paraId="2A1D91F5" w14:textId="77777777" w:rsidR="00874916" w:rsidRPr="002C524B" w:rsidRDefault="00874916" w:rsidP="00EA28C4">
            <w:pPr>
              <w:jc w:val="center"/>
              <w:rPr>
                <w:sz w:val="18"/>
                <w:szCs w:val="18"/>
              </w:rPr>
            </w:pPr>
            <w:r w:rsidRPr="002C524B">
              <w:rPr>
                <w:sz w:val="18"/>
                <w:szCs w:val="18"/>
              </w:rPr>
              <w:t>1.9%</w:t>
            </w:r>
          </w:p>
        </w:tc>
        <w:tc>
          <w:tcPr>
            <w:tcW w:w="1444" w:type="dxa"/>
            <w:tcBorders>
              <w:top w:val="nil"/>
              <w:left w:val="single" w:sz="4" w:space="0" w:color="auto"/>
              <w:bottom w:val="nil"/>
            </w:tcBorders>
            <w:shd w:val="clear" w:color="auto" w:fill="auto"/>
            <w:noWrap/>
            <w:vAlign w:val="center"/>
            <w:hideMark/>
          </w:tcPr>
          <w:p w14:paraId="4B752292" w14:textId="77777777" w:rsidR="00874916" w:rsidRPr="002C524B" w:rsidRDefault="00874916" w:rsidP="00EA28C4">
            <w:pPr>
              <w:jc w:val="center"/>
              <w:rPr>
                <w:sz w:val="18"/>
                <w:szCs w:val="18"/>
              </w:rPr>
            </w:pPr>
            <w:r w:rsidRPr="002C524B">
              <w:rPr>
                <w:sz w:val="18"/>
                <w:szCs w:val="18"/>
              </w:rPr>
              <w:t>Japan</w:t>
            </w:r>
          </w:p>
        </w:tc>
        <w:tc>
          <w:tcPr>
            <w:tcW w:w="1444" w:type="dxa"/>
            <w:tcBorders>
              <w:top w:val="nil"/>
              <w:bottom w:val="nil"/>
            </w:tcBorders>
            <w:shd w:val="clear" w:color="auto" w:fill="auto"/>
            <w:noWrap/>
            <w:vAlign w:val="center"/>
            <w:hideMark/>
          </w:tcPr>
          <w:p w14:paraId="67BC0837" w14:textId="77777777" w:rsidR="00874916" w:rsidRPr="002C524B" w:rsidRDefault="00874916" w:rsidP="00EA28C4">
            <w:pPr>
              <w:jc w:val="center"/>
              <w:rPr>
                <w:sz w:val="18"/>
                <w:szCs w:val="18"/>
              </w:rPr>
            </w:pPr>
            <w:r w:rsidRPr="002C524B">
              <w:rPr>
                <w:sz w:val="18"/>
                <w:szCs w:val="18"/>
              </w:rPr>
              <w:t>76.4</w:t>
            </w:r>
          </w:p>
        </w:tc>
        <w:tc>
          <w:tcPr>
            <w:tcW w:w="930" w:type="dxa"/>
            <w:tcBorders>
              <w:top w:val="nil"/>
              <w:bottom w:val="nil"/>
            </w:tcBorders>
            <w:shd w:val="clear" w:color="auto" w:fill="auto"/>
            <w:noWrap/>
            <w:vAlign w:val="center"/>
            <w:hideMark/>
          </w:tcPr>
          <w:p w14:paraId="33940344" w14:textId="77777777" w:rsidR="00874916" w:rsidRPr="002C524B" w:rsidRDefault="00874916" w:rsidP="00EA28C4">
            <w:pPr>
              <w:jc w:val="center"/>
              <w:rPr>
                <w:sz w:val="18"/>
                <w:szCs w:val="18"/>
              </w:rPr>
            </w:pPr>
            <w:r w:rsidRPr="002C524B">
              <w:rPr>
                <w:sz w:val="18"/>
                <w:szCs w:val="18"/>
              </w:rPr>
              <w:t>1.4%</w:t>
            </w:r>
          </w:p>
        </w:tc>
      </w:tr>
      <w:tr w:rsidR="00874916" w:rsidRPr="002C524B" w14:paraId="7CAB3932" w14:textId="77777777" w:rsidTr="00EA28C4">
        <w:trPr>
          <w:trHeight w:val="270"/>
        </w:trPr>
        <w:tc>
          <w:tcPr>
            <w:tcW w:w="2283" w:type="dxa"/>
            <w:tcBorders>
              <w:top w:val="nil"/>
              <w:bottom w:val="single" w:sz="4" w:space="0" w:color="auto"/>
            </w:tcBorders>
            <w:shd w:val="clear" w:color="auto" w:fill="auto"/>
            <w:noWrap/>
            <w:vAlign w:val="center"/>
            <w:hideMark/>
          </w:tcPr>
          <w:p w14:paraId="613B79BA" w14:textId="77777777" w:rsidR="00874916" w:rsidRPr="002C524B" w:rsidRDefault="00874916" w:rsidP="00EA28C4">
            <w:pPr>
              <w:jc w:val="center"/>
              <w:rPr>
                <w:sz w:val="18"/>
                <w:szCs w:val="18"/>
              </w:rPr>
            </w:pPr>
            <w:r w:rsidRPr="002C524B">
              <w:rPr>
                <w:sz w:val="18"/>
                <w:szCs w:val="18"/>
              </w:rPr>
              <w:t>Argentina</w:t>
            </w:r>
          </w:p>
        </w:tc>
        <w:tc>
          <w:tcPr>
            <w:tcW w:w="1418" w:type="dxa"/>
            <w:tcBorders>
              <w:top w:val="nil"/>
              <w:bottom w:val="single" w:sz="4" w:space="0" w:color="auto"/>
            </w:tcBorders>
            <w:shd w:val="clear" w:color="auto" w:fill="auto"/>
            <w:noWrap/>
            <w:vAlign w:val="center"/>
            <w:hideMark/>
          </w:tcPr>
          <w:p w14:paraId="41B9B407" w14:textId="77777777" w:rsidR="00874916" w:rsidRPr="002C524B" w:rsidRDefault="00874916" w:rsidP="00EA28C4">
            <w:pPr>
              <w:jc w:val="center"/>
              <w:rPr>
                <w:sz w:val="18"/>
                <w:szCs w:val="18"/>
              </w:rPr>
            </w:pPr>
            <w:r w:rsidRPr="002C524B">
              <w:rPr>
                <w:sz w:val="18"/>
                <w:szCs w:val="18"/>
              </w:rPr>
              <w:t>85.401</w:t>
            </w:r>
          </w:p>
        </w:tc>
        <w:tc>
          <w:tcPr>
            <w:tcW w:w="1151" w:type="dxa"/>
            <w:tcBorders>
              <w:top w:val="nil"/>
              <w:bottom w:val="single" w:sz="4" w:space="0" w:color="auto"/>
              <w:right w:val="single" w:sz="4" w:space="0" w:color="auto"/>
            </w:tcBorders>
            <w:shd w:val="clear" w:color="auto" w:fill="auto"/>
            <w:noWrap/>
            <w:vAlign w:val="center"/>
            <w:hideMark/>
          </w:tcPr>
          <w:p w14:paraId="0C3C5A1F" w14:textId="77777777" w:rsidR="00874916" w:rsidRPr="002C524B" w:rsidRDefault="00874916" w:rsidP="00EA28C4">
            <w:pPr>
              <w:jc w:val="center"/>
              <w:rPr>
                <w:sz w:val="18"/>
                <w:szCs w:val="18"/>
              </w:rPr>
            </w:pPr>
            <w:r w:rsidRPr="002C524B">
              <w:rPr>
                <w:sz w:val="18"/>
                <w:szCs w:val="18"/>
              </w:rPr>
              <w:t>1.6%</w:t>
            </w:r>
          </w:p>
        </w:tc>
        <w:tc>
          <w:tcPr>
            <w:tcW w:w="1444" w:type="dxa"/>
            <w:tcBorders>
              <w:top w:val="nil"/>
              <w:left w:val="single" w:sz="4" w:space="0" w:color="auto"/>
              <w:bottom w:val="single" w:sz="4" w:space="0" w:color="auto"/>
            </w:tcBorders>
            <w:shd w:val="clear" w:color="auto" w:fill="auto"/>
            <w:noWrap/>
            <w:vAlign w:val="center"/>
            <w:hideMark/>
          </w:tcPr>
          <w:p w14:paraId="025A081E" w14:textId="77777777" w:rsidR="00874916" w:rsidRPr="002C524B" w:rsidRDefault="00874916" w:rsidP="00EA28C4">
            <w:pPr>
              <w:jc w:val="center"/>
              <w:rPr>
                <w:sz w:val="18"/>
                <w:szCs w:val="18"/>
              </w:rPr>
            </w:pPr>
            <w:r w:rsidRPr="002C524B">
              <w:rPr>
                <w:sz w:val="18"/>
                <w:szCs w:val="18"/>
              </w:rPr>
              <w:t>Bangladesh</w:t>
            </w:r>
          </w:p>
        </w:tc>
        <w:tc>
          <w:tcPr>
            <w:tcW w:w="1444" w:type="dxa"/>
            <w:tcBorders>
              <w:top w:val="nil"/>
              <w:bottom w:val="single" w:sz="4" w:space="0" w:color="auto"/>
            </w:tcBorders>
            <w:shd w:val="clear" w:color="auto" w:fill="auto"/>
            <w:noWrap/>
            <w:vAlign w:val="center"/>
            <w:hideMark/>
          </w:tcPr>
          <w:p w14:paraId="52F62ADC" w14:textId="77777777" w:rsidR="00874916" w:rsidRPr="002C524B" w:rsidRDefault="00874916" w:rsidP="00EA28C4">
            <w:pPr>
              <w:jc w:val="center"/>
              <w:rPr>
                <w:sz w:val="18"/>
                <w:szCs w:val="18"/>
              </w:rPr>
            </w:pPr>
            <w:r w:rsidRPr="002C524B">
              <w:rPr>
                <w:sz w:val="18"/>
                <w:szCs w:val="18"/>
              </w:rPr>
              <w:t>66.347</w:t>
            </w:r>
          </w:p>
        </w:tc>
        <w:tc>
          <w:tcPr>
            <w:tcW w:w="930" w:type="dxa"/>
            <w:tcBorders>
              <w:top w:val="nil"/>
              <w:bottom w:val="single" w:sz="4" w:space="0" w:color="auto"/>
            </w:tcBorders>
            <w:shd w:val="clear" w:color="auto" w:fill="auto"/>
            <w:noWrap/>
            <w:vAlign w:val="center"/>
            <w:hideMark/>
          </w:tcPr>
          <w:p w14:paraId="48D70A19" w14:textId="77777777" w:rsidR="00874916" w:rsidRPr="002C524B" w:rsidRDefault="00874916" w:rsidP="00EA28C4">
            <w:pPr>
              <w:jc w:val="center"/>
              <w:rPr>
                <w:sz w:val="18"/>
                <w:szCs w:val="18"/>
              </w:rPr>
            </w:pPr>
            <w:r w:rsidRPr="002C524B">
              <w:rPr>
                <w:sz w:val="18"/>
                <w:szCs w:val="18"/>
              </w:rPr>
              <w:t>1.3%</w:t>
            </w:r>
          </w:p>
        </w:tc>
      </w:tr>
      <w:tr w:rsidR="00874916" w:rsidRPr="002C524B" w14:paraId="37289072" w14:textId="77777777" w:rsidTr="00EA28C4">
        <w:trPr>
          <w:trHeight w:val="270"/>
        </w:trPr>
        <w:tc>
          <w:tcPr>
            <w:tcW w:w="2283" w:type="dxa"/>
            <w:tcBorders>
              <w:top w:val="single" w:sz="4" w:space="0" w:color="auto"/>
            </w:tcBorders>
            <w:shd w:val="clear" w:color="auto" w:fill="auto"/>
            <w:noWrap/>
            <w:vAlign w:val="center"/>
            <w:hideMark/>
          </w:tcPr>
          <w:p w14:paraId="4FBE2461" w14:textId="77777777" w:rsidR="00874916" w:rsidRPr="002C524B" w:rsidRDefault="00874916" w:rsidP="00EA28C4">
            <w:pPr>
              <w:jc w:val="center"/>
              <w:rPr>
                <w:sz w:val="18"/>
                <w:szCs w:val="18"/>
              </w:rPr>
            </w:pPr>
            <w:r w:rsidRPr="002C524B">
              <w:rPr>
                <w:sz w:val="18"/>
                <w:szCs w:val="18"/>
              </w:rPr>
              <w:t>World</w:t>
            </w:r>
          </w:p>
        </w:tc>
        <w:tc>
          <w:tcPr>
            <w:tcW w:w="1418" w:type="dxa"/>
            <w:tcBorders>
              <w:top w:val="single" w:sz="4" w:space="0" w:color="auto"/>
            </w:tcBorders>
            <w:shd w:val="clear" w:color="auto" w:fill="auto"/>
            <w:noWrap/>
            <w:vAlign w:val="center"/>
            <w:hideMark/>
          </w:tcPr>
          <w:p w14:paraId="4C8688C3" w14:textId="77777777" w:rsidR="00874916" w:rsidRPr="002C524B" w:rsidRDefault="00874916" w:rsidP="00EA28C4">
            <w:pPr>
              <w:jc w:val="center"/>
              <w:rPr>
                <w:sz w:val="18"/>
                <w:szCs w:val="18"/>
              </w:rPr>
            </w:pPr>
            <w:r w:rsidRPr="002C524B">
              <w:rPr>
                <w:sz w:val="18"/>
                <w:szCs w:val="18"/>
              </w:rPr>
              <w:t>5195</w:t>
            </w:r>
          </w:p>
        </w:tc>
        <w:tc>
          <w:tcPr>
            <w:tcW w:w="1151" w:type="dxa"/>
            <w:tcBorders>
              <w:top w:val="single" w:sz="4" w:space="0" w:color="auto"/>
              <w:right w:val="single" w:sz="4" w:space="0" w:color="auto"/>
            </w:tcBorders>
            <w:shd w:val="clear" w:color="auto" w:fill="auto"/>
            <w:noWrap/>
            <w:vAlign w:val="center"/>
            <w:hideMark/>
          </w:tcPr>
          <w:p w14:paraId="60396D6A" w14:textId="77777777" w:rsidR="00874916" w:rsidRPr="002C524B" w:rsidRDefault="00874916" w:rsidP="00EA28C4">
            <w:pPr>
              <w:jc w:val="center"/>
              <w:rPr>
                <w:sz w:val="18"/>
                <w:szCs w:val="18"/>
              </w:rPr>
            </w:pPr>
            <w:r w:rsidRPr="002C524B">
              <w:rPr>
                <w:sz w:val="18"/>
                <w:szCs w:val="18"/>
              </w:rPr>
              <w:t>—</w:t>
            </w:r>
          </w:p>
        </w:tc>
        <w:tc>
          <w:tcPr>
            <w:tcW w:w="1444" w:type="dxa"/>
            <w:tcBorders>
              <w:top w:val="single" w:sz="4" w:space="0" w:color="auto"/>
              <w:left w:val="single" w:sz="4" w:space="0" w:color="auto"/>
            </w:tcBorders>
            <w:shd w:val="clear" w:color="auto" w:fill="auto"/>
            <w:noWrap/>
            <w:vAlign w:val="center"/>
            <w:hideMark/>
          </w:tcPr>
          <w:p w14:paraId="16276DC7" w14:textId="77777777" w:rsidR="00874916" w:rsidRPr="002C524B" w:rsidRDefault="00874916" w:rsidP="00EA28C4">
            <w:pPr>
              <w:jc w:val="center"/>
              <w:rPr>
                <w:sz w:val="18"/>
                <w:szCs w:val="18"/>
              </w:rPr>
            </w:pPr>
            <w:r w:rsidRPr="002C524B">
              <w:rPr>
                <w:sz w:val="18"/>
                <w:szCs w:val="18"/>
              </w:rPr>
              <w:t>World</w:t>
            </w:r>
          </w:p>
        </w:tc>
        <w:tc>
          <w:tcPr>
            <w:tcW w:w="1444" w:type="dxa"/>
            <w:tcBorders>
              <w:top w:val="single" w:sz="4" w:space="0" w:color="auto"/>
            </w:tcBorders>
            <w:shd w:val="clear" w:color="auto" w:fill="auto"/>
            <w:noWrap/>
            <w:vAlign w:val="center"/>
            <w:hideMark/>
          </w:tcPr>
          <w:p w14:paraId="01AB1ED9" w14:textId="77777777" w:rsidR="00874916" w:rsidRPr="002C524B" w:rsidRDefault="00874916" w:rsidP="00EA28C4">
            <w:pPr>
              <w:jc w:val="center"/>
              <w:rPr>
                <w:sz w:val="18"/>
                <w:szCs w:val="18"/>
              </w:rPr>
            </w:pPr>
            <w:r w:rsidRPr="002C524B">
              <w:rPr>
                <w:sz w:val="18"/>
                <w:szCs w:val="18"/>
              </w:rPr>
              <w:t>5285</w:t>
            </w:r>
          </w:p>
        </w:tc>
        <w:tc>
          <w:tcPr>
            <w:tcW w:w="930" w:type="dxa"/>
            <w:tcBorders>
              <w:top w:val="single" w:sz="4" w:space="0" w:color="auto"/>
            </w:tcBorders>
            <w:shd w:val="clear" w:color="auto" w:fill="auto"/>
            <w:noWrap/>
            <w:vAlign w:val="center"/>
            <w:hideMark/>
          </w:tcPr>
          <w:p w14:paraId="1CCB1D1D" w14:textId="77777777" w:rsidR="00874916" w:rsidRPr="002C524B" w:rsidRDefault="00874916" w:rsidP="00EA28C4">
            <w:pPr>
              <w:jc w:val="center"/>
              <w:rPr>
                <w:sz w:val="18"/>
                <w:szCs w:val="18"/>
              </w:rPr>
            </w:pPr>
            <w:r w:rsidRPr="002C524B">
              <w:rPr>
                <w:sz w:val="18"/>
                <w:szCs w:val="18"/>
              </w:rPr>
              <w:t>—</w:t>
            </w:r>
          </w:p>
        </w:tc>
      </w:tr>
      <w:tr w:rsidR="00874916" w:rsidRPr="002C524B" w14:paraId="19E68ED7" w14:textId="77777777" w:rsidTr="00EA28C4">
        <w:trPr>
          <w:trHeight w:val="270"/>
        </w:trPr>
        <w:tc>
          <w:tcPr>
            <w:tcW w:w="2283" w:type="dxa"/>
            <w:shd w:val="clear" w:color="auto" w:fill="auto"/>
            <w:noWrap/>
            <w:vAlign w:val="center"/>
            <w:hideMark/>
          </w:tcPr>
          <w:p w14:paraId="2A3A24A8" w14:textId="77777777" w:rsidR="00874916" w:rsidRPr="002C524B" w:rsidRDefault="00874916" w:rsidP="00EA28C4">
            <w:pPr>
              <w:jc w:val="center"/>
              <w:rPr>
                <w:sz w:val="18"/>
                <w:szCs w:val="18"/>
              </w:rPr>
            </w:pPr>
            <w:r w:rsidRPr="002C524B">
              <w:rPr>
                <w:sz w:val="18"/>
                <w:szCs w:val="18"/>
              </w:rPr>
              <w:t>Total</w:t>
            </w:r>
          </w:p>
        </w:tc>
        <w:tc>
          <w:tcPr>
            <w:tcW w:w="1418" w:type="dxa"/>
            <w:shd w:val="clear" w:color="auto" w:fill="auto"/>
            <w:noWrap/>
            <w:vAlign w:val="center"/>
            <w:hideMark/>
          </w:tcPr>
          <w:p w14:paraId="139D0033" w14:textId="77777777" w:rsidR="00874916" w:rsidRPr="002C524B" w:rsidRDefault="00874916" w:rsidP="00EA28C4">
            <w:pPr>
              <w:jc w:val="center"/>
              <w:rPr>
                <w:sz w:val="18"/>
                <w:szCs w:val="18"/>
              </w:rPr>
            </w:pPr>
            <w:r w:rsidRPr="002C524B">
              <w:rPr>
                <w:sz w:val="18"/>
                <w:szCs w:val="18"/>
              </w:rPr>
              <w:t>—</w:t>
            </w:r>
          </w:p>
        </w:tc>
        <w:tc>
          <w:tcPr>
            <w:tcW w:w="1151" w:type="dxa"/>
            <w:tcBorders>
              <w:bottom w:val="single" w:sz="12" w:space="0" w:color="auto"/>
              <w:right w:val="single" w:sz="4" w:space="0" w:color="auto"/>
            </w:tcBorders>
            <w:shd w:val="clear" w:color="auto" w:fill="auto"/>
            <w:noWrap/>
            <w:vAlign w:val="center"/>
            <w:hideMark/>
          </w:tcPr>
          <w:p w14:paraId="091D5CBA" w14:textId="77777777" w:rsidR="00874916" w:rsidRPr="002C524B" w:rsidRDefault="00874916" w:rsidP="00EA28C4">
            <w:pPr>
              <w:jc w:val="center"/>
              <w:rPr>
                <w:sz w:val="18"/>
                <w:szCs w:val="18"/>
              </w:rPr>
            </w:pPr>
            <w:r w:rsidRPr="002C524B">
              <w:rPr>
                <w:sz w:val="18"/>
                <w:szCs w:val="18"/>
              </w:rPr>
              <w:t>96.23%</w:t>
            </w:r>
          </w:p>
        </w:tc>
        <w:tc>
          <w:tcPr>
            <w:tcW w:w="1444" w:type="dxa"/>
            <w:tcBorders>
              <w:left w:val="single" w:sz="4" w:space="0" w:color="auto"/>
            </w:tcBorders>
            <w:shd w:val="clear" w:color="auto" w:fill="auto"/>
            <w:noWrap/>
            <w:vAlign w:val="center"/>
            <w:hideMark/>
          </w:tcPr>
          <w:p w14:paraId="467B07E3" w14:textId="77777777" w:rsidR="00874916" w:rsidRPr="002C524B" w:rsidRDefault="00874916" w:rsidP="00EA28C4">
            <w:pPr>
              <w:jc w:val="center"/>
              <w:rPr>
                <w:sz w:val="18"/>
                <w:szCs w:val="18"/>
              </w:rPr>
            </w:pPr>
            <w:r w:rsidRPr="002C524B">
              <w:rPr>
                <w:sz w:val="18"/>
                <w:szCs w:val="18"/>
              </w:rPr>
              <w:t>Total</w:t>
            </w:r>
          </w:p>
        </w:tc>
        <w:tc>
          <w:tcPr>
            <w:tcW w:w="1444" w:type="dxa"/>
            <w:shd w:val="clear" w:color="auto" w:fill="auto"/>
            <w:noWrap/>
            <w:vAlign w:val="center"/>
            <w:hideMark/>
          </w:tcPr>
          <w:p w14:paraId="78EA71C5" w14:textId="77777777" w:rsidR="00874916" w:rsidRPr="002C524B" w:rsidRDefault="00874916" w:rsidP="00EA28C4">
            <w:pPr>
              <w:jc w:val="center"/>
              <w:rPr>
                <w:sz w:val="18"/>
                <w:szCs w:val="18"/>
              </w:rPr>
            </w:pPr>
            <w:r w:rsidRPr="002C524B">
              <w:rPr>
                <w:sz w:val="18"/>
                <w:szCs w:val="18"/>
              </w:rPr>
              <w:t>—</w:t>
            </w:r>
          </w:p>
        </w:tc>
        <w:tc>
          <w:tcPr>
            <w:tcW w:w="930" w:type="dxa"/>
            <w:shd w:val="clear" w:color="auto" w:fill="auto"/>
            <w:noWrap/>
            <w:vAlign w:val="center"/>
            <w:hideMark/>
          </w:tcPr>
          <w:p w14:paraId="551B7865" w14:textId="77777777" w:rsidR="00874916" w:rsidRPr="002C524B" w:rsidRDefault="00874916" w:rsidP="00EA28C4">
            <w:pPr>
              <w:jc w:val="center"/>
              <w:rPr>
                <w:sz w:val="18"/>
                <w:szCs w:val="18"/>
              </w:rPr>
            </w:pPr>
            <w:r w:rsidRPr="002C524B">
              <w:rPr>
                <w:sz w:val="18"/>
                <w:szCs w:val="18"/>
              </w:rPr>
              <w:t>94.2%</w:t>
            </w:r>
          </w:p>
        </w:tc>
      </w:tr>
    </w:tbl>
    <w:p w14:paraId="3D0280E8" w14:textId="77777777" w:rsidR="00874916" w:rsidRPr="003B4565" w:rsidRDefault="00874916" w:rsidP="00874916">
      <w:pPr>
        <w:autoSpaceDE w:val="0"/>
        <w:autoSpaceDN w:val="0"/>
        <w:adjustRightInd w:val="0"/>
        <w:spacing w:afterLines="100" w:after="240"/>
        <w:rPr>
          <w:sz w:val="18"/>
          <w:szCs w:val="18"/>
        </w:rPr>
      </w:pPr>
      <w:r w:rsidRPr="003B4565">
        <w:rPr>
          <w:b/>
          <w:sz w:val="18"/>
          <w:szCs w:val="18"/>
        </w:rPr>
        <w:t>Source:</w:t>
      </w:r>
      <w:r w:rsidRPr="003B4565">
        <w:rPr>
          <w:sz w:val="18"/>
          <w:szCs w:val="18"/>
        </w:rPr>
        <w:t xml:space="preserve"> FAO, International Tea Committee</w:t>
      </w:r>
    </w:p>
    <w:p w14:paraId="1ACDEAAA" w14:textId="77777777" w:rsidR="003B4565" w:rsidRDefault="003B4565">
      <w:pPr>
        <w:rPr>
          <w:b/>
          <w:i/>
          <w:sz w:val="18"/>
          <w:szCs w:val="18"/>
        </w:rPr>
      </w:pPr>
      <w:r>
        <w:rPr>
          <w:b/>
          <w:sz w:val="18"/>
          <w:szCs w:val="18"/>
        </w:rPr>
        <w:br w:type="page"/>
      </w:r>
    </w:p>
    <w:p w14:paraId="241823F7" w14:textId="0F9323B7" w:rsidR="00874916" w:rsidRDefault="00874916" w:rsidP="003B4565">
      <w:pPr>
        <w:jc w:val="center"/>
        <w:rPr>
          <w:b/>
          <w:sz w:val="28"/>
          <w:szCs w:val="28"/>
        </w:rPr>
      </w:pPr>
      <w:r w:rsidRPr="003B4565">
        <w:rPr>
          <w:b/>
          <w:sz w:val="28"/>
          <w:szCs w:val="28"/>
        </w:rPr>
        <w:lastRenderedPageBreak/>
        <w:t>Table</w:t>
      </w:r>
      <w:r w:rsidRPr="003B4565">
        <w:rPr>
          <w:rFonts w:hint="eastAsia"/>
          <w:b/>
          <w:sz w:val="28"/>
          <w:szCs w:val="28"/>
        </w:rPr>
        <w:t xml:space="preserve"> 2: </w:t>
      </w:r>
      <w:r w:rsidRPr="003B4565">
        <w:rPr>
          <w:b/>
          <w:sz w:val="28"/>
          <w:szCs w:val="28"/>
        </w:rPr>
        <w:t>Top 10 Exporting Countries of Tea, 2011-2015</w:t>
      </w:r>
    </w:p>
    <w:p w14:paraId="37773BB7" w14:textId="77777777" w:rsidR="003B4565" w:rsidRPr="003B4565" w:rsidRDefault="003B4565" w:rsidP="003B4565">
      <w:pPr>
        <w:jc w:val="center"/>
        <w:rPr>
          <w:b/>
          <w:sz w:val="28"/>
          <w:szCs w:val="28"/>
        </w:rPr>
      </w:pPr>
    </w:p>
    <w:tbl>
      <w:tblPr>
        <w:tblW w:w="5000" w:type="pct"/>
        <w:tblBorders>
          <w:top w:val="single" w:sz="12" w:space="0" w:color="auto"/>
          <w:bottom w:val="single" w:sz="12" w:space="0" w:color="auto"/>
        </w:tblBorders>
        <w:tblLook w:val="04A0" w:firstRow="1" w:lastRow="0" w:firstColumn="1" w:lastColumn="0" w:noHBand="0" w:noVBand="1"/>
      </w:tblPr>
      <w:tblGrid>
        <w:gridCol w:w="980"/>
        <w:gridCol w:w="965"/>
        <w:gridCol w:w="901"/>
        <w:gridCol w:w="1034"/>
        <w:gridCol w:w="1034"/>
        <w:gridCol w:w="773"/>
        <w:gridCol w:w="1034"/>
        <w:gridCol w:w="926"/>
        <w:gridCol w:w="993"/>
      </w:tblGrid>
      <w:tr w:rsidR="00874916" w:rsidRPr="002C524B" w14:paraId="0C2C3109" w14:textId="77777777" w:rsidTr="00EA28C4">
        <w:trPr>
          <w:trHeight w:val="270"/>
        </w:trPr>
        <w:tc>
          <w:tcPr>
            <w:tcW w:w="569" w:type="pct"/>
            <w:tcBorders>
              <w:bottom w:val="single" w:sz="4" w:space="0" w:color="auto"/>
            </w:tcBorders>
            <w:shd w:val="clear" w:color="auto" w:fill="auto"/>
            <w:noWrap/>
            <w:vAlign w:val="center"/>
            <w:hideMark/>
          </w:tcPr>
          <w:p w14:paraId="4D2892D8" w14:textId="77777777" w:rsidR="00874916" w:rsidRPr="002C524B" w:rsidRDefault="00874916" w:rsidP="00EA28C4">
            <w:pPr>
              <w:jc w:val="center"/>
              <w:rPr>
                <w:sz w:val="18"/>
                <w:szCs w:val="18"/>
              </w:rPr>
            </w:pPr>
          </w:p>
        </w:tc>
        <w:tc>
          <w:tcPr>
            <w:tcW w:w="560" w:type="pct"/>
            <w:tcBorders>
              <w:bottom w:val="single" w:sz="4" w:space="0" w:color="auto"/>
            </w:tcBorders>
            <w:shd w:val="clear" w:color="auto" w:fill="auto"/>
            <w:noWrap/>
            <w:vAlign w:val="center"/>
            <w:hideMark/>
          </w:tcPr>
          <w:p w14:paraId="289659B0" w14:textId="77777777" w:rsidR="00874916" w:rsidRPr="002C524B" w:rsidRDefault="00874916" w:rsidP="00EA28C4">
            <w:pPr>
              <w:jc w:val="center"/>
              <w:rPr>
                <w:sz w:val="18"/>
                <w:szCs w:val="18"/>
              </w:rPr>
            </w:pPr>
            <w:r w:rsidRPr="002C524B">
              <w:rPr>
                <w:sz w:val="18"/>
                <w:szCs w:val="18"/>
              </w:rPr>
              <w:t>2011</w:t>
            </w:r>
          </w:p>
        </w:tc>
        <w:tc>
          <w:tcPr>
            <w:tcW w:w="523" w:type="pct"/>
            <w:tcBorders>
              <w:top w:val="single" w:sz="12" w:space="0" w:color="auto"/>
              <w:bottom w:val="single" w:sz="4" w:space="0" w:color="auto"/>
              <w:right w:val="single" w:sz="4" w:space="0" w:color="auto"/>
            </w:tcBorders>
            <w:shd w:val="clear" w:color="auto" w:fill="auto"/>
            <w:noWrap/>
            <w:vAlign w:val="center"/>
            <w:hideMark/>
          </w:tcPr>
          <w:p w14:paraId="2AFB7A06" w14:textId="77777777" w:rsidR="00874916" w:rsidRPr="002C524B" w:rsidRDefault="00874916" w:rsidP="00EA28C4">
            <w:pPr>
              <w:jc w:val="center"/>
              <w:rPr>
                <w:sz w:val="18"/>
                <w:szCs w:val="18"/>
              </w:rPr>
            </w:pPr>
          </w:p>
        </w:tc>
        <w:tc>
          <w:tcPr>
            <w:tcW w:w="600" w:type="pct"/>
            <w:tcBorders>
              <w:left w:val="single" w:sz="4" w:space="0" w:color="auto"/>
              <w:bottom w:val="single" w:sz="4" w:space="0" w:color="auto"/>
            </w:tcBorders>
            <w:shd w:val="clear" w:color="auto" w:fill="auto"/>
            <w:noWrap/>
            <w:vAlign w:val="center"/>
            <w:hideMark/>
          </w:tcPr>
          <w:p w14:paraId="0C84FDCB" w14:textId="77777777" w:rsidR="00874916" w:rsidRPr="002C524B" w:rsidRDefault="00874916" w:rsidP="00EA28C4">
            <w:pPr>
              <w:jc w:val="center"/>
              <w:rPr>
                <w:sz w:val="18"/>
                <w:szCs w:val="18"/>
              </w:rPr>
            </w:pPr>
          </w:p>
        </w:tc>
        <w:tc>
          <w:tcPr>
            <w:tcW w:w="600" w:type="pct"/>
            <w:tcBorders>
              <w:bottom w:val="single" w:sz="4" w:space="0" w:color="auto"/>
            </w:tcBorders>
            <w:shd w:val="clear" w:color="auto" w:fill="auto"/>
            <w:noWrap/>
            <w:vAlign w:val="center"/>
            <w:hideMark/>
          </w:tcPr>
          <w:p w14:paraId="6508FE67" w14:textId="77777777" w:rsidR="00874916" w:rsidRPr="002C524B" w:rsidRDefault="00874916" w:rsidP="00EA28C4">
            <w:pPr>
              <w:jc w:val="center"/>
              <w:rPr>
                <w:sz w:val="18"/>
                <w:szCs w:val="18"/>
              </w:rPr>
            </w:pPr>
            <w:r w:rsidRPr="002C524B">
              <w:rPr>
                <w:sz w:val="18"/>
                <w:szCs w:val="18"/>
              </w:rPr>
              <w:t>2012</w:t>
            </w:r>
          </w:p>
        </w:tc>
        <w:tc>
          <w:tcPr>
            <w:tcW w:w="449" w:type="pct"/>
            <w:tcBorders>
              <w:top w:val="single" w:sz="12" w:space="0" w:color="auto"/>
              <w:bottom w:val="single" w:sz="4" w:space="0" w:color="auto"/>
              <w:right w:val="single" w:sz="4" w:space="0" w:color="auto"/>
            </w:tcBorders>
            <w:shd w:val="clear" w:color="auto" w:fill="auto"/>
            <w:noWrap/>
            <w:vAlign w:val="center"/>
            <w:hideMark/>
          </w:tcPr>
          <w:p w14:paraId="2514B553" w14:textId="77777777" w:rsidR="00874916" w:rsidRPr="002C524B" w:rsidRDefault="00874916" w:rsidP="00EA28C4">
            <w:pPr>
              <w:jc w:val="center"/>
              <w:rPr>
                <w:sz w:val="18"/>
                <w:szCs w:val="18"/>
              </w:rPr>
            </w:pPr>
          </w:p>
        </w:tc>
        <w:tc>
          <w:tcPr>
            <w:tcW w:w="600" w:type="pct"/>
            <w:tcBorders>
              <w:left w:val="single" w:sz="4" w:space="0" w:color="auto"/>
              <w:bottom w:val="single" w:sz="4" w:space="0" w:color="auto"/>
            </w:tcBorders>
            <w:shd w:val="clear" w:color="auto" w:fill="auto"/>
            <w:noWrap/>
            <w:vAlign w:val="center"/>
            <w:hideMark/>
          </w:tcPr>
          <w:p w14:paraId="267CE6F4" w14:textId="77777777" w:rsidR="00874916" w:rsidRPr="002C524B" w:rsidRDefault="00874916" w:rsidP="00EA28C4">
            <w:pPr>
              <w:jc w:val="center"/>
              <w:rPr>
                <w:sz w:val="18"/>
                <w:szCs w:val="18"/>
              </w:rPr>
            </w:pPr>
          </w:p>
        </w:tc>
        <w:tc>
          <w:tcPr>
            <w:tcW w:w="523" w:type="pct"/>
            <w:tcBorders>
              <w:bottom w:val="single" w:sz="4" w:space="0" w:color="auto"/>
            </w:tcBorders>
            <w:shd w:val="clear" w:color="auto" w:fill="auto"/>
            <w:noWrap/>
            <w:vAlign w:val="center"/>
            <w:hideMark/>
          </w:tcPr>
          <w:p w14:paraId="20B4E227" w14:textId="77777777" w:rsidR="00874916" w:rsidRPr="002C524B" w:rsidRDefault="00874916" w:rsidP="00EA28C4">
            <w:pPr>
              <w:jc w:val="center"/>
              <w:rPr>
                <w:sz w:val="18"/>
                <w:szCs w:val="18"/>
              </w:rPr>
            </w:pPr>
            <w:r w:rsidRPr="002C524B">
              <w:rPr>
                <w:sz w:val="18"/>
                <w:szCs w:val="18"/>
              </w:rPr>
              <w:t>2013</w:t>
            </w:r>
          </w:p>
        </w:tc>
        <w:tc>
          <w:tcPr>
            <w:tcW w:w="576" w:type="pct"/>
            <w:tcBorders>
              <w:bottom w:val="single" w:sz="4" w:space="0" w:color="auto"/>
            </w:tcBorders>
            <w:shd w:val="clear" w:color="auto" w:fill="auto"/>
            <w:noWrap/>
            <w:vAlign w:val="center"/>
            <w:hideMark/>
          </w:tcPr>
          <w:p w14:paraId="5654BEE5" w14:textId="77777777" w:rsidR="00874916" w:rsidRPr="002C524B" w:rsidRDefault="00874916" w:rsidP="00EA28C4">
            <w:pPr>
              <w:jc w:val="center"/>
              <w:rPr>
                <w:sz w:val="18"/>
                <w:szCs w:val="18"/>
              </w:rPr>
            </w:pPr>
          </w:p>
        </w:tc>
      </w:tr>
      <w:tr w:rsidR="00874916" w:rsidRPr="002C524B" w14:paraId="14472ACA" w14:textId="77777777" w:rsidTr="00EA28C4">
        <w:trPr>
          <w:trHeight w:val="270"/>
        </w:trPr>
        <w:tc>
          <w:tcPr>
            <w:tcW w:w="569" w:type="pct"/>
            <w:tcBorders>
              <w:top w:val="single" w:sz="4" w:space="0" w:color="auto"/>
              <w:bottom w:val="single" w:sz="4" w:space="0" w:color="auto"/>
            </w:tcBorders>
            <w:shd w:val="clear" w:color="auto" w:fill="auto"/>
            <w:noWrap/>
            <w:vAlign w:val="center"/>
            <w:hideMark/>
          </w:tcPr>
          <w:p w14:paraId="1661D195" w14:textId="77777777" w:rsidR="00874916" w:rsidRPr="002C524B" w:rsidRDefault="00874916" w:rsidP="00EA28C4">
            <w:pPr>
              <w:jc w:val="center"/>
              <w:rPr>
                <w:sz w:val="18"/>
                <w:szCs w:val="18"/>
              </w:rPr>
            </w:pPr>
            <w:r w:rsidRPr="002C524B">
              <w:rPr>
                <w:sz w:val="18"/>
                <w:szCs w:val="18"/>
              </w:rPr>
              <w:t>Exporter</w:t>
            </w:r>
          </w:p>
        </w:tc>
        <w:tc>
          <w:tcPr>
            <w:tcW w:w="560" w:type="pct"/>
            <w:tcBorders>
              <w:top w:val="single" w:sz="4" w:space="0" w:color="auto"/>
              <w:bottom w:val="single" w:sz="4" w:space="0" w:color="auto"/>
            </w:tcBorders>
            <w:shd w:val="clear" w:color="auto" w:fill="auto"/>
            <w:noWrap/>
            <w:vAlign w:val="center"/>
            <w:hideMark/>
          </w:tcPr>
          <w:p w14:paraId="41B1F428" w14:textId="77777777" w:rsidR="00874916" w:rsidRPr="002C524B" w:rsidRDefault="00874916" w:rsidP="00EA28C4">
            <w:pPr>
              <w:jc w:val="center"/>
              <w:rPr>
                <w:sz w:val="18"/>
                <w:szCs w:val="18"/>
              </w:rPr>
            </w:pPr>
            <w:r w:rsidRPr="002C524B">
              <w:rPr>
                <w:sz w:val="18"/>
                <w:szCs w:val="18"/>
              </w:rPr>
              <w:t>Thousand</w:t>
            </w:r>
          </w:p>
          <w:p w14:paraId="62F070C1" w14:textId="77777777" w:rsidR="00874916" w:rsidRPr="002C524B" w:rsidRDefault="00874916" w:rsidP="00EA28C4">
            <w:pPr>
              <w:jc w:val="center"/>
              <w:rPr>
                <w:sz w:val="18"/>
                <w:szCs w:val="18"/>
              </w:rPr>
            </w:pPr>
            <w:r w:rsidRPr="002C524B">
              <w:rPr>
                <w:sz w:val="18"/>
                <w:szCs w:val="18"/>
              </w:rPr>
              <w:t xml:space="preserve"> </w:t>
            </w:r>
            <w:r>
              <w:rPr>
                <w:sz w:val="18"/>
                <w:szCs w:val="18"/>
              </w:rPr>
              <w:t>Tons</w:t>
            </w:r>
          </w:p>
        </w:tc>
        <w:tc>
          <w:tcPr>
            <w:tcW w:w="523" w:type="pct"/>
            <w:tcBorders>
              <w:top w:val="single" w:sz="4" w:space="0" w:color="auto"/>
              <w:bottom w:val="single" w:sz="4" w:space="0" w:color="auto"/>
              <w:right w:val="single" w:sz="4" w:space="0" w:color="auto"/>
            </w:tcBorders>
            <w:shd w:val="clear" w:color="auto" w:fill="auto"/>
            <w:noWrap/>
            <w:vAlign w:val="center"/>
            <w:hideMark/>
          </w:tcPr>
          <w:p w14:paraId="3D228E3B" w14:textId="77777777" w:rsidR="00874916" w:rsidRPr="002C524B" w:rsidRDefault="00874916" w:rsidP="00EA28C4">
            <w:pPr>
              <w:jc w:val="center"/>
              <w:rPr>
                <w:sz w:val="18"/>
                <w:szCs w:val="18"/>
              </w:rPr>
            </w:pPr>
            <w:r w:rsidRPr="002C524B">
              <w:rPr>
                <w:sz w:val="18"/>
                <w:szCs w:val="18"/>
              </w:rPr>
              <w:t>Percent</w:t>
            </w:r>
          </w:p>
        </w:tc>
        <w:tc>
          <w:tcPr>
            <w:tcW w:w="600" w:type="pct"/>
            <w:tcBorders>
              <w:top w:val="single" w:sz="4" w:space="0" w:color="auto"/>
              <w:left w:val="single" w:sz="4" w:space="0" w:color="auto"/>
              <w:bottom w:val="single" w:sz="4" w:space="0" w:color="auto"/>
            </w:tcBorders>
            <w:shd w:val="clear" w:color="auto" w:fill="auto"/>
            <w:noWrap/>
            <w:vAlign w:val="center"/>
            <w:hideMark/>
          </w:tcPr>
          <w:p w14:paraId="71B73968" w14:textId="77777777" w:rsidR="00874916" w:rsidRPr="002C524B" w:rsidRDefault="00874916" w:rsidP="00EA28C4">
            <w:pPr>
              <w:jc w:val="center"/>
              <w:rPr>
                <w:sz w:val="18"/>
                <w:szCs w:val="18"/>
              </w:rPr>
            </w:pPr>
            <w:r w:rsidRPr="002C524B">
              <w:rPr>
                <w:sz w:val="18"/>
                <w:szCs w:val="18"/>
              </w:rPr>
              <w:t>Exporter</w:t>
            </w:r>
          </w:p>
        </w:tc>
        <w:tc>
          <w:tcPr>
            <w:tcW w:w="600" w:type="pct"/>
            <w:tcBorders>
              <w:top w:val="single" w:sz="4" w:space="0" w:color="auto"/>
              <w:bottom w:val="single" w:sz="4" w:space="0" w:color="auto"/>
            </w:tcBorders>
            <w:shd w:val="clear" w:color="auto" w:fill="auto"/>
            <w:noWrap/>
            <w:vAlign w:val="center"/>
            <w:hideMark/>
          </w:tcPr>
          <w:p w14:paraId="1D225207" w14:textId="77777777" w:rsidR="00874916" w:rsidRPr="002C524B" w:rsidRDefault="00874916" w:rsidP="00EA28C4">
            <w:pPr>
              <w:jc w:val="center"/>
              <w:rPr>
                <w:sz w:val="18"/>
                <w:szCs w:val="18"/>
              </w:rPr>
            </w:pPr>
            <w:r w:rsidRPr="002C524B">
              <w:rPr>
                <w:sz w:val="18"/>
                <w:szCs w:val="18"/>
              </w:rPr>
              <w:t>Thousand</w:t>
            </w:r>
          </w:p>
          <w:p w14:paraId="48B1AB23" w14:textId="77777777" w:rsidR="00874916" w:rsidRPr="002C524B" w:rsidRDefault="00874916" w:rsidP="00EA28C4">
            <w:pPr>
              <w:jc w:val="center"/>
              <w:rPr>
                <w:sz w:val="18"/>
                <w:szCs w:val="18"/>
              </w:rPr>
            </w:pPr>
            <w:r w:rsidRPr="002C524B">
              <w:rPr>
                <w:sz w:val="18"/>
                <w:szCs w:val="18"/>
              </w:rPr>
              <w:t xml:space="preserve"> </w:t>
            </w:r>
            <w:r>
              <w:rPr>
                <w:sz w:val="18"/>
                <w:szCs w:val="18"/>
              </w:rPr>
              <w:t>Tons</w:t>
            </w:r>
          </w:p>
        </w:tc>
        <w:tc>
          <w:tcPr>
            <w:tcW w:w="449" w:type="pct"/>
            <w:tcBorders>
              <w:top w:val="single" w:sz="4" w:space="0" w:color="auto"/>
              <w:bottom w:val="single" w:sz="4" w:space="0" w:color="auto"/>
              <w:right w:val="single" w:sz="4" w:space="0" w:color="auto"/>
            </w:tcBorders>
            <w:shd w:val="clear" w:color="auto" w:fill="auto"/>
            <w:noWrap/>
            <w:vAlign w:val="center"/>
            <w:hideMark/>
          </w:tcPr>
          <w:p w14:paraId="62FF3A53" w14:textId="77777777" w:rsidR="00874916" w:rsidRPr="002C524B" w:rsidRDefault="00874916" w:rsidP="00EA28C4">
            <w:pPr>
              <w:jc w:val="center"/>
              <w:rPr>
                <w:sz w:val="18"/>
                <w:szCs w:val="18"/>
              </w:rPr>
            </w:pPr>
            <w:r w:rsidRPr="002C524B">
              <w:rPr>
                <w:sz w:val="18"/>
                <w:szCs w:val="18"/>
              </w:rPr>
              <w:t>Percent</w:t>
            </w:r>
          </w:p>
        </w:tc>
        <w:tc>
          <w:tcPr>
            <w:tcW w:w="600" w:type="pct"/>
            <w:tcBorders>
              <w:top w:val="single" w:sz="4" w:space="0" w:color="auto"/>
              <w:left w:val="single" w:sz="4" w:space="0" w:color="auto"/>
              <w:bottom w:val="single" w:sz="4" w:space="0" w:color="auto"/>
            </w:tcBorders>
            <w:shd w:val="clear" w:color="auto" w:fill="auto"/>
            <w:noWrap/>
            <w:vAlign w:val="center"/>
            <w:hideMark/>
          </w:tcPr>
          <w:p w14:paraId="746D6F78" w14:textId="77777777" w:rsidR="00874916" w:rsidRPr="002C524B" w:rsidRDefault="00874916" w:rsidP="00EA28C4">
            <w:pPr>
              <w:jc w:val="center"/>
              <w:rPr>
                <w:sz w:val="18"/>
                <w:szCs w:val="18"/>
              </w:rPr>
            </w:pPr>
            <w:r w:rsidRPr="002C524B">
              <w:rPr>
                <w:sz w:val="18"/>
                <w:szCs w:val="18"/>
              </w:rPr>
              <w:t>Exporter</w:t>
            </w:r>
          </w:p>
        </w:tc>
        <w:tc>
          <w:tcPr>
            <w:tcW w:w="523" w:type="pct"/>
            <w:tcBorders>
              <w:top w:val="single" w:sz="4" w:space="0" w:color="auto"/>
              <w:bottom w:val="single" w:sz="4" w:space="0" w:color="auto"/>
            </w:tcBorders>
            <w:shd w:val="clear" w:color="auto" w:fill="auto"/>
            <w:noWrap/>
            <w:vAlign w:val="center"/>
            <w:hideMark/>
          </w:tcPr>
          <w:p w14:paraId="255A4F53" w14:textId="77777777" w:rsidR="00874916" w:rsidRPr="002C524B" w:rsidRDefault="00874916" w:rsidP="00EA28C4">
            <w:pPr>
              <w:jc w:val="center"/>
              <w:rPr>
                <w:sz w:val="18"/>
                <w:szCs w:val="18"/>
              </w:rPr>
            </w:pPr>
            <w:r w:rsidRPr="002C524B">
              <w:rPr>
                <w:sz w:val="18"/>
                <w:szCs w:val="18"/>
              </w:rPr>
              <w:t>Thousand</w:t>
            </w:r>
          </w:p>
          <w:p w14:paraId="14A1D907" w14:textId="77777777" w:rsidR="00874916" w:rsidRPr="002C524B" w:rsidRDefault="00874916" w:rsidP="00EA28C4">
            <w:pPr>
              <w:jc w:val="center"/>
              <w:rPr>
                <w:sz w:val="18"/>
                <w:szCs w:val="18"/>
              </w:rPr>
            </w:pPr>
            <w:r w:rsidRPr="002C524B">
              <w:rPr>
                <w:sz w:val="18"/>
                <w:szCs w:val="18"/>
              </w:rPr>
              <w:t xml:space="preserve"> </w:t>
            </w:r>
            <w:r>
              <w:rPr>
                <w:sz w:val="18"/>
                <w:szCs w:val="18"/>
              </w:rPr>
              <w:t>Tons</w:t>
            </w:r>
          </w:p>
        </w:tc>
        <w:tc>
          <w:tcPr>
            <w:tcW w:w="576" w:type="pct"/>
            <w:tcBorders>
              <w:top w:val="single" w:sz="4" w:space="0" w:color="auto"/>
              <w:bottom w:val="single" w:sz="4" w:space="0" w:color="auto"/>
            </w:tcBorders>
            <w:shd w:val="clear" w:color="auto" w:fill="auto"/>
            <w:noWrap/>
            <w:vAlign w:val="center"/>
            <w:hideMark/>
          </w:tcPr>
          <w:p w14:paraId="200FAC06" w14:textId="77777777" w:rsidR="00874916" w:rsidRPr="002C524B" w:rsidRDefault="00874916" w:rsidP="00EA28C4">
            <w:pPr>
              <w:jc w:val="center"/>
              <w:rPr>
                <w:sz w:val="18"/>
                <w:szCs w:val="18"/>
              </w:rPr>
            </w:pPr>
            <w:r w:rsidRPr="002C524B">
              <w:rPr>
                <w:sz w:val="18"/>
                <w:szCs w:val="18"/>
              </w:rPr>
              <w:t>Percent</w:t>
            </w:r>
          </w:p>
        </w:tc>
      </w:tr>
      <w:tr w:rsidR="00874916" w:rsidRPr="002C524B" w14:paraId="4CF600AD" w14:textId="77777777" w:rsidTr="00EA28C4">
        <w:trPr>
          <w:trHeight w:val="270"/>
        </w:trPr>
        <w:tc>
          <w:tcPr>
            <w:tcW w:w="569" w:type="pct"/>
            <w:tcBorders>
              <w:top w:val="single" w:sz="4" w:space="0" w:color="auto"/>
              <w:bottom w:val="nil"/>
            </w:tcBorders>
            <w:shd w:val="clear" w:color="000000" w:fill="FFFFFF"/>
            <w:vAlign w:val="center"/>
            <w:hideMark/>
          </w:tcPr>
          <w:p w14:paraId="09413B3D" w14:textId="77777777" w:rsidR="00874916" w:rsidRPr="002C524B" w:rsidRDefault="00874916" w:rsidP="00EA28C4">
            <w:pPr>
              <w:jc w:val="center"/>
              <w:rPr>
                <w:sz w:val="18"/>
                <w:szCs w:val="18"/>
              </w:rPr>
            </w:pPr>
            <w:r w:rsidRPr="002C524B">
              <w:rPr>
                <w:sz w:val="18"/>
                <w:szCs w:val="18"/>
              </w:rPr>
              <w:t>Kenya</w:t>
            </w:r>
          </w:p>
        </w:tc>
        <w:tc>
          <w:tcPr>
            <w:tcW w:w="560" w:type="pct"/>
            <w:tcBorders>
              <w:top w:val="single" w:sz="4" w:space="0" w:color="auto"/>
              <w:bottom w:val="nil"/>
            </w:tcBorders>
            <w:shd w:val="clear" w:color="000000" w:fill="FFFFFF"/>
            <w:vAlign w:val="center"/>
            <w:hideMark/>
          </w:tcPr>
          <w:p w14:paraId="268A3AF3" w14:textId="77777777" w:rsidR="00874916" w:rsidRPr="002C524B" w:rsidRDefault="00874916" w:rsidP="00EA28C4">
            <w:pPr>
              <w:jc w:val="center"/>
              <w:rPr>
                <w:sz w:val="18"/>
                <w:szCs w:val="18"/>
              </w:rPr>
            </w:pPr>
            <w:r w:rsidRPr="002C524B">
              <w:rPr>
                <w:sz w:val="18"/>
                <w:szCs w:val="18"/>
              </w:rPr>
              <w:t>388.344</w:t>
            </w:r>
          </w:p>
        </w:tc>
        <w:tc>
          <w:tcPr>
            <w:tcW w:w="523" w:type="pct"/>
            <w:tcBorders>
              <w:top w:val="single" w:sz="4" w:space="0" w:color="auto"/>
              <w:bottom w:val="nil"/>
              <w:right w:val="single" w:sz="4" w:space="0" w:color="auto"/>
            </w:tcBorders>
            <w:shd w:val="clear" w:color="000000" w:fill="FFFFFF"/>
            <w:vAlign w:val="center"/>
            <w:hideMark/>
          </w:tcPr>
          <w:p w14:paraId="20044110" w14:textId="77777777" w:rsidR="00874916" w:rsidRPr="002C524B" w:rsidRDefault="00874916" w:rsidP="00EA28C4">
            <w:pPr>
              <w:jc w:val="center"/>
              <w:rPr>
                <w:sz w:val="18"/>
                <w:szCs w:val="18"/>
              </w:rPr>
            </w:pPr>
            <w:r w:rsidRPr="002C524B">
              <w:rPr>
                <w:sz w:val="18"/>
                <w:szCs w:val="18"/>
              </w:rPr>
              <w:t>18.08%</w:t>
            </w:r>
          </w:p>
        </w:tc>
        <w:tc>
          <w:tcPr>
            <w:tcW w:w="600" w:type="pct"/>
            <w:tcBorders>
              <w:top w:val="single" w:sz="4" w:space="0" w:color="auto"/>
              <w:left w:val="single" w:sz="4" w:space="0" w:color="auto"/>
              <w:bottom w:val="nil"/>
            </w:tcBorders>
            <w:shd w:val="clear" w:color="000000" w:fill="FFFFFF"/>
            <w:vAlign w:val="center"/>
            <w:hideMark/>
          </w:tcPr>
          <w:p w14:paraId="5E40D2E9" w14:textId="77777777" w:rsidR="00874916" w:rsidRPr="002C524B" w:rsidRDefault="00874916" w:rsidP="00EA28C4">
            <w:pPr>
              <w:jc w:val="center"/>
              <w:rPr>
                <w:sz w:val="18"/>
                <w:szCs w:val="18"/>
              </w:rPr>
            </w:pPr>
            <w:r w:rsidRPr="002C524B">
              <w:rPr>
                <w:sz w:val="18"/>
                <w:szCs w:val="18"/>
              </w:rPr>
              <w:t>Kenya</w:t>
            </w:r>
          </w:p>
        </w:tc>
        <w:tc>
          <w:tcPr>
            <w:tcW w:w="600" w:type="pct"/>
            <w:tcBorders>
              <w:top w:val="single" w:sz="4" w:space="0" w:color="auto"/>
              <w:bottom w:val="nil"/>
            </w:tcBorders>
            <w:shd w:val="clear" w:color="000000" w:fill="FFFFFF"/>
            <w:vAlign w:val="center"/>
            <w:hideMark/>
          </w:tcPr>
          <w:p w14:paraId="77E81526" w14:textId="77777777" w:rsidR="00874916" w:rsidRPr="002C524B" w:rsidRDefault="00874916" w:rsidP="00EA28C4">
            <w:pPr>
              <w:jc w:val="center"/>
              <w:rPr>
                <w:sz w:val="18"/>
                <w:szCs w:val="18"/>
              </w:rPr>
            </w:pPr>
            <w:r w:rsidRPr="002C524B">
              <w:rPr>
                <w:sz w:val="18"/>
                <w:szCs w:val="18"/>
              </w:rPr>
              <w:t>380.357</w:t>
            </w:r>
          </w:p>
        </w:tc>
        <w:tc>
          <w:tcPr>
            <w:tcW w:w="449" w:type="pct"/>
            <w:tcBorders>
              <w:top w:val="single" w:sz="4" w:space="0" w:color="auto"/>
              <w:bottom w:val="nil"/>
              <w:right w:val="single" w:sz="4" w:space="0" w:color="auto"/>
            </w:tcBorders>
            <w:shd w:val="clear" w:color="000000" w:fill="FFFFFF"/>
            <w:vAlign w:val="center"/>
            <w:hideMark/>
          </w:tcPr>
          <w:p w14:paraId="1D805136" w14:textId="77777777" w:rsidR="00874916" w:rsidRPr="002C524B" w:rsidRDefault="00874916" w:rsidP="00EA28C4">
            <w:pPr>
              <w:jc w:val="center"/>
              <w:rPr>
                <w:sz w:val="18"/>
                <w:szCs w:val="18"/>
              </w:rPr>
            </w:pPr>
            <w:r w:rsidRPr="002C524B">
              <w:rPr>
                <w:sz w:val="18"/>
                <w:szCs w:val="18"/>
              </w:rPr>
              <w:t>18.65%</w:t>
            </w:r>
          </w:p>
        </w:tc>
        <w:tc>
          <w:tcPr>
            <w:tcW w:w="600" w:type="pct"/>
            <w:tcBorders>
              <w:top w:val="single" w:sz="4" w:space="0" w:color="auto"/>
              <w:left w:val="single" w:sz="4" w:space="0" w:color="auto"/>
              <w:bottom w:val="nil"/>
            </w:tcBorders>
            <w:shd w:val="clear" w:color="000000" w:fill="FFFFFF"/>
            <w:vAlign w:val="center"/>
            <w:hideMark/>
          </w:tcPr>
          <w:p w14:paraId="5EB84893" w14:textId="77777777" w:rsidR="00874916" w:rsidRPr="002C524B" w:rsidRDefault="00874916" w:rsidP="00EA28C4">
            <w:pPr>
              <w:jc w:val="center"/>
              <w:rPr>
                <w:sz w:val="18"/>
                <w:szCs w:val="18"/>
              </w:rPr>
            </w:pPr>
            <w:r w:rsidRPr="002C524B">
              <w:rPr>
                <w:sz w:val="18"/>
                <w:szCs w:val="18"/>
              </w:rPr>
              <w:t>Kenya</w:t>
            </w:r>
          </w:p>
        </w:tc>
        <w:tc>
          <w:tcPr>
            <w:tcW w:w="523" w:type="pct"/>
            <w:tcBorders>
              <w:top w:val="single" w:sz="4" w:space="0" w:color="auto"/>
              <w:bottom w:val="nil"/>
            </w:tcBorders>
            <w:shd w:val="clear" w:color="000000" w:fill="FFFFFF"/>
            <w:vAlign w:val="center"/>
            <w:hideMark/>
          </w:tcPr>
          <w:p w14:paraId="5EC525F0" w14:textId="77777777" w:rsidR="00874916" w:rsidRPr="002C524B" w:rsidRDefault="00874916" w:rsidP="00EA28C4">
            <w:pPr>
              <w:jc w:val="center"/>
              <w:rPr>
                <w:sz w:val="18"/>
                <w:szCs w:val="18"/>
              </w:rPr>
            </w:pPr>
            <w:r w:rsidRPr="002C524B">
              <w:rPr>
                <w:sz w:val="18"/>
                <w:szCs w:val="18"/>
              </w:rPr>
              <w:t>448.809</w:t>
            </w:r>
          </w:p>
        </w:tc>
        <w:tc>
          <w:tcPr>
            <w:tcW w:w="576" w:type="pct"/>
            <w:tcBorders>
              <w:top w:val="single" w:sz="4" w:space="0" w:color="auto"/>
              <w:bottom w:val="nil"/>
            </w:tcBorders>
            <w:shd w:val="clear" w:color="000000" w:fill="FFFFFF"/>
            <w:vAlign w:val="center"/>
            <w:hideMark/>
          </w:tcPr>
          <w:p w14:paraId="4C4D4FAA" w14:textId="77777777" w:rsidR="00874916" w:rsidRPr="002C524B" w:rsidRDefault="00874916" w:rsidP="00EA28C4">
            <w:pPr>
              <w:jc w:val="center"/>
              <w:rPr>
                <w:sz w:val="18"/>
                <w:szCs w:val="18"/>
              </w:rPr>
            </w:pPr>
            <w:r w:rsidRPr="002C524B">
              <w:rPr>
                <w:sz w:val="18"/>
                <w:szCs w:val="18"/>
              </w:rPr>
              <w:t>20.30%</w:t>
            </w:r>
          </w:p>
        </w:tc>
      </w:tr>
      <w:tr w:rsidR="00874916" w:rsidRPr="002C524B" w14:paraId="15152D00" w14:textId="77777777" w:rsidTr="00EA28C4">
        <w:trPr>
          <w:trHeight w:val="270"/>
        </w:trPr>
        <w:tc>
          <w:tcPr>
            <w:tcW w:w="569" w:type="pct"/>
            <w:tcBorders>
              <w:top w:val="nil"/>
            </w:tcBorders>
            <w:shd w:val="clear" w:color="000000" w:fill="FFFFFF"/>
            <w:vAlign w:val="center"/>
            <w:hideMark/>
          </w:tcPr>
          <w:p w14:paraId="1484D779" w14:textId="77777777" w:rsidR="00874916" w:rsidRPr="002C524B" w:rsidRDefault="00874916" w:rsidP="00EA28C4">
            <w:pPr>
              <w:jc w:val="center"/>
              <w:rPr>
                <w:sz w:val="18"/>
                <w:szCs w:val="18"/>
              </w:rPr>
            </w:pPr>
            <w:r w:rsidRPr="002C524B">
              <w:rPr>
                <w:sz w:val="18"/>
                <w:szCs w:val="18"/>
              </w:rPr>
              <w:t>China</w:t>
            </w:r>
          </w:p>
        </w:tc>
        <w:tc>
          <w:tcPr>
            <w:tcW w:w="560" w:type="pct"/>
            <w:tcBorders>
              <w:top w:val="nil"/>
            </w:tcBorders>
            <w:shd w:val="clear" w:color="000000" w:fill="FFFFFF"/>
            <w:vAlign w:val="center"/>
            <w:hideMark/>
          </w:tcPr>
          <w:p w14:paraId="474B02A4" w14:textId="77777777" w:rsidR="00874916" w:rsidRPr="002C524B" w:rsidRDefault="00874916" w:rsidP="00EA28C4">
            <w:pPr>
              <w:jc w:val="center"/>
              <w:rPr>
                <w:sz w:val="18"/>
                <w:szCs w:val="18"/>
              </w:rPr>
            </w:pPr>
            <w:r w:rsidRPr="002C524B">
              <w:rPr>
                <w:sz w:val="18"/>
                <w:szCs w:val="18"/>
              </w:rPr>
              <w:t>322.58</w:t>
            </w:r>
          </w:p>
        </w:tc>
        <w:tc>
          <w:tcPr>
            <w:tcW w:w="523" w:type="pct"/>
            <w:tcBorders>
              <w:top w:val="nil"/>
              <w:right w:val="single" w:sz="4" w:space="0" w:color="auto"/>
            </w:tcBorders>
            <w:shd w:val="clear" w:color="000000" w:fill="FFFFFF"/>
            <w:vAlign w:val="center"/>
            <w:hideMark/>
          </w:tcPr>
          <w:p w14:paraId="23B12492" w14:textId="77777777" w:rsidR="00874916" w:rsidRPr="002C524B" w:rsidRDefault="00874916" w:rsidP="00EA28C4">
            <w:pPr>
              <w:jc w:val="center"/>
              <w:rPr>
                <w:sz w:val="18"/>
                <w:szCs w:val="18"/>
              </w:rPr>
            </w:pPr>
            <w:r w:rsidRPr="002C524B">
              <w:rPr>
                <w:sz w:val="18"/>
                <w:szCs w:val="18"/>
              </w:rPr>
              <w:t>15.02%</w:t>
            </w:r>
          </w:p>
        </w:tc>
        <w:tc>
          <w:tcPr>
            <w:tcW w:w="600" w:type="pct"/>
            <w:tcBorders>
              <w:top w:val="nil"/>
              <w:left w:val="single" w:sz="4" w:space="0" w:color="auto"/>
            </w:tcBorders>
            <w:shd w:val="clear" w:color="000000" w:fill="FFFFFF"/>
            <w:vAlign w:val="center"/>
            <w:hideMark/>
          </w:tcPr>
          <w:p w14:paraId="5DD4CA75" w14:textId="77777777" w:rsidR="00874916" w:rsidRPr="002C524B" w:rsidRDefault="00874916" w:rsidP="00EA28C4">
            <w:pPr>
              <w:jc w:val="center"/>
              <w:rPr>
                <w:sz w:val="18"/>
                <w:szCs w:val="18"/>
              </w:rPr>
            </w:pPr>
            <w:r w:rsidRPr="002C524B">
              <w:rPr>
                <w:sz w:val="18"/>
                <w:szCs w:val="18"/>
              </w:rPr>
              <w:t>Sri Lanka</w:t>
            </w:r>
          </w:p>
        </w:tc>
        <w:tc>
          <w:tcPr>
            <w:tcW w:w="600" w:type="pct"/>
            <w:tcBorders>
              <w:top w:val="nil"/>
            </w:tcBorders>
            <w:shd w:val="clear" w:color="000000" w:fill="FFFFFF"/>
            <w:vAlign w:val="center"/>
            <w:hideMark/>
          </w:tcPr>
          <w:p w14:paraId="4767C70A" w14:textId="77777777" w:rsidR="00874916" w:rsidRPr="002C524B" w:rsidRDefault="00874916" w:rsidP="00EA28C4">
            <w:pPr>
              <w:jc w:val="center"/>
              <w:rPr>
                <w:sz w:val="18"/>
                <w:szCs w:val="18"/>
              </w:rPr>
            </w:pPr>
            <w:r w:rsidRPr="002C524B">
              <w:rPr>
                <w:sz w:val="18"/>
                <w:szCs w:val="18"/>
              </w:rPr>
              <w:t>318.397</w:t>
            </w:r>
          </w:p>
        </w:tc>
        <w:tc>
          <w:tcPr>
            <w:tcW w:w="449" w:type="pct"/>
            <w:tcBorders>
              <w:top w:val="nil"/>
              <w:right w:val="single" w:sz="4" w:space="0" w:color="auto"/>
            </w:tcBorders>
            <w:shd w:val="clear" w:color="000000" w:fill="FFFFFF"/>
            <w:vAlign w:val="center"/>
            <w:hideMark/>
          </w:tcPr>
          <w:p w14:paraId="734BB0FB" w14:textId="77777777" w:rsidR="00874916" w:rsidRPr="002C524B" w:rsidRDefault="00874916" w:rsidP="00EA28C4">
            <w:pPr>
              <w:jc w:val="center"/>
              <w:rPr>
                <w:sz w:val="18"/>
                <w:szCs w:val="18"/>
              </w:rPr>
            </w:pPr>
            <w:r w:rsidRPr="002C524B">
              <w:rPr>
                <w:sz w:val="18"/>
                <w:szCs w:val="18"/>
              </w:rPr>
              <w:t>15.61%</w:t>
            </w:r>
          </w:p>
        </w:tc>
        <w:tc>
          <w:tcPr>
            <w:tcW w:w="600" w:type="pct"/>
            <w:tcBorders>
              <w:top w:val="nil"/>
              <w:left w:val="single" w:sz="4" w:space="0" w:color="auto"/>
            </w:tcBorders>
            <w:shd w:val="clear" w:color="000000" w:fill="FFFFFF"/>
            <w:vAlign w:val="center"/>
            <w:hideMark/>
          </w:tcPr>
          <w:p w14:paraId="39D19208" w14:textId="77777777" w:rsidR="00874916" w:rsidRPr="002C524B" w:rsidRDefault="00874916" w:rsidP="00EA28C4">
            <w:pPr>
              <w:jc w:val="center"/>
              <w:rPr>
                <w:sz w:val="18"/>
                <w:szCs w:val="18"/>
              </w:rPr>
            </w:pPr>
            <w:r w:rsidRPr="002C524B">
              <w:rPr>
                <w:sz w:val="18"/>
                <w:szCs w:val="18"/>
              </w:rPr>
              <w:t>Sri Lanka</w:t>
            </w:r>
          </w:p>
        </w:tc>
        <w:tc>
          <w:tcPr>
            <w:tcW w:w="523" w:type="pct"/>
            <w:tcBorders>
              <w:top w:val="nil"/>
            </w:tcBorders>
            <w:shd w:val="clear" w:color="000000" w:fill="FFFFFF"/>
            <w:vAlign w:val="center"/>
            <w:hideMark/>
          </w:tcPr>
          <w:p w14:paraId="37DC18B2" w14:textId="77777777" w:rsidR="00874916" w:rsidRPr="002C524B" w:rsidRDefault="00874916" w:rsidP="00EA28C4">
            <w:pPr>
              <w:jc w:val="center"/>
              <w:rPr>
                <w:sz w:val="18"/>
                <w:szCs w:val="18"/>
              </w:rPr>
            </w:pPr>
            <w:r w:rsidRPr="002C524B">
              <w:rPr>
                <w:sz w:val="18"/>
                <w:szCs w:val="18"/>
              </w:rPr>
              <w:t>355.25</w:t>
            </w:r>
          </w:p>
        </w:tc>
        <w:tc>
          <w:tcPr>
            <w:tcW w:w="576" w:type="pct"/>
            <w:tcBorders>
              <w:top w:val="nil"/>
            </w:tcBorders>
            <w:shd w:val="clear" w:color="000000" w:fill="FFFFFF"/>
            <w:vAlign w:val="center"/>
            <w:hideMark/>
          </w:tcPr>
          <w:p w14:paraId="11AC2BB3" w14:textId="77777777" w:rsidR="00874916" w:rsidRPr="002C524B" w:rsidRDefault="00874916" w:rsidP="00EA28C4">
            <w:pPr>
              <w:jc w:val="center"/>
              <w:rPr>
                <w:sz w:val="18"/>
                <w:szCs w:val="18"/>
              </w:rPr>
            </w:pPr>
            <w:r w:rsidRPr="002C524B">
              <w:rPr>
                <w:sz w:val="18"/>
                <w:szCs w:val="18"/>
              </w:rPr>
              <w:t>16.07%</w:t>
            </w:r>
          </w:p>
        </w:tc>
      </w:tr>
      <w:tr w:rsidR="00874916" w:rsidRPr="002C524B" w14:paraId="711DE34D" w14:textId="77777777" w:rsidTr="00EA28C4">
        <w:trPr>
          <w:trHeight w:val="270"/>
        </w:trPr>
        <w:tc>
          <w:tcPr>
            <w:tcW w:w="569" w:type="pct"/>
            <w:shd w:val="clear" w:color="auto" w:fill="auto"/>
            <w:vAlign w:val="center"/>
            <w:hideMark/>
          </w:tcPr>
          <w:p w14:paraId="686C0A9A" w14:textId="77777777" w:rsidR="00874916" w:rsidRPr="002C524B" w:rsidRDefault="00874916" w:rsidP="00EA28C4">
            <w:pPr>
              <w:jc w:val="center"/>
              <w:rPr>
                <w:sz w:val="18"/>
                <w:szCs w:val="18"/>
              </w:rPr>
            </w:pPr>
            <w:r w:rsidRPr="002C524B">
              <w:rPr>
                <w:sz w:val="18"/>
                <w:szCs w:val="18"/>
              </w:rPr>
              <w:t>India</w:t>
            </w:r>
          </w:p>
        </w:tc>
        <w:tc>
          <w:tcPr>
            <w:tcW w:w="560" w:type="pct"/>
            <w:shd w:val="clear" w:color="000000" w:fill="FFFFFF"/>
            <w:vAlign w:val="center"/>
            <w:hideMark/>
          </w:tcPr>
          <w:p w14:paraId="13DF993A" w14:textId="77777777" w:rsidR="00874916" w:rsidRPr="002C524B" w:rsidRDefault="00874916" w:rsidP="00EA28C4">
            <w:pPr>
              <w:jc w:val="center"/>
              <w:rPr>
                <w:sz w:val="18"/>
                <w:szCs w:val="18"/>
              </w:rPr>
            </w:pPr>
            <w:r w:rsidRPr="002C524B">
              <w:rPr>
                <w:sz w:val="18"/>
                <w:szCs w:val="18"/>
              </w:rPr>
              <w:t>322.548</w:t>
            </w:r>
          </w:p>
        </w:tc>
        <w:tc>
          <w:tcPr>
            <w:tcW w:w="523" w:type="pct"/>
            <w:tcBorders>
              <w:right w:val="single" w:sz="4" w:space="0" w:color="auto"/>
            </w:tcBorders>
            <w:shd w:val="clear" w:color="000000" w:fill="FFFFFF"/>
            <w:vAlign w:val="center"/>
            <w:hideMark/>
          </w:tcPr>
          <w:p w14:paraId="04061366" w14:textId="77777777" w:rsidR="00874916" w:rsidRPr="002C524B" w:rsidRDefault="00874916" w:rsidP="00EA28C4">
            <w:pPr>
              <w:jc w:val="center"/>
              <w:rPr>
                <w:sz w:val="18"/>
                <w:szCs w:val="18"/>
              </w:rPr>
            </w:pPr>
            <w:r w:rsidRPr="002C524B">
              <w:rPr>
                <w:sz w:val="18"/>
                <w:szCs w:val="18"/>
              </w:rPr>
              <w:t>15.02%</w:t>
            </w:r>
          </w:p>
        </w:tc>
        <w:tc>
          <w:tcPr>
            <w:tcW w:w="600" w:type="pct"/>
            <w:tcBorders>
              <w:left w:val="single" w:sz="4" w:space="0" w:color="auto"/>
            </w:tcBorders>
            <w:shd w:val="clear" w:color="000000" w:fill="FFFFFF"/>
            <w:vAlign w:val="center"/>
            <w:hideMark/>
          </w:tcPr>
          <w:p w14:paraId="7822F4E9" w14:textId="77777777" w:rsidR="00874916" w:rsidRPr="002C524B" w:rsidRDefault="00874916" w:rsidP="00EA28C4">
            <w:pPr>
              <w:jc w:val="center"/>
              <w:rPr>
                <w:sz w:val="18"/>
                <w:szCs w:val="18"/>
              </w:rPr>
            </w:pPr>
            <w:r w:rsidRPr="002C524B">
              <w:rPr>
                <w:sz w:val="18"/>
                <w:szCs w:val="18"/>
              </w:rPr>
              <w:t>China</w:t>
            </w:r>
          </w:p>
        </w:tc>
        <w:tc>
          <w:tcPr>
            <w:tcW w:w="600" w:type="pct"/>
            <w:shd w:val="clear" w:color="000000" w:fill="FFFFFF"/>
            <w:vAlign w:val="center"/>
            <w:hideMark/>
          </w:tcPr>
          <w:p w14:paraId="701A8C12" w14:textId="77777777" w:rsidR="00874916" w:rsidRPr="002C524B" w:rsidRDefault="00874916" w:rsidP="00EA28C4">
            <w:pPr>
              <w:jc w:val="center"/>
              <w:rPr>
                <w:sz w:val="18"/>
                <w:szCs w:val="18"/>
              </w:rPr>
            </w:pPr>
            <w:r w:rsidRPr="002C524B">
              <w:rPr>
                <w:sz w:val="18"/>
                <w:szCs w:val="18"/>
              </w:rPr>
              <w:t>313.484</w:t>
            </w:r>
          </w:p>
        </w:tc>
        <w:tc>
          <w:tcPr>
            <w:tcW w:w="449" w:type="pct"/>
            <w:tcBorders>
              <w:right w:val="single" w:sz="4" w:space="0" w:color="auto"/>
            </w:tcBorders>
            <w:shd w:val="clear" w:color="000000" w:fill="FFFFFF"/>
            <w:vAlign w:val="center"/>
            <w:hideMark/>
          </w:tcPr>
          <w:p w14:paraId="457C9170" w14:textId="77777777" w:rsidR="00874916" w:rsidRPr="002C524B" w:rsidRDefault="00874916" w:rsidP="00EA28C4">
            <w:pPr>
              <w:jc w:val="center"/>
              <w:rPr>
                <w:sz w:val="18"/>
                <w:szCs w:val="18"/>
              </w:rPr>
            </w:pPr>
            <w:r w:rsidRPr="002C524B">
              <w:rPr>
                <w:sz w:val="18"/>
                <w:szCs w:val="18"/>
              </w:rPr>
              <w:t>15.37%</w:t>
            </w:r>
          </w:p>
        </w:tc>
        <w:tc>
          <w:tcPr>
            <w:tcW w:w="600" w:type="pct"/>
            <w:tcBorders>
              <w:left w:val="single" w:sz="4" w:space="0" w:color="auto"/>
            </w:tcBorders>
            <w:shd w:val="clear" w:color="000000" w:fill="FFFFFF"/>
            <w:vAlign w:val="center"/>
            <w:hideMark/>
          </w:tcPr>
          <w:p w14:paraId="56E45C1D" w14:textId="77777777" w:rsidR="00874916" w:rsidRPr="002C524B" w:rsidRDefault="00874916" w:rsidP="00EA28C4">
            <w:pPr>
              <w:jc w:val="center"/>
              <w:rPr>
                <w:sz w:val="18"/>
                <w:szCs w:val="18"/>
              </w:rPr>
            </w:pPr>
            <w:r w:rsidRPr="002C524B">
              <w:rPr>
                <w:sz w:val="18"/>
                <w:szCs w:val="18"/>
              </w:rPr>
              <w:t>China</w:t>
            </w:r>
          </w:p>
        </w:tc>
        <w:tc>
          <w:tcPr>
            <w:tcW w:w="523" w:type="pct"/>
            <w:shd w:val="clear" w:color="000000" w:fill="FFFFFF"/>
            <w:vAlign w:val="center"/>
            <w:hideMark/>
          </w:tcPr>
          <w:p w14:paraId="11AEA9FE" w14:textId="77777777" w:rsidR="00874916" w:rsidRPr="002C524B" w:rsidRDefault="00874916" w:rsidP="00EA28C4">
            <w:pPr>
              <w:jc w:val="center"/>
              <w:rPr>
                <w:sz w:val="18"/>
                <w:szCs w:val="18"/>
              </w:rPr>
            </w:pPr>
            <w:r w:rsidRPr="002C524B">
              <w:rPr>
                <w:sz w:val="18"/>
                <w:szCs w:val="18"/>
              </w:rPr>
              <w:t>325.806</w:t>
            </w:r>
          </w:p>
        </w:tc>
        <w:tc>
          <w:tcPr>
            <w:tcW w:w="576" w:type="pct"/>
            <w:shd w:val="clear" w:color="000000" w:fill="FFFFFF"/>
            <w:vAlign w:val="center"/>
            <w:hideMark/>
          </w:tcPr>
          <w:p w14:paraId="74BC2680" w14:textId="77777777" w:rsidR="00874916" w:rsidRPr="002C524B" w:rsidRDefault="00874916" w:rsidP="00EA28C4">
            <w:pPr>
              <w:jc w:val="center"/>
              <w:rPr>
                <w:sz w:val="18"/>
                <w:szCs w:val="18"/>
              </w:rPr>
            </w:pPr>
            <w:r w:rsidRPr="002C524B">
              <w:rPr>
                <w:sz w:val="18"/>
                <w:szCs w:val="18"/>
              </w:rPr>
              <w:t>14.74%</w:t>
            </w:r>
          </w:p>
        </w:tc>
      </w:tr>
      <w:tr w:rsidR="00874916" w:rsidRPr="002C524B" w14:paraId="139103A2" w14:textId="77777777" w:rsidTr="00EA28C4">
        <w:trPr>
          <w:trHeight w:val="270"/>
        </w:trPr>
        <w:tc>
          <w:tcPr>
            <w:tcW w:w="569" w:type="pct"/>
            <w:shd w:val="clear" w:color="auto" w:fill="auto"/>
            <w:vAlign w:val="center"/>
            <w:hideMark/>
          </w:tcPr>
          <w:p w14:paraId="22A5E2E8" w14:textId="77777777" w:rsidR="00874916" w:rsidRPr="002C524B" w:rsidRDefault="00874916" w:rsidP="00EA28C4">
            <w:pPr>
              <w:jc w:val="center"/>
              <w:rPr>
                <w:sz w:val="18"/>
                <w:szCs w:val="18"/>
              </w:rPr>
            </w:pPr>
            <w:r w:rsidRPr="002C524B">
              <w:rPr>
                <w:sz w:val="18"/>
                <w:szCs w:val="18"/>
              </w:rPr>
              <w:t>Sri Lanka</w:t>
            </w:r>
          </w:p>
        </w:tc>
        <w:tc>
          <w:tcPr>
            <w:tcW w:w="560" w:type="pct"/>
            <w:shd w:val="clear" w:color="000000" w:fill="FFFFFF"/>
            <w:vAlign w:val="center"/>
            <w:hideMark/>
          </w:tcPr>
          <w:p w14:paraId="50FEA157" w14:textId="77777777" w:rsidR="00874916" w:rsidRPr="002C524B" w:rsidRDefault="00874916" w:rsidP="00EA28C4">
            <w:pPr>
              <w:jc w:val="center"/>
              <w:rPr>
                <w:sz w:val="18"/>
                <w:szCs w:val="18"/>
              </w:rPr>
            </w:pPr>
            <w:r w:rsidRPr="002C524B">
              <w:rPr>
                <w:sz w:val="18"/>
                <w:szCs w:val="18"/>
              </w:rPr>
              <w:t>321.074</w:t>
            </w:r>
          </w:p>
        </w:tc>
        <w:tc>
          <w:tcPr>
            <w:tcW w:w="523" w:type="pct"/>
            <w:tcBorders>
              <w:right w:val="single" w:sz="4" w:space="0" w:color="auto"/>
            </w:tcBorders>
            <w:shd w:val="clear" w:color="000000" w:fill="FFFFFF"/>
            <w:vAlign w:val="center"/>
            <w:hideMark/>
          </w:tcPr>
          <w:p w14:paraId="5380763F" w14:textId="77777777" w:rsidR="00874916" w:rsidRPr="002C524B" w:rsidRDefault="00874916" w:rsidP="00EA28C4">
            <w:pPr>
              <w:jc w:val="center"/>
              <w:rPr>
                <w:sz w:val="18"/>
                <w:szCs w:val="18"/>
              </w:rPr>
            </w:pPr>
            <w:r w:rsidRPr="002C524B">
              <w:rPr>
                <w:sz w:val="18"/>
                <w:szCs w:val="18"/>
              </w:rPr>
              <w:t>14.95%</w:t>
            </w:r>
          </w:p>
        </w:tc>
        <w:tc>
          <w:tcPr>
            <w:tcW w:w="600" w:type="pct"/>
            <w:tcBorders>
              <w:left w:val="single" w:sz="4" w:space="0" w:color="auto"/>
            </w:tcBorders>
            <w:shd w:val="clear" w:color="000000" w:fill="FFFFFF"/>
            <w:vAlign w:val="center"/>
            <w:hideMark/>
          </w:tcPr>
          <w:p w14:paraId="02454175" w14:textId="77777777" w:rsidR="00874916" w:rsidRPr="002C524B" w:rsidRDefault="00874916" w:rsidP="00EA28C4">
            <w:pPr>
              <w:jc w:val="center"/>
              <w:rPr>
                <w:sz w:val="18"/>
                <w:szCs w:val="18"/>
              </w:rPr>
            </w:pPr>
            <w:r w:rsidRPr="002C524B">
              <w:rPr>
                <w:sz w:val="18"/>
                <w:szCs w:val="18"/>
              </w:rPr>
              <w:t>India</w:t>
            </w:r>
          </w:p>
        </w:tc>
        <w:tc>
          <w:tcPr>
            <w:tcW w:w="600" w:type="pct"/>
            <w:shd w:val="clear" w:color="000000" w:fill="FFFFFF"/>
            <w:vAlign w:val="center"/>
            <w:hideMark/>
          </w:tcPr>
          <w:p w14:paraId="35ECCE91" w14:textId="77777777" w:rsidR="00874916" w:rsidRPr="002C524B" w:rsidRDefault="00874916" w:rsidP="00EA28C4">
            <w:pPr>
              <w:jc w:val="center"/>
              <w:rPr>
                <w:sz w:val="18"/>
                <w:szCs w:val="18"/>
              </w:rPr>
            </w:pPr>
            <w:r w:rsidRPr="002C524B">
              <w:rPr>
                <w:sz w:val="18"/>
                <w:szCs w:val="18"/>
              </w:rPr>
              <w:t>225.082</w:t>
            </w:r>
          </w:p>
        </w:tc>
        <w:tc>
          <w:tcPr>
            <w:tcW w:w="449" w:type="pct"/>
            <w:tcBorders>
              <w:right w:val="single" w:sz="4" w:space="0" w:color="auto"/>
            </w:tcBorders>
            <w:shd w:val="clear" w:color="000000" w:fill="FFFFFF"/>
            <w:vAlign w:val="center"/>
            <w:hideMark/>
          </w:tcPr>
          <w:p w14:paraId="58BD58D5" w14:textId="77777777" w:rsidR="00874916" w:rsidRPr="002C524B" w:rsidRDefault="00874916" w:rsidP="00EA28C4">
            <w:pPr>
              <w:jc w:val="center"/>
              <w:rPr>
                <w:sz w:val="18"/>
                <w:szCs w:val="18"/>
              </w:rPr>
            </w:pPr>
            <w:r w:rsidRPr="002C524B">
              <w:rPr>
                <w:sz w:val="18"/>
                <w:szCs w:val="18"/>
              </w:rPr>
              <w:t>11.04%</w:t>
            </w:r>
          </w:p>
        </w:tc>
        <w:tc>
          <w:tcPr>
            <w:tcW w:w="600" w:type="pct"/>
            <w:tcBorders>
              <w:left w:val="single" w:sz="4" w:space="0" w:color="auto"/>
            </w:tcBorders>
            <w:shd w:val="clear" w:color="000000" w:fill="FFFFFF"/>
            <w:vAlign w:val="center"/>
            <w:hideMark/>
          </w:tcPr>
          <w:p w14:paraId="7305D125" w14:textId="77777777" w:rsidR="00874916" w:rsidRPr="002C524B" w:rsidRDefault="00874916" w:rsidP="00EA28C4">
            <w:pPr>
              <w:jc w:val="center"/>
              <w:rPr>
                <w:sz w:val="18"/>
                <w:szCs w:val="18"/>
              </w:rPr>
            </w:pPr>
            <w:r w:rsidRPr="002C524B">
              <w:rPr>
                <w:sz w:val="18"/>
                <w:szCs w:val="18"/>
              </w:rPr>
              <w:t>India</w:t>
            </w:r>
          </w:p>
        </w:tc>
        <w:tc>
          <w:tcPr>
            <w:tcW w:w="523" w:type="pct"/>
            <w:shd w:val="clear" w:color="000000" w:fill="FFFFFF"/>
            <w:vAlign w:val="center"/>
            <w:hideMark/>
          </w:tcPr>
          <w:p w14:paraId="41357C9D" w14:textId="77777777" w:rsidR="00874916" w:rsidRPr="002C524B" w:rsidRDefault="00874916" w:rsidP="00EA28C4">
            <w:pPr>
              <w:jc w:val="center"/>
              <w:rPr>
                <w:sz w:val="18"/>
                <w:szCs w:val="18"/>
              </w:rPr>
            </w:pPr>
            <w:r w:rsidRPr="002C524B">
              <w:rPr>
                <w:sz w:val="18"/>
                <w:szCs w:val="18"/>
              </w:rPr>
              <w:t>254.841</w:t>
            </w:r>
          </w:p>
        </w:tc>
        <w:tc>
          <w:tcPr>
            <w:tcW w:w="576" w:type="pct"/>
            <w:shd w:val="clear" w:color="000000" w:fill="FFFFFF"/>
            <w:vAlign w:val="center"/>
            <w:hideMark/>
          </w:tcPr>
          <w:p w14:paraId="3BFA7CC2" w14:textId="77777777" w:rsidR="00874916" w:rsidRPr="002C524B" w:rsidRDefault="00874916" w:rsidP="00EA28C4">
            <w:pPr>
              <w:jc w:val="center"/>
              <w:rPr>
                <w:sz w:val="18"/>
                <w:szCs w:val="18"/>
              </w:rPr>
            </w:pPr>
            <w:r w:rsidRPr="002C524B">
              <w:rPr>
                <w:sz w:val="18"/>
                <w:szCs w:val="18"/>
              </w:rPr>
              <w:t>11.53%</w:t>
            </w:r>
          </w:p>
        </w:tc>
      </w:tr>
      <w:tr w:rsidR="00874916" w:rsidRPr="002C524B" w14:paraId="752F86FC" w14:textId="77777777" w:rsidTr="00EA28C4">
        <w:trPr>
          <w:trHeight w:val="270"/>
        </w:trPr>
        <w:tc>
          <w:tcPr>
            <w:tcW w:w="569" w:type="pct"/>
            <w:shd w:val="clear" w:color="auto" w:fill="auto"/>
            <w:vAlign w:val="center"/>
            <w:hideMark/>
          </w:tcPr>
          <w:p w14:paraId="3D451992" w14:textId="77777777" w:rsidR="00874916" w:rsidRPr="002C524B" w:rsidRDefault="00874916" w:rsidP="00EA28C4">
            <w:pPr>
              <w:jc w:val="center"/>
              <w:rPr>
                <w:sz w:val="18"/>
                <w:szCs w:val="18"/>
              </w:rPr>
            </w:pPr>
            <w:r w:rsidRPr="002C524B">
              <w:rPr>
                <w:sz w:val="18"/>
                <w:szCs w:val="18"/>
              </w:rPr>
              <w:t>Viet Nam</w:t>
            </w:r>
          </w:p>
        </w:tc>
        <w:tc>
          <w:tcPr>
            <w:tcW w:w="560" w:type="pct"/>
            <w:shd w:val="clear" w:color="000000" w:fill="FFFFFF"/>
            <w:vAlign w:val="center"/>
            <w:hideMark/>
          </w:tcPr>
          <w:p w14:paraId="1EF2C6F7" w14:textId="77777777" w:rsidR="00874916" w:rsidRPr="002C524B" w:rsidRDefault="00874916" w:rsidP="00EA28C4">
            <w:pPr>
              <w:jc w:val="center"/>
              <w:rPr>
                <w:sz w:val="18"/>
                <w:szCs w:val="18"/>
              </w:rPr>
            </w:pPr>
            <w:r w:rsidRPr="002C524B">
              <w:rPr>
                <w:sz w:val="18"/>
                <w:szCs w:val="18"/>
              </w:rPr>
              <w:t>134.528</w:t>
            </w:r>
          </w:p>
        </w:tc>
        <w:tc>
          <w:tcPr>
            <w:tcW w:w="523" w:type="pct"/>
            <w:tcBorders>
              <w:right w:val="single" w:sz="4" w:space="0" w:color="auto"/>
            </w:tcBorders>
            <w:shd w:val="clear" w:color="000000" w:fill="FFFFFF"/>
            <w:vAlign w:val="center"/>
            <w:hideMark/>
          </w:tcPr>
          <w:p w14:paraId="62C7ABCC" w14:textId="77777777" w:rsidR="00874916" w:rsidRPr="002C524B" w:rsidRDefault="00874916" w:rsidP="00EA28C4">
            <w:pPr>
              <w:jc w:val="center"/>
              <w:rPr>
                <w:sz w:val="18"/>
                <w:szCs w:val="18"/>
              </w:rPr>
            </w:pPr>
            <w:r w:rsidRPr="002C524B">
              <w:rPr>
                <w:sz w:val="18"/>
                <w:szCs w:val="18"/>
              </w:rPr>
              <w:t>6.26%</w:t>
            </w:r>
          </w:p>
        </w:tc>
        <w:tc>
          <w:tcPr>
            <w:tcW w:w="600" w:type="pct"/>
            <w:tcBorders>
              <w:left w:val="single" w:sz="4" w:space="0" w:color="auto"/>
            </w:tcBorders>
            <w:shd w:val="clear" w:color="000000" w:fill="FFFFFF"/>
            <w:vAlign w:val="center"/>
            <w:hideMark/>
          </w:tcPr>
          <w:p w14:paraId="2116A88C" w14:textId="77777777" w:rsidR="00874916" w:rsidRPr="002C524B" w:rsidRDefault="00874916" w:rsidP="00EA28C4">
            <w:pPr>
              <w:jc w:val="center"/>
              <w:rPr>
                <w:sz w:val="18"/>
                <w:szCs w:val="18"/>
              </w:rPr>
            </w:pPr>
            <w:r w:rsidRPr="002C524B">
              <w:rPr>
                <w:sz w:val="18"/>
                <w:szCs w:val="18"/>
              </w:rPr>
              <w:t>Viet Nam</w:t>
            </w:r>
          </w:p>
        </w:tc>
        <w:tc>
          <w:tcPr>
            <w:tcW w:w="600" w:type="pct"/>
            <w:shd w:val="clear" w:color="000000" w:fill="FFFFFF"/>
            <w:vAlign w:val="center"/>
            <w:hideMark/>
          </w:tcPr>
          <w:p w14:paraId="7D4CCADD" w14:textId="77777777" w:rsidR="00874916" w:rsidRPr="002C524B" w:rsidRDefault="00874916" w:rsidP="00EA28C4">
            <w:pPr>
              <w:jc w:val="center"/>
              <w:rPr>
                <w:sz w:val="18"/>
                <w:szCs w:val="18"/>
              </w:rPr>
            </w:pPr>
            <w:r w:rsidRPr="002C524B">
              <w:rPr>
                <w:sz w:val="18"/>
                <w:szCs w:val="18"/>
              </w:rPr>
              <w:t>146.899</w:t>
            </w:r>
          </w:p>
        </w:tc>
        <w:tc>
          <w:tcPr>
            <w:tcW w:w="449" w:type="pct"/>
            <w:tcBorders>
              <w:right w:val="single" w:sz="4" w:space="0" w:color="auto"/>
            </w:tcBorders>
            <w:shd w:val="clear" w:color="000000" w:fill="FFFFFF"/>
            <w:vAlign w:val="center"/>
            <w:hideMark/>
          </w:tcPr>
          <w:p w14:paraId="060F6F7C" w14:textId="77777777" w:rsidR="00874916" w:rsidRPr="002C524B" w:rsidRDefault="00874916" w:rsidP="00EA28C4">
            <w:pPr>
              <w:jc w:val="center"/>
              <w:rPr>
                <w:sz w:val="18"/>
                <w:szCs w:val="18"/>
              </w:rPr>
            </w:pPr>
            <w:r w:rsidRPr="002C524B">
              <w:rPr>
                <w:sz w:val="18"/>
                <w:szCs w:val="18"/>
              </w:rPr>
              <w:t>7.20%</w:t>
            </w:r>
          </w:p>
        </w:tc>
        <w:tc>
          <w:tcPr>
            <w:tcW w:w="600" w:type="pct"/>
            <w:tcBorders>
              <w:left w:val="single" w:sz="4" w:space="0" w:color="auto"/>
            </w:tcBorders>
            <w:shd w:val="clear" w:color="000000" w:fill="FFFFFF"/>
            <w:vAlign w:val="center"/>
            <w:hideMark/>
          </w:tcPr>
          <w:p w14:paraId="19348A71" w14:textId="77777777" w:rsidR="00874916" w:rsidRPr="002C524B" w:rsidRDefault="00874916" w:rsidP="00EA28C4">
            <w:pPr>
              <w:jc w:val="center"/>
              <w:rPr>
                <w:sz w:val="18"/>
                <w:szCs w:val="18"/>
              </w:rPr>
            </w:pPr>
            <w:r w:rsidRPr="002C524B">
              <w:rPr>
                <w:sz w:val="18"/>
                <w:szCs w:val="18"/>
              </w:rPr>
              <w:t>Viet Nam</w:t>
            </w:r>
          </w:p>
        </w:tc>
        <w:tc>
          <w:tcPr>
            <w:tcW w:w="523" w:type="pct"/>
            <w:shd w:val="clear" w:color="000000" w:fill="FFFFFF"/>
            <w:vAlign w:val="center"/>
            <w:hideMark/>
          </w:tcPr>
          <w:p w14:paraId="0FAFD2D7" w14:textId="77777777" w:rsidR="00874916" w:rsidRPr="002C524B" w:rsidRDefault="00874916" w:rsidP="00EA28C4">
            <w:pPr>
              <w:jc w:val="center"/>
              <w:rPr>
                <w:sz w:val="18"/>
                <w:szCs w:val="18"/>
              </w:rPr>
            </w:pPr>
            <w:r w:rsidRPr="002C524B">
              <w:rPr>
                <w:sz w:val="18"/>
                <w:szCs w:val="18"/>
              </w:rPr>
              <w:t>141.021</w:t>
            </w:r>
          </w:p>
        </w:tc>
        <w:tc>
          <w:tcPr>
            <w:tcW w:w="576" w:type="pct"/>
            <w:shd w:val="clear" w:color="000000" w:fill="FFFFFF"/>
            <w:vAlign w:val="center"/>
            <w:hideMark/>
          </w:tcPr>
          <w:p w14:paraId="67384803" w14:textId="77777777" w:rsidR="00874916" w:rsidRPr="002C524B" w:rsidRDefault="00874916" w:rsidP="00EA28C4">
            <w:pPr>
              <w:jc w:val="center"/>
              <w:rPr>
                <w:sz w:val="18"/>
                <w:szCs w:val="18"/>
              </w:rPr>
            </w:pPr>
            <w:r w:rsidRPr="002C524B">
              <w:rPr>
                <w:sz w:val="18"/>
                <w:szCs w:val="18"/>
              </w:rPr>
              <w:t>6.38%</w:t>
            </w:r>
          </w:p>
        </w:tc>
      </w:tr>
      <w:tr w:rsidR="00874916" w:rsidRPr="002C524B" w14:paraId="64A8AE83" w14:textId="77777777" w:rsidTr="00EA28C4">
        <w:trPr>
          <w:trHeight w:val="270"/>
        </w:trPr>
        <w:tc>
          <w:tcPr>
            <w:tcW w:w="569" w:type="pct"/>
            <w:shd w:val="clear" w:color="auto" w:fill="auto"/>
            <w:vAlign w:val="center"/>
            <w:hideMark/>
          </w:tcPr>
          <w:p w14:paraId="3B5A60F7" w14:textId="77777777" w:rsidR="00874916" w:rsidRPr="002C524B" w:rsidRDefault="00874916" w:rsidP="00EA28C4">
            <w:pPr>
              <w:jc w:val="center"/>
              <w:rPr>
                <w:sz w:val="18"/>
                <w:szCs w:val="18"/>
              </w:rPr>
            </w:pPr>
            <w:r w:rsidRPr="002C524B">
              <w:rPr>
                <w:sz w:val="18"/>
                <w:szCs w:val="18"/>
              </w:rPr>
              <w:t>Argentina</w:t>
            </w:r>
          </w:p>
        </w:tc>
        <w:tc>
          <w:tcPr>
            <w:tcW w:w="560" w:type="pct"/>
            <w:shd w:val="clear" w:color="000000" w:fill="FFFFFF"/>
            <w:vAlign w:val="center"/>
            <w:hideMark/>
          </w:tcPr>
          <w:p w14:paraId="1546C178" w14:textId="77777777" w:rsidR="00874916" w:rsidRPr="002C524B" w:rsidRDefault="00874916" w:rsidP="00EA28C4">
            <w:pPr>
              <w:jc w:val="center"/>
              <w:rPr>
                <w:sz w:val="18"/>
                <w:szCs w:val="18"/>
              </w:rPr>
            </w:pPr>
            <w:r w:rsidRPr="002C524B">
              <w:rPr>
                <w:sz w:val="18"/>
                <w:szCs w:val="18"/>
              </w:rPr>
              <w:t>86.65</w:t>
            </w:r>
          </w:p>
        </w:tc>
        <w:tc>
          <w:tcPr>
            <w:tcW w:w="523" w:type="pct"/>
            <w:tcBorders>
              <w:right w:val="single" w:sz="4" w:space="0" w:color="auto"/>
            </w:tcBorders>
            <w:shd w:val="clear" w:color="000000" w:fill="FFFFFF"/>
            <w:vAlign w:val="center"/>
            <w:hideMark/>
          </w:tcPr>
          <w:p w14:paraId="5678D4FC" w14:textId="77777777" w:rsidR="00874916" w:rsidRPr="002C524B" w:rsidRDefault="00874916" w:rsidP="00EA28C4">
            <w:pPr>
              <w:jc w:val="center"/>
              <w:rPr>
                <w:sz w:val="18"/>
                <w:szCs w:val="18"/>
              </w:rPr>
            </w:pPr>
            <w:r w:rsidRPr="002C524B">
              <w:rPr>
                <w:sz w:val="18"/>
                <w:szCs w:val="18"/>
              </w:rPr>
              <w:t>4.03%</w:t>
            </w:r>
          </w:p>
        </w:tc>
        <w:tc>
          <w:tcPr>
            <w:tcW w:w="600" w:type="pct"/>
            <w:tcBorders>
              <w:left w:val="single" w:sz="4" w:space="0" w:color="auto"/>
            </w:tcBorders>
            <w:shd w:val="clear" w:color="000000" w:fill="FFFFFF"/>
            <w:vAlign w:val="center"/>
            <w:hideMark/>
          </w:tcPr>
          <w:p w14:paraId="748FB0D1" w14:textId="77777777" w:rsidR="00874916" w:rsidRPr="002C524B" w:rsidRDefault="00874916" w:rsidP="00EA28C4">
            <w:pPr>
              <w:jc w:val="center"/>
              <w:rPr>
                <w:sz w:val="18"/>
                <w:szCs w:val="18"/>
              </w:rPr>
            </w:pPr>
            <w:r w:rsidRPr="002C524B">
              <w:rPr>
                <w:sz w:val="18"/>
                <w:szCs w:val="18"/>
              </w:rPr>
              <w:t>Argentina</w:t>
            </w:r>
          </w:p>
        </w:tc>
        <w:tc>
          <w:tcPr>
            <w:tcW w:w="600" w:type="pct"/>
            <w:shd w:val="clear" w:color="000000" w:fill="FFFFFF"/>
            <w:vAlign w:val="center"/>
            <w:hideMark/>
          </w:tcPr>
          <w:p w14:paraId="477F49FF" w14:textId="77777777" w:rsidR="00874916" w:rsidRPr="002C524B" w:rsidRDefault="00874916" w:rsidP="00EA28C4">
            <w:pPr>
              <w:jc w:val="center"/>
              <w:rPr>
                <w:sz w:val="18"/>
                <w:szCs w:val="18"/>
              </w:rPr>
            </w:pPr>
            <w:r w:rsidRPr="002C524B">
              <w:rPr>
                <w:sz w:val="18"/>
                <w:szCs w:val="18"/>
              </w:rPr>
              <w:t>78.056</w:t>
            </w:r>
          </w:p>
        </w:tc>
        <w:tc>
          <w:tcPr>
            <w:tcW w:w="449" w:type="pct"/>
            <w:tcBorders>
              <w:right w:val="single" w:sz="4" w:space="0" w:color="auto"/>
            </w:tcBorders>
            <w:shd w:val="clear" w:color="000000" w:fill="FFFFFF"/>
            <w:vAlign w:val="center"/>
            <w:hideMark/>
          </w:tcPr>
          <w:p w14:paraId="79469014" w14:textId="77777777" w:rsidR="00874916" w:rsidRPr="002C524B" w:rsidRDefault="00874916" w:rsidP="00EA28C4">
            <w:pPr>
              <w:jc w:val="center"/>
              <w:rPr>
                <w:sz w:val="18"/>
                <w:szCs w:val="18"/>
              </w:rPr>
            </w:pPr>
            <w:r w:rsidRPr="002C524B">
              <w:rPr>
                <w:sz w:val="18"/>
                <w:szCs w:val="18"/>
              </w:rPr>
              <w:t>3.83%</w:t>
            </w:r>
          </w:p>
        </w:tc>
        <w:tc>
          <w:tcPr>
            <w:tcW w:w="600" w:type="pct"/>
            <w:tcBorders>
              <w:left w:val="single" w:sz="4" w:space="0" w:color="auto"/>
            </w:tcBorders>
            <w:shd w:val="clear" w:color="000000" w:fill="FFFFFF"/>
            <w:vAlign w:val="center"/>
            <w:hideMark/>
          </w:tcPr>
          <w:p w14:paraId="2312444E" w14:textId="77777777" w:rsidR="00874916" w:rsidRPr="002C524B" w:rsidRDefault="00874916" w:rsidP="00EA28C4">
            <w:pPr>
              <w:jc w:val="center"/>
              <w:rPr>
                <w:sz w:val="18"/>
                <w:szCs w:val="18"/>
              </w:rPr>
            </w:pPr>
            <w:r w:rsidRPr="002C524B">
              <w:rPr>
                <w:sz w:val="18"/>
                <w:szCs w:val="18"/>
              </w:rPr>
              <w:t>Argentina</w:t>
            </w:r>
          </w:p>
        </w:tc>
        <w:tc>
          <w:tcPr>
            <w:tcW w:w="523" w:type="pct"/>
            <w:shd w:val="clear" w:color="000000" w:fill="FFFFFF"/>
            <w:vAlign w:val="center"/>
            <w:hideMark/>
          </w:tcPr>
          <w:p w14:paraId="0ED333B0" w14:textId="77777777" w:rsidR="00874916" w:rsidRPr="002C524B" w:rsidRDefault="00874916" w:rsidP="00EA28C4">
            <w:pPr>
              <w:jc w:val="center"/>
              <w:rPr>
                <w:sz w:val="18"/>
                <w:szCs w:val="18"/>
              </w:rPr>
            </w:pPr>
            <w:r w:rsidRPr="002C524B">
              <w:rPr>
                <w:sz w:val="18"/>
                <w:szCs w:val="18"/>
              </w:rPr>
              <w:t>77.335</w:t>
            </w:r>
          </w:p>
        </w:tc>
        <w:tc>
          <w:tcPr>
            <w:tcW w:w="576" w:type="pct"/>
            <w:shd w:val="clear" w:color="000000" w:fill="FFFFFF"/>
            <w:vAlign w:val="center"/>
            <w:hideMark/>
          </w:tcPr>
          <w:p w14:paraId="5772A820" w14:textId="77777777" w:rsidR="00874916" w:rsidRPr="002C524B" w:rsidRDefault="00874916" w:rsidP="00EA28C4">
            <w:pPr>
              <w:jc w:val="center"/>
              <w:rPr>
                <w:sz w:val="18"/>
                <w:szCs w:val="18"/>
              </w:rPr>
            </w:pPr>
            <w:r w:rsidRPr="002C524B">
              <w:rPr>
                <w:sz w:val="18"/>
                <w:szCs w:val="18"/>
              </w:rPr>
              <w:t>3.50%</w:t>
            </w:r>
          </w:p>
        </w:tc>
      </w:tr>
      <w:tr w:rsidR="00874916" w:rsidRPr="002C524B" w14:paraId="2BC0AEBD" w14:textId="77777777" w:rsidTr="00EA28C4">
        <w:trPr>
          <w:trHeight w:val="420"/>
        </w:trPr>
        <w:tc>
          <w:tcPr>
            <w:tcW w:w="569" w:type="pct"/>
            <w:shd w:val="clear" w:color="auto" w:fill="auto"/>
            <w:vAlign w:val="center"/>
            <w:hideMark/>
          </w:tcPr>
          <w:p w14:paraId="363BBE18" w14:textId="77777777" w:rsidR="00874916" w:rsidRPr="002C524B" w:rsidRDefault="00874916" w:rsidP="00EA28C4">
            <w:pPr>
              <w:jc w:val="center"/>
              <w:rPr>
                <w:sz w:val="18"/>
                <w:szCs w:val="18"/>
              </w:rPr>
            </w:pPr>
            <w:r w:rsidRPr="002C524B">
              <w:rPr>
                <w:sz w:val="18"/>
                <w:szCs w:val="18"/>
              </w:rPr>
              <w:t>Indonesia</w:t>
            </w:r>
          </w:p>
        </w:tc>
        <w:tc>
          <w:tcPr>
            <w:tcW w:w="560" w:type="pct"/>
            <w:shd w:val="clear" w:color="000000" w:fill="FFFFFF"/>
            <w:vAlign w:val="center"/>
            <w:hideMark/>
          </w:tcPr>
          <w:p w14:paraId="2CF864C7" w14:textId="77777777" w:rsidR="00874916" w:rsidRPr="002C524B" w:rsidRDefault="00874916" w:rsidP="00EA28C4">
            <w:pPr>
              <w:jc w:val="center"/>
              <w:rPr>
                <w:sz w:val="18"/>
                <w:szCs w:val="18"/>
              </w:rPr>
            </w:pPr>
            <w:r w:rsidRPr="002C524B">
              <w:rPr>
                <w:sz w:val="18"/>
                <w:szCs w:val="18"/>
              </w:rPr>
              <w:t>75.45</w:t>
            </w:r>
          </w:p>
        </w:tc>
        <w:tc>
          <w:tcPr>
            <w:tcW w:w="523" w:type="pct"/>
            <w:tcBorders>
              <w:right w:val="single" w:sz="4" w:space="0" w:color="auto"/>
            </w:tcBorders>
            <w:shd w:val="clear" w:color="000000" w:fill="FFFFFF"/>
            <w:vAlign w:val="center"/>
            <w:hideMark/>
          </w:tcPr>
          <w:p w14:paraId="503EF9C3" w14:textId="77777777" w:rsidR="00874916" w:rsidRPr="002C524B" w:rsidRDefault="00874916" w:rsidP="00EA28C4">
            <w:pPr>
              <w:jc w:val="center"/>
              <w:rPr>
                <w:sz w:val="18"/>
                <w:szCs w:val="18"/>
              </w:rPr>
            </w:pPr>
            <w:r w:rsidRPr="002C524B">
              <w:rPr>
                <w:sz w:val="18"/>
                <w:szCs w:val="18"/>
              </w:rPr>
              <w:t>3.51%</w:t>
            </w:r>
          </w:p>
        </w:tc>
        <w:tc>
          <w:tcPr>
            <w:tcW w:w="600" w:type="pct"/>
            <w:tcBorders>
              <w:left w:val="single" w:sz="4" w:space="0" w:color="auto"/>
            </w:tcBorders>
            <w:shd w:val="clear" w:color="000000" w:fill="FFFFFF"/>
            <w:vAlign w:val="center"/>
            <w:hideMark/>
          </w:tcPr>
          <w:p w14:paraId="1B009505" w14:textId="77777777" w:rsidR="00874916" w:rsidRPr="002C524B" w:rsidRDefault="00874916" w:rsidP="00EA28C4">
            <w:pPr>
              <w:jc w:val="center"/>
              <w:rPr>
                <w:sz w:val="18"/>
                <w:szCs w:val="18"/>
              </w:rPr>
            </w:pPr>
            <w:r w:rsidRPr="002C524B">
              <w:rPr>
                <w:sz w:val="18"/>
                <w:szCs w:val="18"/>
              </w:rPr>
              <w:t>Indonesia</w:t>
            </w:r>
          </w:p>
        </w:tc>
        <w:tc>
          <w:tcPr>
            <w:tcW w:w="600" w:type="pct"/>
            <w:shd w:val="clear" w:color="000000" w:fill="FFFFFF"/>
            <w:vAlign w:val="center"/>
            <w:hideMark/>
          </w:tcPr>
          <w:p w14:paraId="006198DE" w14:textId="77777777" w:rsidR="00874916" w:rsidRPr="002C524B" w:rsidRDefault="00874916" w:rsidP="00EA28C4">
            <w:pPr>
              <w:jc w:val="center"/>
              <w:rPr>
                <w:sz w:val="18"/>
                <w:szCs w:val="18"/>
              </w:rPr>
            </w:pPr>
            <w:r w:rsidRPr="002C524B">
              <w:rPr>
                <w:sz w:val="18"/>
                <w:szCs w:val="18"/>
              </w:rPr>
              <w:t>70.071</w:t>
            </w:r>
          </w:p>
        </w:tc>
        <w:tc>
          <w:tcPr>
            <w:tcW w:w="449" w:type="pct"/>
            <w:tcBorders>
              <w:right w:val="single" w:sz="4" w:space="0" w:color="auto"/>
            </w:tcBorders>
            <w:shd w:val="clear" w:color="000000" w:fill="FFFFFF"/>
            <w:vAlign w:val="center"/>
            <w:hideMark/>
          </w:tcPr>
          <w:p w14:paraId="3B322B08" w14:textId="77777777" w:rsidR="00874916" w:rsidRPr="002C524B" w:rsidRDefault="00874916" w:rsidP="00EA28C4">
            <w:pPr>
              <w:jc w:val="center"/>
              <w:rPr>
                <w:sz w:val="18"/>
                <w:szCs w:val="18"/>
              </w:rPr>
            </w:pPr>
            <w:r w:rsidRPr="002C524B">
              <w:rPr>
                <w:sz w:val="18"/>
                <w:szCs w:val="18"/>
              </w:rPr>
              <w:t>3.44%</w:t>
            </w:r>
          </w:p>
        </w:tc>
        <w:tc>
          <w:tcPr>
            <w:tcW w:w="600" w:type="pct"/>
            <w:tcBorders>
              <w:left w:val="single" w:sz="4" w:space="0" w:color="auto"/>
            </w:tcBorders>
            <w:shd w:val="clear" w:color="000000" w:fill="FFFFFF"/>
            <w:vAlign w:val="center"/>
            <w:hideMark/>
          </w:tcPr>
          <w:p w14:paraId="0EA99619" w14:textId="77777777" w:rsidR="00874916" w:rsidRPr="002C524B" w:rsidRDefault="00874916" w:rsidP="00EA28C4">
            <w:pPr>
              <w:jc w:val="center"/>
              <w:rPr>
                <w:sz w:val="18"/>
                <w:szCs w:val="18"/>
              </w:rPr>
            </w:pPr>
            <w:r w:rsidRPr="002C524B">
              <w:rPr>
                <w:sz w:val="18"/>
                <w:szCs w:val="18"/>
              </w:rPr>
              <w:t>Indonesia</w:t>
            </w:r>
          </w:p>
        </w:tc>
        <w:tc>
          <w:tcPr>
            <w:tcW w:w="523" w:type="pct"/>
            <w:shd w:val="clear" w:color="000000" w:fill="FFFFFF"/>
            <w:vAlign w:val="center"/>
            <w:hideMark/>
          </w:tcPr>
          <w:p w14:paraId="1AEFE3D3" w14:textId="77777777" w:rsidR="00874916" w:rsidRPr="002C524B" w:rsidRDefault="00874916" w:rsidP="00EA28C4">
            <w:pPr>
              <w:jc w:val="center"/>
              <w:rPr>
                <w:sz w:val="18"/>
                <w:szCs w:val="18"/>
              </w:rPr>
            </w:pPr>
            <w:r w:rsidRPr="002C524B">
              <w:rPr>
                <w:sz w:val="18"/>
                <w:szCs w:val="18"/>
              </w:rPr>
              <w:t>70.842</w:t>
            </w:r>
          </w:p>
        </w:tc>
        <w:tc>
          <w:tcPr>
            <w:tcW w:w="576" w:type="pct"/>
            <w:shd w:val="clear" w:color="000000" w:fill="FFFFFF"/>
            <w:vAlign w:val="center"/>
            <w:hideMark/>
          </w:tcPr>
          <w:p w14:paraId="0003C59C" w14:textId="77777777" w:rsidR="00874916" w:rsidRPr="002C524B" w:rsidRDefault="00874916" w:rsidP="00EA28C4">
            <w:pPr>
              <w:jc w:val="center"/>
              <w:rPr>
                <w:sz w:val="18"/>
                <w:szCs w:val="18"/>
              </w:rPr>
            </w:pPr>
            <w:r w:rsidRPr="002C524B">
              <w:rPr>
                <w:sz w:val="18"/>
                <w:szCs w:val="18"/>
              </w:rPr>
              <w:t>3.20%</w:t>
            </w:r>
          </w:p>
        </w:tc>
      </w:tr>
      <w:tr w:rsidR="00874916" w:rsidRPr="002C524B" w14:paraId="41AA2A1A" w14:textId="77777777" w:rsidTr="00EA28C4">
        <w:trPr>
          <w:trHeight w:val="420"/>
        </w:trPr>
        <w:tc>
          <w:tcPr>
            <w:tcW w:w="569" w:type="pct"/>
            <w:shd w:val="clear" w:color="auto" w:fill="auto"/>
            <w:vAlign w:val="center"/>
            <w:hideMark/>
          </w:tcPr>
          <w:p w14:paraId="19FC63ED" w14:textId="77777777" w:rsidR="00874916" w:rsidRPr="002C524B" w:rsidRDefault="00874916" w:rsidP="00EA28C4">
            <w:pPr>
              <w:jc w:val="center"/>
              <w:rPr>
                <w:sz w:val="18"/>
                <w:szCs w:val="18"/>
              </w:rPr>
            </w:pPr>
            <w:r w:rsidRPr="002C524B">
              <w:rPr>
                <w:sz w:val="18"/>
                <w:szCs w:val="18"/>
              </w:rPr>
              <w:t>United Kingdom</w:t>
            </w:r>
          </w:p>
        </w:tc>
        <w:tc>
          <w:tcPr>
            <w:tcW w:w="560" w:type="pct"/>
            <w:shd w:val="clear" w:color="000000" w:fill="FFFFFF"/>
            <w:vAlign w:val="center"/>
            <w:hideMark/>
          </w:tcPr>
          <w:p w14:paraId="0292458B" w14:textId="77777777" w:rsidR="00874916" w:rsidRPr="002C524B" w:rsidRDefault="00874916" w:rsidP="00EA28C4">
            <w:pPr>
              <w:jc w:val="center"/>
              <w:rPr>
                <w:sz w:val="18"/>
                <w:szCs w:val="18"/>
              </w:rPr>
            </w:pPr>
            <w:r w:rsidRPr="002C524B">
              <w:rPr>
                <w:sz w:val="18"/>
                <w:szCs w:val="18"/>
              </w:rPr>
              <w:t>62.323</w:t>
            </w:r>
          </w:p>
        </w:tc>
        <w:tc>
          <w:tcPr>
            <w:tcW w:w="523" w:type="pct"/>
            <w:tcBorders>
              <w:right w:val="single" w:sz="4" w:space="0" w:color="auto"/>
            </w:tcBorders>
            <w:shd w:val="clear" w:color="000000" w:fill="FFFFFF"/>
            <w:vAlign w:val="center"/>
            <w:hideMark/>
          </w:tcPr>
          <w:p w14:paraId="40829770" w14:textId="77777777" w:rsidR="00874916" w:rsidRPr="002C524B" w:rsidRDefault="00874916" w:rsidP="00EA28C4">
            <w:pPr>
              <w:jc w:val="center"/>
              <w:rPr>
                <w:sz w:val="18"/>
                <w:szCs w:val="18"/>
              </w:rPr>
            </w:pPr>
            <w:r w:rsidRPr="002C524B">
              <w:rPr>
                <w:sz w:val="18"/>
                <w:szCs w:val="18"/>
              </w:rPr>
              <w:t>2.90%</w:t>
            </w:r>
          </w:p>
        </w:tc>
        <w:tc>
          <w:tcPr>
            <w:tcW w:w="600" w:type="pct"/>
            <w:tcBorders>
              <w:left w:val="single" w:sz="4" w:space="0" w:color="auto"/>
            </w:tcBorders>
            <w:shd w:val="clear" w:color="000000" w:fill="FFFFFF"/>
            <w:vAlign w:val="center"/>
            <w:hideMark/>
          </w:tcPr>
          <w:p w14:paraId="6CF86CC8" w14:textId="77777777" w:rsidR="00874916" w:rsidRPr="002C524B" w:rsidRDefault="00874916" w:rsidP="00EA28C4">
            <w:pPr>
              <w:jc w:val="center"/>
              <w:rPr>
                <w:sz w:val="18"/>
                <w:szCs w:val="18"/>
              </w:rPr>
            </w:pPr>
            <w:r w:rsidRPr="002C524B">
              <w:rPr>
                <w:sz w:val="18"/>
                <w:szCs w:val="18"/>
              </w:rPr>
              <w:t>Uganda</w:t>
            </w:r>
          </w:p>
        </w:tc>
        <w:tc>
          <w:tcPr>
            <w:tcW w:w="600" w:type="pct"/>
            <w:shd w:val="clear" w:color="000000" w:fill="FFFFFF"/>
            <w:vAlign w:val="center"/>
            <w:hideMark/>
          </w:tcPr>
          <w:p w14:paraId="11721996" w14:textId="77777777" w:rsidR="00874916" w:rsidRPr="002C524B" w:rsidRDefault="00874916" w:rsidP="00EA28C4">
            <w:pPr>
              <w:jc w:val="center"/>
              <w:rPr>
                <w:sz w:val="18"/>
                <w:szCs w:val="18"/>
              </w:rPr>
            </w:pPr>
            <w:r w:rsidRPr="002C524B">
              <w:rPr>
                <w:sz w:val="18"/>
                <w:szCs w:val="18"/>
              </w:rPr>
              <w:t>55.21</w:t>
            </w:r>
          </w:p>
        </w:tc>
        <w:tc>
          <w:tcPr>
            <w:tcW w:w="449" w:type="pct"/>
            <w:tcBorders>
              <w:right w:val="single" w:sz="4" w:space="0" w:color="auto"/>
            </w:tcBorders>
            <w:shd w:val="clear" w:color="000000" w:fill="FFFFFF"/>
            <w:vAlign w:val="center"/>
            <w:hideMark/>
          </w:tcPr>
          <w:p w14:paraId="614C5CBE" w14:textId="77777777" w:rsidR="00874916" w:rsidRPr="002C524B" w:rsidRDefault="00874916" w:rsidP="00EA28C4">
            <w:pPr>
              <w:jc w:val="center"/>
              <w:rPr>
                <w:sz w:val="18"/>
                <w:szCs w:val="18"/>
              </w:rPr>
            </w:pPr>
            <w:r w:rsidRPr="002C524B">
              <w:rPr>
                <w:sz w:val="18"/>
                <w:szCs w:val="18"/>
              </w:rPr>
              <w:t>2.71%</w:t>
            </w:r>
          </w:p>
        </w:tc>
        <w:tc>
          <w:tcPr>
            <w:tcW w:w="600" w:type="pct"/>
            <w:tcBorders>
              <w:left w:val="single" w:sz="4" w:space="0" w:color="auto"/>
            </w:tcBorders>
            <w:shd w:val="clear" w:color="000000" w:fill="FFFFFF"/>
            <w:vAlign w:val="center"/>
            <w:hideMark/>
          </w:tcPr>
          <w:p w14:paraId="498EC947" w14:textId="77777777" w:rsidR="00874916" w:rsidRPr="002C524B" w:rsidRDefault="00874916" w:rsidP="00EA28C4">
            <w:pPr>
              <w:jc w:val="center"/>
              <w:rPr>
                <w:sz w:val="18"/>
                <w:szCs w:val="18"/>
              </w:rPr>
            </w:pPr>
            <w:r w:rsidRPr="002C524B">
              <w:rPr>
                <w:sz w:val="18"/>
                <w:szCs w:val="18"/>
              </w:rPr>
              <w:t>Uganda</w:t>
            </w:r>
          </w:p>
        </w:tc>
        <w:tc>
          <w:tcPr>
            <w:tcW w:w="523" w:type="pct"/>
            <w:shd w:val="clear" w:color="000000" w:fill="FFFFFF"/>
            <w:vAlign w:val="center"/>
            <w:hideMark/>
          </w:tcPr>
          <w:p w14:paraId="05CC83FC" w14:textId="77777777" w:rsidR="00874916" w:rsidRPr="002C524B" w:rsidRDefault="00874916" w:rsidP="00EA28C4">
            <w:pPr>
              <w:jc w:val="center"/>
              <w:rPr>
                <w:sz w:val="18"/>
                <w:szCs w:val="18"/>
              </w:rPr>
            </w:pPr>
            <w:r w:rsidRPr="002C524B">
              <w:rPr>
                <w:sz w:val="18"/>
                <w:szCs w:val="18"/>
              </w:rPr>
              <w:t>62.018</w:t>
            </w:r>
          </w:p>
        </w:tc>
        <w:tc>
          <w:tcPr>
            <w:tcW w:w="576" w:type="pct"/>
            <w:shd w:val="clear" w:color="000000" w:fill="FFFFFF"/>
            <w:vAlign w:val="center"/>
            <w:hideMark/>
          </w:tcPr>
          <w:p w14:paraId="11F01033" w14:textId="77777777" w:rsidR="00874916" w:rsidRPr="002C524B" w:rsidRDefault="00874916" w:rsidP="00EA28C4">
            <w:pPr>
              <w:jc w:val="center"/>
              <w:rPr>
                <w:sz w:val="18"/>
                <w:szCs w:val="18"/>
              </w:rPr>
            </w:pPr>
            <w:r w:rsidRPr="002C524B">
              <w:rPr>
                <w:sz w:val="18"/>
                <w:szCs w:val="18"/>
              </w:rPr>
              <w:t>2.81%</w:t>
            </w:r>
          </w:p>
        </w:tc>
      </w:tr>
      <w:tr w:rsidR="00874916" w:rsidRPr="002C524B" w14:paraId="5F9B45BB" w14:textId="77777777" w:rsidTr="00EA28C4">
        <w:trPr>
          <w:trHeight w:val="420"/>
        </w:trPr>
        <w:tc>
          <w:tcPr>
            <w:tcW w:w="569" w:type="pct"/>
            <w:shd w:val="clear" w:color="auto" w:fill="auto"/>
            <w:vAlign w:val="center"/>
            <w:hideMark/>
          </w:tcPr>
          <w:p w14:paraId="381DFC6A" w14:textId="77777777" w:rsidR="00874916" w:rsidRPr="002C524B" w:rsidRDefault="00874916" w:rsidP="00EA28C4">
            <w:pPr>
              <w:jc w:val="center"/>
              <w:rPr>
                <w:sz w:val="18"/>
                <w:szCs w:val="18"/>
              </w:rPr>
            </w:pPr>
            <w:r w:rsidRPr="002C524B">
              <w:rPr>
                <w:sz w:val="18"/>
                <w:szCs w:val="18"/>
              </w:rPr>
              <w:t>Uganda</w:t>
            </w:r>
          </w:p>
        </w:tc>
        <w:tc>
          <w:tcPr>
            <w:tcW w:w="560" w:type="pct"/>
            <w:shd w:val="clear" w:color="000000" w:fill="FFFFFF"/>
            <w:vAlign w:val="center"/>
            <w:hideMark/>
          </w:tcPr>
          <w:p w14:paraId="71694798" w14:textId="77777777" w:rsidR="00874916" w:rsidRPr="002C524B" w:rsidRDefault="00874916" w:rsidP="00EA28C4">
            <w:pPr>
              <w:jc w:val="center"/>
              <w:rPr>
                <w:sz w:val="18"/>
                <w:szCs w:val="18"/>
              </w:rPr>
            </w:pPr>
            <w:r w:rsidRPr="002C524B">
              <w:rPr>
                <w:sz w:val="18"/>
                <w:szCs w:val="18"/>
              </w:rPr>
              <w:t>55.256</w:t>
            </w:r>
          </w:p>
        </w:tc>
        <w:tc>
          <w:tcPr>
            <w:tcW w:w="523" w:type="pct"/>
            <w:tcBorders>
              <w:right w:val="single" w:sz="4" w:space="0" w:color="auto"/>
            </w:tcBorders>
            <w:shd w:val="clear" w:color="000000" w:fill="FFFFFF"/>
            <w:vAlign w:val="center"/>
            <w:hideMark/>
          </w:tcPr>
          <w:p w14:paraId="6EEC914B" w14:textId="77777777" w:rsidR="00874916" w:rsidRPr="002C524B" w:rsidRDefault="00874916" w:rsidP="00EA28C4">
            <w:pPr>
              <w:jc w:val="center"/>
              <w:rPr>
                <w:sz w:val="18"/>
                <w:szCs w:val="18"/>
              </w:rPr>
            </w:pPr>
            <w:r w:rsidRPr="002C524B">
              <w:rPr>
                <w:sz w:val="18"/>
                <w:szCs w:val="18"/>
              </w:rPr>
              <w:t>2.57%</w:t>
            </w:r>
          </w:p>
        </w:tc>
        <w:tc>
          <w:tcPr>
            <w:tcW w:w="600" w:type="pct"/>
            <w:tcBorders>
              <w:left w:val="single" w:sz="4" w:space="0" w:color="auto"/>
            </w:tcBorders>
            <w:shd w:val="clear" w:color="000000" w:fill="FFFFFF"/>
            <w:vAlign w:val="center"/>
            <w:hideMark/>
          </w:tcPr>
          <w:p w14:paraId="048EECDA" w14:textId="77777777" w:rsidR="00874916" w:rsidRPr="002C524B" w:rsidRDefault="00874916" w:rsidP="00EA28C4">
            <w:pPr>
              <w:jc w:val="center"/>
              <w:rPr>
                <w:sz w:val="18"/>
                <w:szCs w:val="18"/>
              </w:rPr>
            </w:pPr>
            <w:r w:rsidRPr="002C524B">
              <w:rPr>
                <w:sz w:val="18"/>
                <w:szCs w:val="18"/>
              </w:rPr>
              <w:t>United Arab Emirates</w:t>
            </w:r>
          </w:p>
        </w:tc>
        <w:tc>
          <w:tcPr>
            <w:tcW w:w="600" w:type="pct"/>
            <w:shd w:val="clear" w:color="000000" w:fill="FFFFFF"/>
            <w:vAlign w:val="center"/>
            <w:hideMark/>
          </w:tcPr>
          <w:p w14:paraId="7A210B62" w14:textId="77777777" w:rsidR="00874916" w:rsidRPr="002C524B" w:rsidRDefault="00874916" w:rsidP="00EA28C4">
            <w:pPr>
              <w:jc w:val="center"/>
              <w:rPr>
                <w:sz w:val="18"/>
                <w:szCs w:val="18"/>
              </w:rPr>
            </w:pPr>
            <w:r w:rsidRPr="002C524B">
              <w:rPr>
                <w:sz w:val="18"/>
                <w:szCs w:val="18"/>
              </w:rPr>
              <w:t>48.551</w:t>
            </w:r>
          </w:p>
        </w:tc>
        <w:tc>
          <w:tcPr>
            <w:tcW w:w="449" w:type="pct"/>
            <w:tcBorders>
              <w:right w:val="single" w:sz="4" w:space="0" w:color="auto"/>
            </w:tcBorders>
            <w:shd w:val="clear" w:color="000000" w:fill="FFFFFF"/>
            <w:vAlign w:val="center"/>
            <w:hideMark/>
          </w:tcPr>
          <w:p w14:paraId="60BEA489" w14:textId="77777777" w:rsidR="00874916" w:rsidRPr="002C524B" w:rsidRDefault="00874916" w:rsidP="00EA28C4">
            <w:pPr>
              <w:jc w:val="center"/>
              <w:rPr>
                <w:sz w:val="18"/>
                <w:szCs w:val="18"/>
              </w:rPr>
            </w:pPr>
            <w:r w:rsidRPr="002C524B">
              <w:rPr>
                <w:sz w:val="18"/>
                <w:szCs w:val="18"/>
              </w:rPr>
              <w:t>2.38%</w:t>
            </w:r>
          </w:p>
        </w:tc>
        <w:tc>
          <w:tcPr>
            <w:tcW w:w="600" w:type="pct"/>
            <w:tcBorders>
              <w:left w:val="single" w:sz="4" w:space="0" w:color="auto"/>
            </w:tcBorders>
            <w:shd w:val="clear" w:color="000000" w:fill="FFFFFF"/>
            <w:vAlign w:val="center"/>
            <w:hideMark/>
          </w:tcPr>
          <w:p w14:paraId="0CBB1861" w14:textId="77777777" w:rsidR="00874916" w:rsidRPr="002C524B" w:rsidRDefault="00874916" w:rsidP="00EA28C4">
            <w:pPr>
              <w:jc w:val="center"/>
              <w:rPr>
                <w:sz w:val="18"/>
                <w:szCs w:val="18"/>
              </w:rPr>
            </w:pPr>
            <w:r w:rsidRPr="002C524B">
              <w:rPr>
                <w:sz w:val="18"/>
                <w:szCs w:val="18"/>
              </w:rPr>
              <w:t>United Arab Emirates</w:t>
            </w:r>
          </w:p>
        </w:tc>
        <w:tc>
          <w:tcPr>
            <w:tcW w:w="523" w:type="pct"/>
            <w:shd w:val="clear" w:color="000000" w:fill="FFFFFF"/>
            <w:vAlign w:val="center"/>
            <w:hideMark/>
          </w:tcPr>
          <w:p w14:paraId="00A2F757" w14:textId="77777777" w:rsidR="00874916" w:rsidRPr="002C524B" w:rsidRDefault="00874916" w:rsidP="00EA28C4">
            <w:pPr>
              <w:jc w:val="center"/>
              <w:rPr>
                <w:sz w:val="18"/>
                <w:szCs w:val="18"/>
              </w:rPr>
            </w:pPr>
            <w:r w:rsidRPr="002C524B">
              <w:rPr>
                <w:sz w:val="18"/>
                <w:szCs w:val="18"/>
              </w:rPr>
              <w:t>61.788</w:t>
            </w:r>
          </w:p>
        </w:tc>
        <w:tc>
          <w:tcPr>
            <w:tcW w:w="576" w:type="pct"/>
            <w:shd w:val="clear" w:color="000000" w:fill="FFFFFF"/>
            <w:vAlign w:val="center"/>
            <w:hideMark/>
          </w:tcPr>
          <w:p w14:paraId="06F77DA1" w14:textId="77777777" w:rsidR="00874916" w:rsidRPr="002C524B" w:rsidRDefault="00874916" w:rsidP="00EA28C4">
            <w:pPr>
              <w:jc w:val="center"/>
              <w:rPr>
                <w:sz w:val="18"/>
                <w:szCs w:val="18"/>
              </w:rPr>
            </w:pPr>
            <w:r w:rsidRPr="002C524B">
              <w:rPr>
                <w:sz w:val="18"/>
                <w:szCs w:val="18"/>
              </w:rPr>
              <w:t>2.79%</w:t>
            </w:r>
          </w:p>
        </w:tc>
      </w:tr>
      <w:tr w:rsidR="00874916" w:rsidRPr="002C524B" w14:paraId="68C6FCBC" w14:textId="77777777" w:rsidTr="00EA28C4">
        <w:trPr>
          <w:trHeight w:val="270"/>
        </w:trPr>
        <w:tc>
          <w:tcPr>
            <w:tcW w:w="569" w:type="pct"/>
            <w:tcBorders>
              <w:bottom w:val="single" w:sz="4" w:space="0" w:color="auto"/>
            </w:tcBorders>
            <w:shd w:val="clear" w:color="auto" w:fill="auto"/>
            <w:vAlign w:val="center"/>
            <w:hideMark/>
          </w:tcPr>
          <w:p w14:paraId="62CEFDC5" w14:textId="77777777" w:rsidR="00874916" w:rsidRPr="002C524B" w:rsidRDefault="00874916" w:rsidP="00EA28C4">
            <w:pPr>
              <w:jc w:val="center"/>
              <w:rPr>
                <w:sz w:val="18"/>
                <w:szCs w:val="18"/>
              </w:rPr>
            </w:pPr>
            <w:r w:rsidRPr="002C524B">
              <w:rPr>
                <w:sz w:val="18"/>
                <w:szCs w:val="18"/>
              </w:rPr>
              <w:t>Malawi</w:t>
            </w:r>
          </w:p>
        </w:tc>
        <w:tc>
          <w:tcPr>
            <w:tcW w:w="560" w:type="pct"/>
            <w:tcBorders>
              <w:bottom w:val="single" w:sz="4" w:space="0" w:color="auto"/>
            </w:tcBorders>
            <w:shd w:val="clear" w:color="000000" w:fill="FFFFFF"/>
            <w:vAlign w:val="center"/>
            <w:hideMark/>
          </w:tcPr>
          <w:p w14:paraId="39EA6734" w14:textId="77777777" w:rsidR="00874916" w:rsidRPr="002C524B" w:rsidRDefault="00874916" w:rsidP="00EA28C4">
            <w:pPr>
              <w:jc w:val="center"/>
              <w:rPr>
                <w:sz w:val="18"/>
                <w:szCs w:val="18"/>
              </w:rPr>
            </w:pPr>
            <w:r w:rsidRPr="002C524B">
              <w:rPr>
                <w:sz w:val="18"/>
                <w:szCs w:val="18"/>
              </w:rPr>
              <w:t>46.007</w:t>
            </w:r>
          </w:p>
        </w:tc>
        <w:tc>
          <w:tcPr>
            <w:tcW w:w="523" w:type="pct"/>
            <w:tcBorders>
              <w:bottom w:val="single" w:sz="4" w:space="0" w:color="auto"/>
              <w:right w:val="single" w:sz="4" w:space="0" w:color="auto"/>
            </w:tcBorders>
            <w:shd w:val="clear" w:color="000000" w:fill="FFFFFF"/>
            <w:vAlign w:val="center"/>
            <w:hideMark/>
          </w:tcPr>
          <w:p w14:paraId="7085FA4C" w14:textId="77777777" w:rsidR="00874916" w:rsidRPr="002C524B" w:rsidRDefault="00874916" w:rsidP="00EA28C4">
            <w:pPr>
              <w:jc w:val="center"/>
              <w:rPr>
                <w:sz w:val="18"/>
                <w:szCs w:val="18"/>
              </w:rPr>
            </w:pPr>
            <w:r w:rsidRPr="002C524B">
              <w:rPr>
                <w:sz w:val="18"/>
                <w:szCs w:val="18"/>
              </w:rPr>
              <w:t>2.14%</w:t>
            </w:r>
          </w:p>
        </w:tc>
        <w:tc>
          <w:tcPr>
            <w:tcW w:w="600" w:type="pct"/>
            <w:tcBorders>
              <w:left w:val="single" w:sz="4" w:space="0" w:color="auto"/>
              <w:bottom w:val="single" w:sz="4" w:space="0" w:color="auto"/>
            </w:tcBorders>
            <w:shd w:val="clear" w:color="000000" w:fill="FFFFFF"/>
            <w:vAlign w:val="center"/>
            <w:hideMark/>
          </w:tcPr>
          <w:p w14:paraId="5EE02F97" w14:textId="77777777" w:rsidR="00874916" w:rsidRPr="002C524B" w:rsidRDefault="00874916" w:rsidP="00EA28C4">
            <w:pPr>
              <w:jc w:val="center"/>
              <w:rPr>
                <w:sz w:val="18"/>
                <w:szCs w:val="18"/>
              </w:rPr>
            </w:pPr>
            <w:r w:rsidRPr="002C524B">
              <w:rPr>
                <w:sz w:val="18"/>
                <w:szCs w:val="18"/>
              </w:rPr>
              <w:t>Malawi</w:t>
            </w:r>
          </w:p>
        </w:tc>
        <w:tc>
          <w:tcPr>
            <w:tcW w:w="600" w:type="pct"/>
            <w:tcBorders>
              <w:bottom w:val="single" w:sz="4" w:space="0" w:color="auto"/>
            </w:tcBorders>
            <w:shd w:val="clear" w:color="000000" w:fill="FFFFFF"/>
            <w:vAlign w:val="center"/>
            <w:hideMark/>
          </w:tcPr>
          <w:p w14:paraId="598EA8F8" w14:textId="77777777" w:rsidR="00874916" w:rsidRPr="002C524B" w:rsidRDefault="00874916" w:rsidP="00EA28C4">
            <w:pPr>
              <w:jc w:val="center"/>
              <w:rPr>
                <w:sz w:val="18"/>
                <w:szCs w:val="18"/>
              </w:rPr>
            </w:pPr>
            <w:r w:rsidRPr="002C524B">
              <w:rPr>
                <w:sz w:val="18"/>
                <w:szCs w:val="18"/>
              </w:rPr>
              <w:t>42.494</w:t>
            </w:r>
          </w:p>
        </w:tc>
        <w:tc>
          <w:tcPr>
            <w:tcW w:w="449" w:type="pct"/>
            <w:tcBorders>
              <w:bottom w:val="single" w:sz="4" w:space="0" w:color="auto"/>
              <w:right w:val="single" w:sz="4" w:space="0" w:color="auto"/>
            </w:tcBorders>
            <w:shd w:val="clear" w:color="000000" w:fill="FFFFFF"/>
            <w:vAlign w:val="center"/>
            <w:hideMark/>
          </w:tcPr>
          <w:p w14:paraId="50F50843" w14:textId="77777777" w:rsidR="00874916" w:rsidRPr="002C524B" w:rsidRDefault="00874916" w:rsidP="00EA28C4">
            <w:pPr>
              <w:jc w:val="center"/>
              <w:rPr>
                <w:sz w:val="18"/>
                <w:szCs w:val="18"/>
              </w:rPr>
            </w:pPr>
            <w:r w:rsidRPr="002C524B">
              <w:rPr>
                <w:sz w:val="18"/>
                <w:szCs w:val="18"/>
              </w:rPr>
              <w:t>2.08%</w:t>
            </w:r>
          </w:p>
        </w:tc>
        <w:tc>
          <w:tcPr>
            <w:tcW w:w="600" w:type="pct"/>
            <w:tcBorders>
              <w:left w:val="single" w:sz="4" w:space="0" w:color="auto"/>
              <w:bottom w:val="single" w:sz="4" w:space="0" w:color="auto"/>
            </w:tcBorders>
            <w:shd w:val="clear" w:color="000000" w:fill="FFFFFF"/>
            <w:vAlign w:val="center"/>
            <w:hideMark/>
          </w:tcPr>
          <w:p w14:paraId="634AC7D5" w14:textId="77777777" w:rsidR="00874916" w:rsidRPr="002C524B" w:rsidRDefault="00874916" w:rsidP="00EA28C4">
            <w:pPr>
              <w:jc w:val="center"/>
              <w:rPr>
                <w:sz w:val="18"/>
                <w:szCs w:val="18"/>
              </w:rPr>
            </w:pPr>
            <w:r w:rsidRPr="002C524B">
              <w:rPr>
                <w:sz w:val="18"/>
                <w:szCs w:val="18"/>
              </w:rPr>
              <w:t>Malawi</w:t>
            </w:r>
          </w:p>
        </w:tc>
        <w:tc>
          <w:tcPr>
            <w:tcW w:w="523" w:type="pct"/>
            <w:tcBorders>
              <w:bottom w:val="single" w:sz="4" w:space="0" w:color="auto"/>
            </w:tcBorders>
            <w:shd w:val="clear" w:color="000000" w:fill="FFFFFF"/>
            <w:vAlign w:val="center"/>
            <w:hideMark/>
          </w:tcPr>
          <w:p w14:paraId="46E119E2" w14:textId="77777777" w:rsidR="00874916" w:rsidRPr="002C524B" w:rsidRDefault="00874916" w:rsidP="00EA28C4">
            <w:pPr>
              <w:jc w:val="center"/>
              <w:rPr>
                <w:sz w:val="18"/>
                <w:szCs w:val="18"/>
              </w:rPr>
            </w:pPr>
            <w:r w:rsidRPr="002C524B">
              <w:rPr>
                <w:sz w:val="18"/>
                <w:szCs w:val="18"/>
              </w:rPr>
              <w:t>43.245</w:t>
            </w:r>
          </w:p>
        </w:tc>
        <w:tc>
          <w:tcPr>
            <w:tcW w:w="576" w:type="pct"/>
            <w:tcBorders>
              <w:bottom w:val="single" w:sz="4" w:space="0" w:color="auto"/>
            </w:tcBorders>
            <w:shd w:val="clear" w:color="000000" w:fill="FFFFFF"/>
            <w:vAlign w:val="center"/>
            <w:hideMark/>
          </w:tcPr>
          <w:p w14:paraId="44AAD555" w14:textId="77777777" w:rsidR="00874916" w:rsidRPr="002C524B" w:rsidRDefault="00874916" w:rsidP="00EA28C4">
            <w:pPr>
              <w:jc w:val="center"/>
              <w:rPr>
                <w:sz w:val="18"/>
                <w:szCs w:val="18"/>
              </w:rPr>
            </w:pPr>
            <w:r w:rsidRPr="002C524B">
              <w:rPr>
                <w:sz w:val="18"/>
                <w:szCs w:val="18"/>
              </w:rPr>
              <w:t>1.96%</w:t>
            </w:r>
          </w:p>
        </w:tc>
      </w:tr>
      <w:tr w:rsidR="00874916" w:rsidRPr="002C524B" w14:paraId="23DF5E89" w14:textId="77777777" w:rsidTr="00EA28C4">
        <w:trPr>
          <w:trHeight w:val="270"/>
        </w:trPr>
        <w:tc>
          <w:tcPr>
            <w:tcW w:w="569" w:type="pct"/>
            <w:tcBorders>
              <w:top w:val="single" w:sz="4" w:space="0" w:color="auto"/>
              <w:bottom w:val="nil"/>
            </w:tcBorders>
            <w:shd w:val="clear" w:color="auto" w:fill="auto"/>
            <w:vAlign w:val="center"/>
            <w:hideMark/>
          </w:tcPr>
          <w:p w14:paraId="34DAB6DA" w14:textId="77777777" w:rsidR="00874916" w:rsidRPr="002C524B" w:rsidRDefault="00874916" w:rsidP="00EA28C4">
            <w:pPr>
              <w:jc w:val="center"/>
              <w:rPr>
                <w:sz w:val="18"/>
                <w:szCs w:val="18"/>
              </w:rPr>
            </w:pPr>
            <w:r w:rsidRPr="002C524B">
              <w:rPr>
                <w:sz w:val="18"/>
                <w:szCs w:val="18"/>
              </w:rPr>
              <w:t>World</w:t>
            </w:r>
          </w:p>
        </w:tc>
        <w:tc>
          <w:tcPr>
            <w:tcW w:w="560" w:type="pct"/>
            <w:tcBorders>
              <w:top w:val="single" w:sz="4" w:space="0" w:color="auto"/>
              <w:bottom w:val="nil"/>
            </w:tcBorders>
            <w:shd w:val="clear" w:color="000000" w:fill="FFFFFF"/>
            <w:vAlign w:val="center"/>
            <w:hideMark/>
          </w:tcPr>
          <w:p w14:paraId="45A59B04" w14:textId="77777777" w:rsidR="00874916" w:rsidRPr="002C524B" w:rsidRDefault="00874916" w:rsidP="00EA28C4">
            <w:pPr>
              <w:jc w:val="center"/>
              <w:rPr>
                <w:sz w:val="18"/>
                <w:szCs w:val="18"/>
              </w:rPr>
            </w:pPr>
            <w:r w:rsidRPr="002C524B">
              <w:rPr>
                <w:sz w:val="18"/>
                <w:szCs w:val="18"/>
              </w:rPr>
              <w:t>2148.092</w:t>
            </w:r>
          </w:p>
        </w:tc>
        <w:tc>
          <w:tcPr>
            <w:tcW w:w="523" w:type="pct"/>
            <w:tcBorders>
              <w:top w:val="single" w:sz="4" w:space="0" w:color="auto"/>
              <w:bottom w:val="nil"/>
              <w:right w:val="single" w:sz="4" w:space="0" w:color="auto"/>
            </w:tcBorders>
            <w:shd w:val="clear" w:color="000000" w:fill="FFFFFF"/>
            <w:vAlign w:val="center"/>
            <w:hideMark/>
          </w:tcPr>
          <w:p w14:paraId="7D38CFC7" w14:textId="77777777" w:rsidR="00874916" w:rsidRPr="002C524B" w:rsidRDefault="00874916" w:rsidP="00EA28C4">
            <w:pPr>
              <w:jc w:val="center"/>
              <w:rPr>
                <w:sz w:val="18"/>
                <w:szCs w:val="18"/>
              </w:rPr>
            </w:pPr>
            <w:r w:rsidRPr="002C524B">
              <w:rPr>
                <w:sz w:val="18"/>
                <w:szCs w:val="18"/>
              </w:rPr>
              <w:t>—</w:t>
            </w:r>
          </w:p>
        </w:tc>
        <w:tc>
          <w:tcPr>
            <w:tcW w:w="600" w:type="pct"/>
            <w:tcBorders>
              <w:top w:val="single" w:sz="4" w:space="0" w:color="auto"/>
              <w:left w:val="single" w:sz="4" w:space="0" w:color="auto"/>
              <w:bottom w:val="nil"/>
            </w:tcBorders>
            <w:shd w:val="clear" w:color="000000" w:fill="FFFFFF"/>
            <w:vAlign w:val="center"/>
            <w:hideMark/>
          </w:tcPr>
          <w:p w14:paraId="0787F1A5" w14:textId="77777777" w:rsidR="00874916" w:rsidRPr="002C524B" w:rsidRDefault="00874916" w:rsidP="00EA28C4">
            <w:pPr>
              <w:jc w:val="center"/>
              <w:rPr>
                <w:sz w:val="18"/>
                <w:szCs w:val="18"/>
              </w:rPr>
            </w:pPr>
            <w:r w:rsidRPr="002C524B">
              <w:rPr>
                <w:sz w:val="18"/>
                <w:szCs w:val="18"/>
              </w:rPr>
              <w:t>World</w:t>
            </w:r>
          </w:p>
        </w:tc>
        <w:tc>
          <w:tcPr>
            <w:tcW w:w="600" w:type="pct"/>
            <w:tcBorders>
              <w:top w:val="single" w:sz="4" w:space="0" w:color="auto"/>
              <w:bottom w:val="nil"/>
            </w:tcBorders>
            <w:shd w:val="clear" w:color="000000" w:fill="FFFFFF"/>
            <w:vAlign w:val="center"/>
            <w:hideMark/>
          </w:tcPr>
          <w:p w14:paraId="054DED3C" w14:textId="77777777" w:rsidR="00874916" w:rsidRPr="002C524B" w:rsidRDefault="00874916" w:rsidP="00EA28C4">
            <w:pPr>
              <w:jc w:val="center"/>
              <w:rPr>
                <w:sz w:val="18"/>
                <w:szCs w:val="18"/>
              </w:rPr>
            </w:pPr>
            <w:r w:rsidRPr="002C524B">
              <w:rPr>
                <w:sz w:val="18"/>
                <w:szCs w:val="18"/>
              </w:rPr>
              <w:t>2039.587</w:t>
            </w:r>
          </w:p>
        </w:tc>
        <w:tc>
          <w:tcPr>
            <w:tcW w:w="449" w:type="pct"/>
            <w:tcBorders>
              <w:top w:val="single" w:sz="4" w:space="0" w:color="auto"/>
              <w:bottom w:val="nil"/>
              <w:right w:val="single" w:sz="4" w:space="0" w:color="auto"/>
            </w:tcBorders>
            <w:shd w:val="clear" w:color="000000" w:fill="FFFFFF"/>
            <w:vAlign w:val="center"/>
            <w:hideMark/>
          </w:tcPr>
          <w:p w14:paraId="1992C34F" w14:textId="77777777" w:rsidR="00874916" w:rsidRPr="002C524B" w:rsidRDefault="00874916" w:rsidP="00EA28C4">
            <w:pPr>
              <w:jc w:val="center"/>
              <w:rPr>
                <w:sz w:val="18"/>
                <w:szCs w:val="18"/>
              </w:rPr>
            </w:pPr>
          </w:p>
        </w:tc>
        <w:tc>
          <w:tcPr>
            <w:tcW w:w="600" w:type="pct"/>
            <w:tcBorders>
              <w:top w:val="single" w:sz="4" w:space="0" w:color="auto"/>
              <w:left w:val="single" w:sz="4" w:space="0" w:color="auto"/>
              <w:bottom w:val="nil"/>
            </w:tcBorders>
            <w:shd w:val="clear" w:color="000000" w:fill="FFFFFF"/>
            <w:vAlign w:val="center"/>
            <w:hideMark/>
          </w:tcPr>
          <w:p w14:paraId="2E5B5D21" w14:textId="77777777" w:rsidR="00874916" w:rsidRPr="002C524B" w:rsidRDefault="00874916" w:rsidP="00EA28C4">
            <w:pPr>
              <w:jc w:val="center"/>
              <w:rPr>
                <w:sz w:val="18"/>
                <w:szCs w:val="18"/>
              </w:rPr>
            </w:pPr>
            <w:r w:rsidRPr="002C524B">
              <w:rPr>
                <w:sz w:val="18"/>
                <w:szCs w:val="18"/>
              </w:rPr>
              <w:t>World</w:t>
            </w:r>
          </w:p>
        </w:tc>
        <w:tc>
          <w:tcPr>
            <w:tcW w:w="523" w:type="pct"/>
            <w:tcBorders>
              <w:top w:val="single" w:sz="4" w:space="0" w:color="auto"/>
              <w:bottom w:val="nil"/>
            </w:tcBorders>
            <w:shd w:val="clear" w:color="000000" w:fill="FFFFFF"/>
            <w:vAlign w:val="center"/>
            <w:hideMark/>
          </w:tcPr>
          <w:p w14:paraId="02109402" w14:textId="77777777" w:rsidR="00874916" w:rsidRPr="002C524B" w:rsidRDefault="00874916" w:rsidP="00EA28C4">
            <w:pPr>
              <w:jc w:val="center"/>
              <w:rPr>
                <w:sz w:val="18"/>
                <w:szCs w:val="18"/>
              </w:rPr>
            </w:pPr>
            <w:r w:rsidRPr="002C524B">
              <w:rPr>
                <w:sz w:val="18"/>
                <w:szCs w:val="18"/>
              </w:rPr>
              <w:t>2210.972</w:t>
            </w:r>
          </w:p>
        </w:tc>
        <w:tc>
          <w:tcPr>
            <w:tcW w:w="576" w:type="pct"/>
            <w:tcBorders>
              <w:top w:val="single" w:sz="4" w:space="0" w:color="auto"/>
              <w:bottom w:val="nil"/>
            </w:tcBorders>
            <w:shd w:val="clear" w:color="000000" w:fill="FFFFFF"/>
            <w:vAlign w:val="center"/>
            <w:hideMark/>
          </w:tcPr>
          <w:p w14:paraId="510ABC1C" w14:textId="77777777" w:rsidR="00874916" w:rsidRPr="002C524B" w:rsidRDefault="00874916" w:rsidP="00EA28C4">
            <w:pPr>
              <w:jc w:val="center"/>
              <w:rPr>
                <w:sz w:val="18"/>
                <w:szCs w:val="18"/>
              </w:rPr>
            </w:pPr>
            <w:r w:rsidRPr="002C524B">
              <w:rPr>
                <w:sz w:val="18"/>
                <w:szCs w:val="18"/>
              </w:rPr>
              <w:t>—</w:t>
            </w:r>
          </w:p>
        </w:tc>
      </w:tr>
      <w:tr w:rsidR="00874916" w:rsidRPr="002C524B" w14:paraId="4D9AB28D" w14:textId="77777777" w:rsidTr="00EA28C4">
        <w:trPr>
          <w:trHeight w:val="270"/>
        </w:trPr>
        <w:tc>
          <w:tcPr>
            <w:tcW w:w="569" w:type="pct"/>
            <w:tcBorders>
              <w:top w:val="nil"/>
            </w:tcBorders>
            <w:shd w:val="clear" w:color="auto" w:fill="auto"/>
            <w:vAlign w:val="center"/>
          </w:tcPr>
          <w:p w14:paraId="4B3A6883" w14:textId="77777777" w:rsidR="00874916" w:rsidRPr="002C524B" w:rsidRDefault="00874916" w:rsidP="00EA28C4">
            <w:pPr>
              <w:jc w:val="center"/>
              <w:rPr>
                <w:sz w:val="18"/>
                <w:szCs w:val="18"/>
              </w:rPr>
            </w:pPr>
            <w:r w:rsidRPr="002C524B">
              <w:rPr>
                <w:sz w:val="18"/>
                <w:szCs w:val="18"/>
              </w:rPr>
              <w:t>Total</w:t>
            </w:r>
          </w:p>
        </w:tc>
        <w:tc>
          <w:tcPr>
            <w:tcW w:w="560" w:type="pct"/>
            <w:tcBorders>
              <w:top w:val="nil"/>
            </w:tcBorders>
            <w:shd w:val="clear" w:color="000000" w:fill="FFFFFF"/>
            <w:vAlign w:val="center"/>
          </w:tcPr>
          <w:p w14:paraId="1AC85304" w14:textId="77777777" w:rsidR="00874916" w:rsidRPr="002C524B" w:rsidRDefault="00874916" w:rsidP="00EA28C4">
            <w:pPr>
              <w:jc w:val="center"/>
              <w:rPr>
                <w:sz w:val="18"/>
                <w:szCs w:val="18"/>
              </w:rPr>
            </w:pPr>
            <w:r w:rsidRPr="002C524B">
              <w:rPr>
                <w:sz w:val="18"/>
                <w:szCs w:val="18"/>
              </w:rPr>
              <w:t>—</w:t>
            </w:r>
          </w:p>
        </w:tc>
        <w:tc>
          <w:tcPr>
            <w:tcW w:w="523" w:type="pct"/>
            <w:tcBorders>
              <w:top w:val="nil"/>
              <w:bottom w:val="single" w:sz="12" w:space="0" w:color="auto"/>
              <w:right w:val="single" w:sz="4" w:space="0" w:color="auto"/>
            </w:tcBorders>
            <w:shd w:val="clear" w:color="000000" w:fill="FFFFFF"/>
            <w:vAlign w:val="center"/>
          </w:tcPr>
          <w:p w14:paraId="122589BC" w14:textId="77777777" w:rsidR="00874916" w:rsidRPr="002C524B" w:rsidRDefault="00874916" w:rsidP="00EA28C4">
            <w:pPr>
              <w:jc w:val="center"/>
              <w:rPr>
                <w:sz w:val="18"/>
                <w:szCs w:val="18"/>
              </w:rPr>
            </w:pPr>
            <w:r w:rsidRPr="002C524B">
              <w:rPr>
                <w:sz w:val="18"/>
                <w:szCs w:val="18"/>
              </w:rPr>
              <w:t>84.48%</w:t>
            </w:r>
          </w:p>
        </w:tc>
        <w:tc>
          <w:tcPr>
            <w:tcW w:w="600" w:type="pct"/>
            <w:tcBorders>
              <w:top w:val="nil"/>
              <w:left w:val="single" w:sz="4" w:space="0" w:color="auto"/>
            </w:tcBorders>
            <w:shd w:val="clear" w:color="000000" w:fill="FFFFFF"/>
          </w:tcPr>
          <w:p w14:paraId="4521BD80" w14:textId="77777777" w:rsidR="00874916" w:rsidRPr="002C524B" w:rsidRDefault="00874916" w:rsidP="00EA28C4">
            <w:pPr>
              <w:jc w:val="center"/>
            </w:pPr>
            <w:r w:rsidRPr="002C524B">
              <w:t>Total</w:t>
            </w:r>
          </w:p>
        </w:tc>
        <w:tc>
          <w:tcPr>
            <w:tcW w:w="600" w:type="pct"/>
            <w:tcBorders>
              <w:top w:val="nil"/>
            </w:tcBorders>
            <w:shd w:val="clear" w:color="000000" w:fill="FFFFFF"/>
          </w:tcPr>
          <w:p w14:paraId="3A6FA6ED" w14:textId="77777777" w:rsidR="00874916" w:rsidRPr="002C524B" w:rsidRDefault="00874916" w:rsidP="00EA28C4">
            <w:pPr>
              <w:jc w:val="center"/>
            </w:pPr>
            <w:r w:rsidRPr="002C524B">
              <w:rPr>
                <w:sz w:val="18"/>
                <w:szCs w:val="18"/>
              </w:rPr>
              <w:t>—</w:t>
            </w:r>
          </w:p>
        </w:tc>
        <w:tc>
          <w:tcPr>
            <w:tcW w:w="449" w:type="pct"/>
            <w:tcBorders>
              <w:top w:val="nil"/>
              <w:bottom w:val="single" w:sz="12" w:space="0" w:color="auto"/>
              <w:right w:val="single" w:sz="4" w:space="0" w:color="auto"/>
            </w:tcBorders>
            <w:shd w:val="clear" w:color="000000" w:fill="FFFFFF"/>
            <w:vAlign w:val="center"/>
          </w:tcPr>
          <w:p w14:paraId="68639A40" w14:textId="77777777" w:rsidR="00874916" w:rsidRPr="002C524B" w:rsidRDefault="00874916" w:rsidP="00EA28C4">
            <w:pPr>
              <w:jc w:val="center"/>
              <w:rPr>
                <w:sz w:val="18"/>
                <w:szCs w:val="18"/>
              </w:rPr>
            </w:pPr>
            <w:r w:rsidRPr="002C524B">
              <w:rPr>
                <w:sz w:val="18"/>
                <w:szCs w:val="18"/>
              </w:rPr>
              <w:t>82.30%</w:t>
            </w:r>
          </w:p>
        </w:tc>
        <w:tc>
          <w:tcPr>
            <w:tcW w:w="600" w:type="pct"/>
            <w:tcBorders>
              <w:top w:val="nil"/>
              <w:left w:val="single" w:sz="4" w:space="0" w:color="auto"/>
            </w:tcBorders>
            <w:shd w:val="clear" w:color="000000" w:fill="FFFFFF"/>
            <w:vAlign w:val="center"/>
          </w:tcPr>
          <w:p w14:paraId="50218661" w14:textId="77777777" w:rsidR="00874916" w:rsidRPr="002C524B" w:rsidRDefault="00874916" w:rsidP="00EA28C4">
            <w:pPr>
              <w:jc w:val="center"/>
              <w:rPr>
                <w:sz w:val="18"/>
                <w:szCs w:val="18"/>
              </w:rPr>
            </w:pPr>
            <w:r w:rsidRPr="002C524B">
              <w:rPr>
                <w:sz w:val="18"/>
                <w:szCs w:val="18"/>
              </w:rPr>
              <w:t>Total</w:t>
            </w:r>
          </w:p>
        </w:tc>
        <w:tc>
          <w:tcPr>
            <w:tcW w:w="523" w:type="pct"/>
            <w:tcBorders>
              <w:top w:val="nil"/>
            </w:tcBorders>
            <w:shd w:val="clear" w:color="000000" w:fill="FFFFFF"/>
            <w:vAlign w:val="center"/>
          </w:tcPr>
          <w:p w14:paraId="312D1E1E" w14:textId="77777777" w:rsidR="00874916" w:rsidRPr="002C524B" w:rsidRDefault="00874916" w:rsidP="00EA28C4">
            <w:pPr>
              <w:jc w:val="center"/>
              <w:rPr>
                <w:sz w:val="18"/>
                <w:szCs w:val="18"/>
              </w:rPr>
            </w:pPr>
            <w:r w:rsidRPr="002C524B">
              <w:rPr>
                <w:sz w:val="18"/>
                <w:szCs w:val="18"/>
              </w:rPr>
              <w:t>—</w:t>
            </w:r>
          </w:p>
        </w:tc>
        <w:tc>
          <w:tcPr>
            <w:tcW w:w="576" w:type="pct"/>
            <w:tcBorders>
              <w:top w:val="nil"/>
            </w:tcBorders>
            <w:shd w:val="clear" w:color="000000" w:fill="FFFFFF"/>
            <w:vAlign w:val="center"/>
          </w:tcPr>
          <w:p w14:paraId="2AE92770" w14:textId="77777777" w:rsidR="00874916" w:rsidRPr="002C524B" w:rsidRDefault="00874916" w:rsidP="00EA28C4">
            <w:pPr>
              <w:jc w:val="center"/>
              <w:rPr>
                <w:sz w:val="18"/>
                <w:szCs w:val="18"/>
              </w:rPr>
            </w:pPr>
            <w:r w:rsidRPr="002C524B">
              <w:rPr>
                <w:sz w:val="18"/>
                <w:szCs w:val="18"/>
              </w:rPr>
              <w:t>83.26%</w:t>
            </w:r>
          </w:p>
        </w:tc>
      </w:tr>
    </w:tbl>
    <w:p w14:paraId="42C0B446" w14:textId="77777777" w:rsidR="00874916" w:rsidRPr="002C524B" w:rsidRDefault="00874916" w:rsidP="00874916"/>
    <w:p w14:paraId="75D0AE3A" w14:textId="77777777" w:rsidR="00874916" w:rsidRPr="002C524B" w:rsidRDefault="00874916" w:rsidP="00874916"/>
    <w:tbl>
      <w:tblPr>
        <w:tblW w:w="5000" w:type="pct"/>
        <w:tblLook w:val="04A0" w:firstRow="1" w:lastRow="0" w:firstColumn="1" w:lastColumn="0" w:noHBand="0" w:noVBand="1"/>
      </w:tblPr>
      <w:tblGrid>
        <w:gridCol w:w="1765"/>
        <w:gridCol w:w="1116"/>
        <w:gridCol w:w="1440"/>
        <w:gridCol w:w="1440"/>
        <w:gridCol w:w="1440"/>
        <w:gridCol w:w="1439"/>
      </w:tblGrid>
      <w:tr w:rsidR="00874916" w:rsidRPr="002C524B" w14:paraId="18B24C73" w14:textId="77777777" w:rsidTr="00EA28C4">
        <w:trPr>
          <w:trHeight w:val="270"/>
        </w:trPr>
        <w:tc>
          <w:tcPr>
            <w:tcW w:w="1021" w:type="pct"/>
            <w:tcBorders>
              <w:top w:val="single" w:sz="12" w:space="0" w:color="auto"/>
              <w:left w:val="nil"/>
              <w:bottom w:val="single" w:sz="4" w:space="0" w:color="auto"/>
              <w:right w:val="nil"/>
            </w:tcBorders>
            <w:shd w:val="clear" w:color="auto" w:fill="auto"/>
            <w:noWrap/>
            <w:vAlign w:val="center"/>
            <w:hideMark/>
          </w:tcPr>
          <w:p w14:paraId="61B8EE3D" w14:textId="77777777" w:rsidR="00874916" w:rsidRPr="002C524B" w:rsidRDefault="00874916" w:rsidP="00EA28C4">
            <w:pPr>
              <w:jc w:val="center"/>
              <w:rPr>
                <w:sz w:val="18"/>
                <w:szCs w:val="18"/>
              </w:rPr>
            </w:pPr>
          </w:p>
        </w:tc>
        <w:tc>
          <w:tcPr>
            <w:tcW w:w="645" w:type="pct"/>
            <w:tcBorders>
              <w:top w:val="single" w:sz="12" w:space="0" w:color="auto"/>
              <w:left w:val="nil"/>
              <w:bottom w:val="single" w:sz="4" w:space="0" w:color="auto"/>
              <w:right w:val="nil"/>
            </w:tcBorders>
            <w:shd w:val="clear" w:color="auto" w:fill="auto"/>
            <w:noWrap/>
            <w:vAlign w:val="center"/>
            <w:hideMark/>
          </w:tcPr>
          <w:p w14:paraId="0E988E14" w14:textId="77777777" w:rsidR="00874916" w:rsidRPr="002C524B" w:rsidRDefault="00874916" w:rsidP="00EA28C4">
            <w:pPr>
              <w:jc w:val="center"/>
              <w:rPr>
                <w:sz w:val="18"/>
                <w:szCs w:val="18"/>
              </w:rPr>
            </w:pPr>
            <w:r w:rsidRPr="002C524B">
              <w:rPr>
                <w:sz w:val="18"/>
                <w:szCs w:val="18"/>
              </w:rPr>
              <w:t>2014</w:t>
            </w:r>
          </w:p>
        </w:tc>
        <w:tc>
          <w:tcPr>
            <w:tcW w:w="833" w:type="pct"/>
            <w:tcBorders>
              <w:top w:val="single" w:sz="12" w:space="0" w:color="auto"/>
              <w:left w:val="nil"/>
              <w:bottom w:val="single" w:sz="4" w:space="0" w:color="auto"/>
              <w:right w:val="single" w:sz="4" w:space="0" w:color="auto"/>
            </w:tcBorders>
            <w:shd w:val="clear" w:color="auto" w:fill="auto"/>
            <w:noWrap/>
            <w:vAlign w:val="center"/>
            <w:hideMark/>
          </w:tcPr>
          <w:p w14:paraId="0D8F48AB" w14:textId="77777777" w:rsidR="00874916" w:rsidRPr="002C524B" w:rsidRDefault="00874916" w:rsidP="00EA28C4">
            <w:pPr>
              <w:jc w:val="center"/>
              <w:rPr>
                <w:sz w:val="18"/>
                <w:szCs w:val="18"/>
              </w:rPr>
            </w:pPr>
          </w:p>
        </w:tc>
        <w:tc>
          <w:tcPr>
            <w:tcW w:w="833" w:type="pct"/>
            <w:tcBorders>
              <w:top w:val="single" w:sz="12" w:space="0" w:color="auto"/>
              <w:left w:val="single" w:sz="4" w:space="0" w:color="auto"/>
              <w:bottom w:val="single" w:sz="4" w:space="0" w:color="auto"/>
              <w:right w:val="nil"/>
            </w:tcBorders>
            <w:shd w:val="clear" w:color="auto" w:fill="auto"/>
            <w:noWrap/>
            <w:vAlign w:val="center"/>
            <w:hideMark/>
          </w:tcPr>
          <w:p w14:paraId="4CE392D3" w14:textId="77777777" w:rsidR="00874916" w:rsidRPr="002C524B" w:rsidRDefault="00874916" w:rsidP="00EA28C4">
            <w:pPr>
              <w:jc w:val="center"/>
              <w:rPr>
                <w:sz w:val="18"/>
                <w:szCs w:val="18"/>
              </w:rPr>
            </w:pPr>
          </w:p>
        </w:tc>
        <w:tc>
          <w:tcPr>
            <w:tcW w:w="833" w:type="pct"/>
            <w:tcBorders>
              <w:top w:val="single" w:sz="12" w:space="0" w:color="auto"/>
              <w:left w:val="nil"/>
              <w:bottom w:val="single" w:sz="4" w:space="0" w:color="auto"/>
              <w:right w:val="nil"/>
            </w:tcBorders>
            <w:shd w:val="clear" w:color="auto" w:fill="auto"/>
            <w:noWrap/>
            <w:vAlign w:val="center"/>
            <w:hideMark/>
          </w:tcPr>
          <w:p w14:paraId="51848629" w14:textId="77777777" w:rsidR="00874916" w:rsidRPr="002C524B" w:rsidRDefault="00874916" w:rsidP="00EA28C4">
            <w:pPr>
              <w:jc w:val="center"/>
              <w:rPr>
                <w:sz w:val="18"/>
                <w:szCs w:val="18"/>
              </w:rPr>
            </w:pPr>
            <w:r w:rsidRPr="002C524B">
              <w:rPr>
                <w:sz w:val="18"/>
                <w:szCs w:val="18"/>
              </w:rPr>
              <w:t>2015</w:t>
            </w:r>
          </w:p>
        </w:tc>
        <w:tc>
          <w:tcPr>
            <w:tcW w:w="833" w:type="pct"/>
            <w:tcBorders>
              <w:top w:val="single" w:sz="12" w:space="0" w:color="auto"/>
              <w:left w:val="nil"/>
              <w:bottom w:val="single" w:sz="4" w:space="0" w:color="auto"/>
              <w:right w:val="nil"/>
            </w:tcBorders>
            <w:shd w:val="clear" w:color="auto" w:fill="auto"/>
            <w:noWrap/>
            <w:vAlign w:val="center"/>
            <w:hideMark/>
          </w:tcPr>
          <w:p w14:paraId="641BC71B" w14:textId="77777777" w:rsidR="00874916" w:rsidRPr="002C524B" w:rsidRDefault="00874916" w:rsidP="00EA28C4">
            <w:pPr>
              <w:jc w:val="center"/>
              <w:rPr>
                <w:sz w:val="18"/>
                <w:szCs w:val="18"/>
              </w:rPr>
            </w:pPr>
          </w:p>
        </w:tc>
      </w:tr>
      <w:tr w:rsidR="00874916" w:rsidRPr="002C524B" w14:paraId="0B2DFA1C" w14:textId="77777777" w:rsidTr="00EA28C4">
        <w:trPr>
          <w:trHeight w:val="270"/>
        </w:trPr>
        <w:tc>
          <w:tcPr>
            <w:tcW w:w="1021" w:type="pct"/>
            <w:tcBorders>
              <w:top w:val="single" w:sz="4" w:space="0" w:color="auto"/>
              <w:left w:val="nil"/>
              <w:bottom w:val="single" w:sz="4" w:space="0" w:color="auto"/>
              <w:right w:val="nil"/>
            </w:tcBorders>
            <w:shd w:val="clear" w:color="auto" w:fill="auto"/>
            <w:noWrap/>
            <w:vAlign w:val="center"/>
            <w:hideMark/>
          </w:tcPr>
          <w:p w14:paraId="0B2B9200" w14:textId="77777777" w:rsidR="00874916" w:rsidRPr="002C524B" w:rsidRDefault="00874916" w:rsidP="00EA28C4">
            <w:pPr>
              <w:jc w:val="center"/>
              <w:rPr>
                <w:sz w:val="18"/>
                <w:szCs w:val="18"/>
              </w:rPr>
            </w:pPr>
            <w:r w:rsidRPr="002C524B">
              <w:rPr>
                <w:sz w:val="18"/>
                <w:szCs w:val="18"/>
              </w:rPr>
              <w:t>Exporter</w:t>
            </w:r>
          </w:p>
        </w:tc>
        <w:tc>
          <w:tcPr>
            <w:tcW w:w="645" w:type="pct"/>
            <w:tcBorders>
              <w:top w:val="single" w:sz="4" w:space="0" w:color="auto"/>
              <w:left w:val="nil"/>
              <w:bottom w:val="single" w:sz="4" w:space="0" w:color="auto"/>
              <w:right w:val="nil"/>
            </w:tcBorders>
            <w:shd w:val="clear" w:color="auto" w:fill="auto"/>
            <w:noWrap/>
            <w:vAlign w:val="center"/>
            <w:hideMark/>
          </w:tcPr>
          <w:p w14:paraId="218CC2A6" w14:textId="77777777" w:rsidR="00874916" w:rsidRPr="002C524B" w:rsidRDefault="00874916" w:rsidP="00EA28C4">
            <w:pPr>
              <w:jc w:val="center"/>
              <w:rPr>
                <w:sz w:val="18"/>
                <w:szCs w:val="18"/>
              </w:rPr>
            </w:pPr>
            <w:r w:rsidRPr="002C524B">
              <w:rPr>
                <w:sz w:val="18"/>
                <w:szCs w:val="18"/>
              </w:rPr>
              <w:t>Thousand</w:t>
            </w:r>
          </w:p>
          <w:p w14:paraId="30141A12" w14:textId="77777777" w:rsidR="00874916" w:rsidRPr="002C524B" w:rsidRDefault="00874916" w:rsidP="00EA28C4">
            <w:pPr>
              <w:jc w:val="center"/>
              <w:rPr>
                <w:sz w:val="18"/>
                <w:szCs w:val="18"/>
              </w:rPr>
            </w:pPr>
            <w:r w:rsidRPr="002C524B">
              <w:rPr>
                <w:sz w:val="18"/>
                <w:szCs w:val="18"/>
              </w:rPr>
              <w:t xml:space="preserve"> </w:t>
            </w:r>
            <w:r>
              <w:rPr>
                <w:sz w:val="18"/>
                <w:szCs w:val="18"/>
              </w:rPr>
              <w:t>Tons</w:t>
            </w:r>
          </w:p>
        </w:tc>
        <w:tc>
          <w:tcPr>
            <w:tcW w:w="833" w:type="pct"/>
            <w:tcBorders>
              <w:top w:val="single" w:sz="4" w:space="0" w:color="auto"/>
              <w:left w:val="nil"/>
              <w:bottom w:val="single" w:sz="4" w:space="0" w:color="auto"/>
              <w:right w:val="single" w:sz="4" w:space="0" w:color="auto"/>
            </w:tcBorders>
            <w:shd w:val="clear" w:color="auto" w:fill="auto"/>
            <w:noWrap/>
            <w:vAlign w:val="center"/>
            <w:hideMark/>
          </w:tcPr>
          <w:p w14:paraId="0E38EE1F" w14:textId="77777777" w:rsidR="00874916" w:rsidRPr="002C524B" w:rsidRDefault="00874916" w:rsidP="00EA28C4">
            <w:pPr>
              <w:jc w:val="center"/>
              <w:rPr>
                <w:sz w:val="18"/>
                <w:szCs w:val="18"/>
              </w:rPr>
            </w:pPr>
            <w:r w:rsidRPr="002C524B">
              <w:rPr>
                <w:sz w:val="18"/>
                <w:szCs w:val="18"/>
              </w:rPr>
              <w:t>Percent</w:t>
            </w:r>
          </w:p>
        </w:tc>
        <w:tc>
          <w:tcPr>
            <w:tcW w:w="833" w:type="pct"/>
            <w:tcBorders>
              <w:top w:val="single" w:sz="4" w:space="0" w:color="auto"/>
              <w:left w:val="single" w:sz="4" w:space="0" w:color="auto"/>
              <w:bottom w:val="single" w:sz="4" w:space="0" w:color="auto"/>
              <w:right w:val="nil"/>
            </w:tcBorders>
            <w:shd w:val="clear" w:color="auto" w:fill="auto"/>
            <w:noWrap/>
            <w:vAlign w:val="center"/>
            <w:hideMark/>
          </w:tcPr>
          <w:p w14:paraId="3913DCF9" w14:textId="77777777" w:rsidR="00874916" w:rsidRPr="002C524B" w:rsidRDefault="00874916" w:rsidP="00EA28C4">
            <w:pPr>
              <w:jc w:val="center"/>
              <w:rPr>
                <w:sz w:val="18"/>
                <w:szCs w:val="18"/>
              </w:rPr>
            </w:pPr>
            <w:r w:rsidRPr="002C524B">
              <w:rPr>
                <w:sz w:val="18"/>
                <w:szCs w:val="18"/>
              </w:rPr>
              <w:t>Exporter</w:t>
            </w:r>
          </w:p>
        </w:tc>
        <w:tc>
          <w:tcPr>
            <w:tcW w:w="833" w:type="pct"/>
            <w:tcBorders>
              <w:top w:val="single" w:sz="4" w:space="0" w:color="auto"/>
              <w:left w:val="nil"/>
              <w:bottom w:val="single" w:sz="4" w:space="0" w:color="auto"/>
              <w:right w:val="nil"/>
            </w:tcBorders>
            <w:shd w:val="clear" w:color="auto" w:fill="auto"/>
            <w:noWrap/>
            <w:vAlign w:val="center"/>
            <w:hideMark/>
          </w:tcPr>
          <w:p w14:paraId="4A1121C3" w14:textId="77777777" w:rsidR="00874916" w:rsidRPr="002C524B" w:rsidRDefault="00874916" w:rsidP="00EA28C4">
            <w:pPr>
              <w:jc w:val="center"/>
              <w:rPr>
                <w:sz w:val="18"/>
                <w:szCs w:val="18"/>
              </w:rPr>
            </w:pPr>
            <w:r w:rsidRPr="002C524B">
              <w:rPr>
                <w:sz w:val="18"/>
                <w:szCs w:val="18"/>
              </w:rPr>
              <w:t>Thousand</w:t>
            </w:r>
          </w:p>
          <w:p w14:paraId="0E48FF7F" w14:textId="77777777" w:rsidR="00874916" w:rsidRPr="002C524B" w:rsidRDefault="00874916" w:rsidP="00EA28C4">
            <w:pPr>
              <w:jc w:val="center"/>
              <w:rPr>
                <w:sz w:val="18"/>
                <w:szCs w:val="18"/>
              </w:rPr>
            </w:pPr>
            <w:r w:rsidRPr="002C524B">
              <w:rPr>
                <w:sz w:val="18"/>
                <w:szCs w:val="18"/>
              </w:rPr>
              <w:t xml:space="preserve"> </w:t>
            </w:r>
            <w:r>
              <w:rPr>
                <w:sz w:val="18"/>
                <w:szCs w:val="18"/>
              </w:rPr>
              <w:t>Tons</w:t>
            </w:r>
          </w:p>
        </w:tc>
        <w:tc>
          <w:tcPr>
            <w:tcW w:w="833" w:type="pct"/>
            <w:tcBorders>
              <w:top w:val="single" w:sz="4" w:space="0" w:color="auto"/>
              <w:left w:val="nil"/>
              <w:bottom w:val="single" w:sz="4" w:space="0" w:color="auto"/>
              <w:right w:val="nil"/>
            </w:tcBorders>
            <w:shd w:val="clear" w:color="auto" w:fill="auto"/>
            <w:noWrap/>
            <w:vAlign w:val="center"/>
            <w:hideMark/>
          </w:tcPr>
          <w:p w14:paraId="217E73D2" w14:textId="77777777" w:rsidR="00874916" w:rsidRPr="002C524B" w:rsidRDefault="00874916" w:rsidP="00EA28C4">
            <w:pPr>
              <w:jc w:val="center"/>
              <w:rPr>
                <w:sz w:val="18"/>
                <w:szCs w:val="18"/>
              </w:rPr>
            </w:pPr>
            <w:r w:rsidRPr="002C524B">
              <w:rPr>
                <w:sz w:val="18"/>
                <w:szCs w:val="18"/>
              </w:rPr>
              <w:t>Percent</w:t>
            </w:r>
          </w:p>
        </w:tc>
      </w:tr>
      <w:tr w:rsidR="00874916" w:rsidRPr="002C524B" w14:paraId="57CD7119" w14:textId="77777777" w:rsidTr="00EA28C4">
        <w:trPr>
          <w:trHeight w:val="270"/>
        </w:trPr>
        <w:tc>
          <w:tcPr>
            <w:tcW w:w="1021" w:type="pct"/>
            <w:tcBorders>
              <w:top w:val="single" w:sz="4" w:space="0" w:color="auto"/>
            </w:tcBorders>
            <w:shd w:val="clear" w:color="000000" w:fill="FFFFFF"/>
            <w:vAlign w:val="center"/>
            <w:hideMark/>
          </w:tcPr>
          <w:p w14:paraId="7DE0CE33" w14:textId="77777777" w:rsidR="00874916" w:rsidRPr="002C524B" w:rsidRDefault="00874916" w:rsidP="00EA28C4">
            <w:pPr>
              <w:jc w:val="center"/>
              <w:rPr>
                <w:sz w:val="18"/>
                <w:szCs w:val="18"/>
              </w:rPr>
            </w:pPr>
            <w:r w:rsidRPr="002C524B">
              <w:rPr>
                <w:sz w:val="18"/>
                <w:szCs w:val="18"/>
              </w:rPr>
              <w:t>Kenya</w:t>
            </w:r>
          </w:p>
        </w:tc>
        <w:tc>
          <w:tcPr>
            <w:tcW w:w="645" w:type="pct"/>
            <w:tcBorders>
              <w:top w:val="single" w:sz="4" w:space="0" w:color="auto"/>
            </w:tcBorders>
            <w:shd w:val="clear" w:color="000000" w:fill="FFFFFF"/>
            <w:vAlign w:val="center"/>
            <w:hideMark/>
          </w:tcPr>
          <w:p w14:paraId="3453660D" w14:textId="77777777" w:rsidR="00874916" w:rsidRPr="002C524B" w:rsidRDefault="00874916" w:rsidP="00EA28C4">
            <w:pPr>
              <w:jc w:val="center"/>
              <w:rPr>
                <w:sz w:val="18"/>
                <w:szCs w:val="18"/>
              </w:rPr>
            </w:pPr>
            <w:r w:rsidRPr="002C524B">
              <w:rPr>
                <w:sz w:val="18"/>
                <w:szCs w:val="18"/>
              </w:rPr>
              <w:t>458.728</w:t>
            </w:r>
          </w:p>
        </w:tc>
        <w:tc>
          <w:tcPr>
            <w:tcW w:w="833" w:type="pct"/>
            <w:tcBorders>
              <w:top w:val="single" w:sz="4" w:space="0" w:color="auto"/>
              <w:right w:val="single" w:sz="4" w:space="0" w:color="auto"/>
            </w:tcBorders>
            <w:shd w:val="clear" w:color="000000" w:fill="FFFFFF"/>
            <w:vAlign w:val="center"/>
            <w:hideMark/>
          </w:tcPr>
          <w:p w14:paraId="7E7ECD5F" w14:textId="77777777" w:rsidR="00874916" w:rsidRPr="002C524B" w:rsidRDefault="00874916" w:rsidP="00EA28C4">
            <w:pPr>
              <w:jc w:val="center"/>
              <w:rPr>
                <w:sz w:val="18"/>
                <w:szCs w:val="18"/>
              </w:rPr>
            </w:pPr>
            <w:r w:rsidRPr="002C524B">
              <w:rPr>
                <w:sz w:val="18"/>
                <w:szCs w:val="18"/>
              </w:rPr>
              <w:t>21.60%</w:t>
            </w:r>
          </w:p>
        </w:tc>
        <w:tc>
          <w:tcPr>
            <w:tcW w:w="833" w:type="pct"/>
            <w:tcBorders>
              <w:top w:val="single" w:sz="4" w:space="0" w:color="auto"/>
              <w:left w:val="single" w:sz="4" w:space="0" w:color="auto"/>
            </w:tcBorders>
            <w:shd w:val="clear" w:color="000000" w:fill="FFFFFF"/>
            <w:vAlign w:val="center"/>
            <w:hideMark/>
          </w:tcPr>
          <w:p w14:paraId="6199AEBE" w14:textId="77777777" w:rsidR="00874916" w:rsidRPr="002C524B" w:rsidRDefault="00874916" w:rsidP="00EA28C4">
            <w:pPr>
              <w:jc w:val="center"/>
              <w:rPr>
                <w:sz w:val="18"/>
                <w:szCs w:val="18"/>
              </w:rPr>
            </w:pPr>
            <w:r w:rsidRPr="002C524B">
              <w:rPr>
                <w:sz w:val="18"/>
                <w:szCs w:val="18"/>
              </w:rPr>
              <w:t>Kenya</w:t>
            </w:r>
          </w:p>
        </w:tc>
        <w:tc>
          <w:tcPr>
            <w:tcW w:w="833" w:type="pct"/>
            <w:tcBorders>
              <w:top w:val="single" w:sz="4" w:space="0" w:color="auto"/>
            </w:tcBorders>
            <w:shd w:val="clear" w:color="000000" w:fill="FFFFFF"/>
            <w:vAlign w:val="center"/>
            <w:hideMark/>
          </w:tcPr>
          <w:p w14:paraId="5FD1AB54" w14:textId="77777777" w:rsidR="00874916" w:rsidRPr="002C524B" w:rsidRDefault="00874916" w:rsidP="00EA28C4">
            <w:pPr>
              <w:jc w:val="center"/>
              <w:rPr>
                <w:sz w:val="18"/>
                <w:szCs w:val="18"/>
              </w:rPr>
            </w:pPr>
            <w:r w:rsidRPr="002C524B">
              <w:rPr>
                <w:sz w:val="18"/>
                <w:szCs w:val="18"/>
              </w:rPr>
              <w:t>410.039</w:t>
            </w:r>
          </w:p>
        </w:tc>
        <w:tc>
          <w:tcPr>
            <w:tcW w:w="833" w:type="pct"/>
            <w:tcBorders>
              <w:top w:val="single" w:sz="4" w:space="0" w:color="auto"/>
            </w:tcBorders>
            <w:shd w:val="clear" w:color="000000" w:fill="FFFFFF"/>
            <w:vAlign w:val="center"/>
            <w:hideMark/>
          </w:tcPr>
          <w:p w14:paraId="09A69C79" w14:textId="77777777" w:rsidR="00874916" w:rsidRPr="002C524B" w:rsidRDefault="00874916" w:rsidP="00EA28C4">
            <w:pPr>
              <w:jc w:val="center"/>
              <w:rPr>
                <w:sz w:val="18"/>
                <w:szCs w:val="18"/>
              </w:rPr>
            </w:pPr>
            <w:r w:rsidRPr="002C524B">
              <w:rPr>
                <w:sz w:val="18"/>
                <w:szCs w:val="18"/>
              </w:rPr>
              <w:t>20.52%</w:t>
            </w:r>
          </w:p>
        </w:tc>
      </w:tr>
      <w:tr w:rsidR="00874916" w:rsidRPr="002C524B" w14:paraId="1284A2A6" w14:textId="77777777" w:rsidTr="00EA28C4">
        <w:trPr>
          <w:trHeight w:val="270"/>
        </w:trPr>
        <w:tc>
          <w:tcPr>
            <w:tcW w:w="1021" w:type="pct"/>
            <w:shd w:val="clear" w:color="000000" w:fill="FFFFFF"/>
            <w:vAlign w:val="center"/>
            <w:hideMark/>
          </w:tcPr>
          <w:p w14:paraId="7F78AD30" w14:textId="77777777" w:rsidR="00874916" w:rsidRPr="002C524B" w:rsidRDefault="00874916" w:rsidP="00EA28C4">
            <w:pPr>
              <w:jc w:val="center"/>
              <w:rPr>
                <w:sz w:val="18"/>
                <w:szCs w:val="18"/>
              </w:rPr>
            </w:pPr>
            <w:r w:rsidRPr="002C524B">
              <w:rPr>
                <w:sz w:val="18"/>
                <w:szCs w:val="18"/>
              </w:rPr>
              <w:t>Sri Lanka</w:t>
            </w:r>
          </w:p>
        </w:tc>
        <w:tc>
          <w:tcPr>
            <w:tcW w:w="645" w:type="pct"/>
            <w:shd w:val="clear" w:color="000000" w:fill="FFFFFF"/>
            <w:vAlign w:val="center"/>
            <w:hideMark/>
          </w:tcPr>
          <w:p w14:paraId="5398F3DC" w14:textId="77777777" w:rsidR="00874916" w:rsidRPr="002C524B" w:rsidRDefault="00874916" w:rsidP="00EA28C4">
            <w:pPr>
              <w:jc w:val="center"/>
              <w:rPr>
                <w:sz w:val="18"/>
                <w:szCs w:val="18"/>
              </w:rPr>
            </w:pPr>
            <w:r w:rsidRPr="002C524B">
              <w:rPr>
                <w:sz w:val="18"/>
                <w:szCs w:val="18"/>
              </w:rPr>
              <w:t>325.141</w:t>
            </w:r>
          </w:p>
        </w:tc>
        <w:tc>
          <w:tcPr>
            <w:tcW w:w="833" w:type="pct"/>
            <w:tcBorders>
              <w:right w:val="single" w:sz="4" w:space="0" w:color="auto"/>
            </w:tcBorders>
            <w:shd w:val="clear" w:color="000000" w:fill="FFFFFF"/>
            <w:vAlign w:val="center"/>
            <w:hideMark/>
          </w:tcPr>
          <w:p w14:paraId="2DD02EA4" w14:textId="77777777" w:rsidR="00874916" w:rsidRPr="002C524B" w:rsidRDefault="00874916" w:rsidP="00EA28C4">
            <w:pPr>
              <w:jc w:val="center"/>
              <w:rPr>
                <w:sz w:val="18"/>
                <w:szCs w:val="18"/>
              </w:rPr>
            </w:pPr>
            <w:r w:rsidRPr="002C524B">
              <w:rPr>
                <w:sz w:val="18"/>
                <w:szCs w:val="18"/>
              </w:rPr>
              <w:t>15.31%</w:t>
            </w:r>
          </w:p>
        </w:tc>
        <w:tc>
          <w:tcPr>
            <w:tcW w:w="833" w:type="pct"/>
            <w:tcBorders>
              <w:left w:val="single" w:sz="4" w:space="0" w:color="auto"/>
            </w:tcBorders>
            <w:shd w:val="clear" w:color="000000" w:fill="FFFFFF"/>
            <w:vAlign w:val="center"/>
            <w:hideMark/>
          </w:tcPr>
          <w:p w14:paraId="269A1CC0" w14:textId="77777777" w:rsidR="00874916" w:rsidRPr="002C524B" w:rsidRDefault="00874916" w:rsidP="00EA28C4">
            <w:pPr>
              <w:jc w:val="center"/>
              <w:rPr>
                <w:sz w:val="18"/>
                <w:szCs w:val="18"/>
              </w:rPr>
            </w:pPr>
            <w:r w:rsidRPr="002C524B">
              <w:rPr>
                <w:sz w:val="18"/>
                <w:szCs w:val="18"/>
              </w:rPr>
              <w:t>China</w:t>
            </w:r>
          </w:p>
        </w:tc>
        <w:tc>
          <w:tcPr>
            <w:tcW w:w="833" w:type="pct"/>
            <w:shd w:val="clear" w:color="000000" w:fill="FFFFFF"/>
            <w:vAlign w:val="center"/>
            <w:hideMark/>
          </w:tcPr>
          <w:p w14:paraId="014DBD0F" w14:textId="77777777" w:rsidR="00874916" w:rsidRPr="002C524B" w:rsidRDefault="00874916" w:rsidP="00EA28C4">
            <w:pPr>
              <w:jc w:val="center"/>
              <w:rPr>
                <w:sz w:val="18"/>
                <w:szCs w:val="18"/>
              </w:rPr>
            </w:pPr>
            <w:r w:rsidRPr="002C524B">
              <w:rPr>
                <w:sz w:val="18"/>
                <w:szCs w:val="18"/>
              </w:rPr>
              <w:t>324.949</w:t>
            </w:r>
          </w:p>
        </w:tc>
        <w:tc>
          <w:tcPr>
            <w:tcW w:w="833" w:type="pct"/>
            <w:shd w:val="clear" w:color="000000" w:fill="FFFFFF"/>
            <w:vAlign w:val="center"/>
            <w:hideMark/>
          </w:tcPr>
          <w:p w14:paraId="1E5A8A9E" w14:textId="77777777" w:rsidR="00874916" w:rsidRPr="002C524B" w:rsidRDefault="00874916" w:rsidP="00EA28C4">
            <w:pPr>
              <w:jc w:val="center"/>
              <w:rPr>
                <w:sz w:val="18"/>
                <w:szCs w:val="18"/>
              </w:rPr>
            </w:pPr>
            <w:r w:rsidRPr="002C524B">
              <w:rPr>
                <w:sz w:val="18"/>
                <w:szCs w:val="18"/>
              </w:rPr>
              <w:t>16.26%</w:t>
            </w:r>
          </w:p>
        </w:tc>
      </w:tr>
      <w:tr w:rsidR="00874916" w:rsidRPr="002C524B" w14:paraId="707380C8" w14:textId="77777777" w:rsidTr="00EA28C4">
        <w:trPr>
          <w:trHeight w:val="270"/>
        </w:trPr>
        <w:tc>
          <w:tcPr>
            <w:tcW w:w="1021" w:type="pct"/>
            <w:shd w:val="clear" w:color="000000" w:fill="FFFFFF"/>
            <w:vAlign w:val="center"/>
            <w:hideMark/>
          </w:tcPr>
          <w:p w14:paraId="056071B8" w14:textId="77777777" w:rsidR="00874916" w:rsidRPr="002C524B" w:rsidRDefault="00874916" w:rsidP="00EA28C4">
            <w:pPr>
              <w:jc w:val="center"/>
              <w:rPr>
                <w:sz w:val="18"/>
                <w:szCs w:val="18"/>
              </w:rPr>
            </w:pPr>
            <w:r w:rsidRPr="002C524B">
              <w:rPr>
                <w:sz w:val="18"/>
                <w:szCs w:val="18"/>
              </w:rPr>
              <w:t>China</w:t>
            </w:r>
          </w:p>
        </w:tc>
        <w:tc>
          <w:tcPr>
            <w:tcW w:w="645" w:type="pct"/>
            <w:shd w:val="clear" w:color="000000" w:fill="FFFFFF"/>
            <w:vAlign w:val="center"/>
            <w:hideMark/>
          </w:tcPr>
          <w:p w14:paraId="5FF74C89" w14:textId="77777777" w:rsidR="00874916" w:rsidRPr="002C524B" w:rsidRDefault="00874916" w:rsidP="00EA28C4">
            <w:pPr>
              <w:jc w:val="center"/>
              <w:rPr>
                <w:sz w:val="18"/>
                <w:szCs w:val="18"/>
              </w:rPr>
            </w:pPr>
            <w:r w:rsidRPr="002C524B">
              <w:rPr>
                <w:sz w:val="18"/>
                <w:szCs w:val="18"/>
              </w:rPr>
              <w:t>301.484</w:t>
            </w:r>
          </w:p>
        </w:tc>
        <w:tc>
          <w:tcPr>
            <w:tcW w:w="833" w:type="pct"/>
            <w:tcBorders>
              <w:right w:val="single" w:sz="4" w:space="0" w:color="auto"/>
            </w:tcBorders>
            <w:shd w:val="clear" w:color="000000" w:fill="FFFFFF"/>
            <w:vAlign w:val="center"/>
            <w:hideMark/>
          </w:tcPr>
          <w:p w14:paraId="2D401E2B" w14:textId="77777777" w:rsidR="00874916" w:rsidRPr="002C524B" w:rsidRDefault="00874916" w:rsidP="00EA28C4">
            <w:pPr>
              <w:jc w:val="center"/>
              <w:rPr>
                <w:sz w:val="18"/>
                <w:szCs w:val="18"/>
              </w:rPr>
            </w:pPr>
            <w:r w:rsidRPr="002C524B">
              <w:rPr>
                <w:sz w:val="18"/>
                <w:szCs w:val="18"/>
              </w:rPr>
              <w:t>14.20%</w:t>
            </w:r>
          </w:p>
        </w:tc>
        <w:tc>
          <w:tcPr>
            <w:tcW w:w="833" w:type="pct"/>
            <w:tcBorders>
              <w:left w:val="single" w:sz="4" w:space="0" w:color="auto"/>
            </w:tcBorders>
            <w:shd w:val="clear" w:color="000000" w:fill="FFFFFF"/>
            <w:vAlign w:val="center"/>
            <w:hideMark/>
          </w:tcPr>
          <w:p w14:paraId="0FD2131E" w14:textId="77777777" w:rsidR="00874916" w:rsidRPr="002C524B" w:rsidRDefault="00874916" w:rsidP="00EA28C4">
            <w:pPr>
              <w:jc w:val="center"/>
              <w:rPr>
                <w:sz w:val="18"/>
                <w:szCs w:val="18"/>
              </w:rPr>
            </w:pPr>
            <w:r w:rsidRPr="002C524B">
              <w:rPr>
                <w:sz w:val="18"/>
                <w:szCs w:val="18"/>
              </w:rPr>
              <w:t>Sri Lanka</w:t>
            </w:r>
          </w:p>
        </w:tc>
        <w:tc>
          <w:tcPr>
            <w:tcW w:w="833" w:type="pct"/>
            <w:shd w:val="clear" w:color="000000" w:fill="FFFFFF"/>
            <w:vAlign w:val="center"/>
            <w:hideMark/>
          </w:tcPr>
          <w:p w14:paraId="093421EB" w14:textId="77777777" w:rsidR="00874916" w:rsidRPr="002C524B" w:rsidRDefault="00874916" w:rsidP="00EA28C4">
            <w:pPr>
              <w:jc w:val="center"/>
              <w:rPr>
                <w:sz w:val="18"/>
                <w:szCs w:val="18"/>
              </w:rPr>
            </w:pPr>
            <w:r w:rsidRPr="002C524B">
              <w:rPr>
                <w:sz w:val="18"/>
                <w:szCs w:val="18"/>
              </w:rPr>
              <w:t>304.835</w:t>
            </w:r>
          </w:p>
        </w:tc>
        <w:tc>
          <w:tcPr>
            <w:tcW w:w="833" w:type="pct"/>
            <w:shd w:val="clear" w:color="000000" w:fill="FFFFFF"/>
            <w:vAlign w:val="center"/>
            <w:hideMark/>
          </w:tcPr>
          <w:p w14:paraId="3005FACE" w14:textId="77777777" w:rsidR="00874916" w:rsidRPr="002C524B" w:rsidRDefault="00874916" w:rsidP="00EA28C4">
            <w:pPr>
              <w:jc w:val="center"/>
              <w:rPr>
                <w:sz w:val="18"/>
                <w:szCs w:val="18"/>
              </w:rPr>
            </w:pPr>
            <w:r w:rsidRPr="002C524B">
              <w:rPr>
                <w:sz w:val="18"/>
                <w:szCs w:val="18"/>
              </w:rPr>
              <w:t>15.25%</w:t>
            </w:r>
          </w:p>
        </w:tc>
      </w:tr>
      <w:tr w:rsidR="00874916" w:rsidRPr="002C524B" w14:paraId="26DFC4DC" w14:textId="77777777" w:rsidTr="00EA28C4">
        <w:trPr>
          <w:trHeight w:val="270"/>
        </w:trPr>
        <w:tc>
          <w:tcPr>
            <w:tcW w:w="1021" w:type="pct"/>
            <w:shd w:val="clear" w:color="000000" w:fill="FFFFFF"/>
            <w:vAlign w:val="center"/>
            <w:hideMark/>
          </w:tcPr>
          <w:p w14:paraId="1A207198" w14:textId="77777777" w:rsidR="00874916" w:rsidRPr="002C524B" w:rsidRDefault="00874916" w:rsidP="00EA28C4">
            <w:pPr>
              <w:jc w:val="center"/>
              <w:rPr>
                <w:sz w:val="18"/>
                <w:szCs w:val="18"/>
              </w:rPr>
            </w:pPr>
            <w:r w:rsidRPr="002C524B">
              <w:rPr>
                <w:sz w:val="18"/>
                <w:szCs w:val="18"/>
              </w:rPr>
              <w:t>India</w:t>
            </w:r>
          </w:p>
        </w:tc>
        <w:tc>
          <w:tcPr>
            <w:tcW w:w="645" w:type="pct"/>
            <w:shd w:val="clear" w:color="000000" w:fill="FFFFFF"/>
            <w:vAlign w:val="center"/>
            <w:hideMark/>
          </w:tcPr>
          <w:p w14:paraId="69B28E49" w14:textId="77777777" w:rsidR="00874916" w:rsidRPr="002C524B" w:rsidRDefault="00874916" w:rsidP="00EA28C4">
            <w:pPr>
              <w:jc w:val="center"/>
              <w:rPr>
                <w:sz w:val="18"/>
                <w:szCs w:val="18"/>
              </w:rPr>
            </w:pPr>
            <w:r w:rsidRPr="002C524B">
              <w:rPr>
                <w:sz w:val="18"/>
                <w:szCs w:val="18"/>
              </w:rPr>
              <w:t>212.606</w:t>
            </w:r>
          </w:p>
        </w:tc>
        <w:tc>
          <w:tcPr>
            <w:tcW w:w="833" w:type="pct"/>
            <w:tcBorders>
              <w:right w:val="single" w:sz="4" w:space="0" w:color="auto"/>
            </w:tcBorders>
            <w:shd w:val="clear" w:color="000000" w:fill="FFFFFF"/>
            <w:vAlign w:val="center"/>
            <w:hideMark/>
          </w:tcPr>
          <w:p w14:paraId="02097DF6" w14:textId="77777777" w:rsidR="00874916" w:rsidRPr="002C524B" w:rsidRDefault="00874916" w:rsidP="00EA28C4">
            <w:pPr>
              <w:jc w:val="center"/>
              <w:rPr>
                <w:sz w:val="18"/>
                <w:szCs w:val="18"/>
              </w:rPr>
            </w:pPr>
            <w:r w:rsidRPr="002C524B">
              <w:rPr>
                <w:sz w:val="18"/>
                <w:szCs w:val="18"/>
              </w:rPr>
              <w:t>10.01%</w:t>
            </w:r>
          </w:p>
        </w:tc>
        <w:tc>
          <w:tcPr>
            <w:tcW w:w="833" w:type="pct"/>
            <w:tcBorders>
              <w:left w:val="single" w:sz="4" w:space="0" w:color="auto"/>
            </w:tcBorders>
            <w:shd w:val="clear" w:color="000000" w:fill="FFFFFF"/>
            <w:vAlign w:val="center"/>
            <w:hideMark/>
          </w:tcPr>
          <w:p w14:paraId="4131E803" w14:textId="77777777" w:rsidR="00874916" w:rsidRPr="002C524B" w:rsidRDefault="00874916" w:rsidP="00EA28C4">
            <w:pPr>
              <w:jc w:val="center"/>
              <w:rPr>
                <w:sz w:val="18"/>
                <w:szCs w:val="18"/>
              </w:rPr>
            </w:pPr>
            <w:r w:rsidRPr="002C524B">
              <w:rPr>
                <w:sz w:val="18"/>
                <w:szCs w:val="18"/>
              </w:rPr>
              <w:t>India</w:t>
            </w:r>
          </w:p>
        </w:tc>
        <w:tc>
          <w:tcPr>
            <w:tcW w:w="833" w:type="pct"/>
            <w:shd w:val="clear" w:color="000000" w:fill="FFFFFF"/>
            <w:vAlign w:val="center"/>
            <w:hideMark/>
          </w:tcPr>
          <w:p w14:paraId="329E83EC" w14:textId="77777777" w:rsidR="00874916" w:rsidRPr="002C524B" w:rsidRDefault="00874916" w:rsidP="00EA28C4">
            <w:pPr>
              <w:jc w:val="center"/>
              <w:rPr>
                <w:sz w:val="18"/>
                <w:szCs w:val="18"/>
              </w:rPr>
            </w:pPr>
            <w:r w:rsidRPr="002C524B">
              <w:rPr>
                <w:sz w:val="18"/>
                <w:szCs w:val="18"/>
              </w:rPr>
              <w:t>235.132</w:t>
            </w:r>
          </w:p>
        </w:tc>
        <w:tc>
          <w:tcPr>
            <w:tcW w:w="833" w:type="pct"/>
            <w:shd w:val="clear" w:color="000000" w:fill="FFFFFF"/>
            <w:vAlign w:val="center"/>
            <w:hideMark/>
          </w:tcPr>
          <w:p w14:paraId="0637D47F" w14:textId="77777777" w:rsidR="00874916" w:rsidRPr="002C524B" w:rsidRDefault="00874916" w:rsidP="00EA28C4">
            <w:pPr>
              <w:jc w:val="center"/>
              <w:rPr>
                <w:sz w:val="18"/>
                <w:szCs w:val="18"/>
              </w:rPr>
            </w:pPr>
            <w:r w:rsidRPr="002C524B">
              <w:rPr>
                <w:sz w:val="18"/>
                <w:szCs w:val="18"/>
              </w:rPr>
              <w:t>11.77%</w:t>
            </w:r>
          </w:p>
        </w:tc>
      </w:tr>
      <w:tr w:rsidR="00874916" w:rsidRPr="002C524B" w14:paraId="16D67846" w14:textId="77777777" w:rsidTr="00EA28C4">
        <w:trPr>
          <w:trHeight w:val="270"/>
        </w:trPr>
        <w:tc>
          <w:tcPr>
            <w:tcW w:w="1021" w:type="pct"/>
            <w:shd w:val="clear" w:color="000000" w:fill="FFFFFF"/>
            <w:vAlign w:val="center"/>
            <w:hideMark/>
          </w:tcPr>
          <w:p w14:paraId="718FF2A7" w14:textId="77777777" w:rsidR="00874916" w:rsidRPr="002C524B" w:rsidRDefault="00874916" w:rsidP="00EA28C4">
            <w:pPr>
              <w:jc w:val="center"/>
              <w:rPr>
                <w:sz w:val="18"/>
                <w:szCs w:val="18"/>
              </w:rPr>
            </w:pPr>
            <w:r w:rsidRPr="002C524B">
              <w:rPr>
                <w:sz w:val="18"/>
                <w:szCs w:val="18"/>
              </w:rPr>
              <w:t>Viet Nam</w:t>
            </w:r>
          </w:p>
        </w:tc>
        <w:tc>
          <w:tcPr>
            <w:tcW w:w="645" w:type="pct"/>
            <w:shd w:val="clear" w:color="000000" w:fill="FFFFFF"/>
            <w:vAlign w:val="center"/>
            <w:hideMark/>
          </w:tcPr>
          <w:p w14:paraId="3A5CDC7E" w14:textId="77777777" w:rsidR="00874916" w:rsidRPr="002C524B" w:rsidRDefault="00874916" w:rsidP="00EA28C4">
            <w:pPr>
              <w:jc w:val="center"/>
              <w:rPr>
                <w:sz w:val="18"/>
                <w:szCs w:val="18"/>
              </w:rPr>
            </w:pPr>
            <w:r w:rsidRPr="002C524B">
              <w:rPr>
                <w:sz w:val="18"/>
                <w:szCs w:val="18"/>
              </w:rPr>
              <w:t>132.252</w:t>
            </w:r>
          </w:p>
        </w:tc>
        <w:tc>
          <w:tcPr>
            <w:tcW w:w="833" w:type="pct"/>
            <w:tcBorders>
              <w:right w:val="single" w:sz="4" w:space="0" w:color="auto"/>
            </w:tcBorders>
            <w:shd w:val="clear" w:color="000000" w:fill="FFFFFF"/>
            <w:vAlign w:val="center"/>
            <w:hideMark/>
          </w:tcPr>
          <w:p w14:paraId="17838FF0" w14:textId="77777777" w:rsidR="00874916" w:rsidRPr="002C524B" w:rsidRDefault="00874916" w:rsidP="00EA28C4">
            <w:pPr>
              <w:jc w:val="center"/>
              <w:rPr>
                <w:sz w:val="18"/>
                <w:szCs w:val="18"/>
              </w:rPr>
            </w:pPr>
            <w:r w:rsidRPr="002C524B">
              <w:rPr>
                <w:sz w:val="18"/>
                <w:szCs w:val="18"/>
              </w:rPr>
              <w:t>6.23%</w:t>
            </w:r>
          </w:p>
        </w:tc>
        <w:tc>
          <w:tcPr>
            <w:tcW w:w="833" w:type="pct"/>
            <w:tcBorders>
              <w:left w:val="single" w:sz="4" w:space="0" w:color="auto"/>
            </w:tcBorders>
            <w:shd w:val="clear" w:color="000000" w:fill="FFFFFF"/>
            <w:vAlign w:val="center"/>
            <w:hideMark/>
          </w:tcPr>
          <w:p w14:paraId="2D35AC93" w14:textId="77777777" w:rsidR="00874916" w:rsidRPr="002C524B" w:rsidRDefault="00874916" w:rsidP="00EA28C4">
            <w:pPr>
              <w:jc w:val="center"/>
              <w:rPr>
                <w:sz w:val="18"/>
                <w:szCs w:val="18"/>
              </w:rPr>
            </w:pPr>
            <w:r w:rsidRPr="002C524B">
              <w:rPr>
                <w:sz w:val="18"/>
                <w:szCs w:val="18"/>
              </w:rPr>
              <w:t>Viet Nam</w:t>
            </w:r>
          </w:p>
        </w:tc>
        <w:tc>
          <w:tcPr>
            <w:tcW w:w="833" w:type="pct"/>
            <w:shd w:val="clear" w:color="000000" w:fill="FFFFFF"/>
            <w:vAlign w:val="center"/>
            <w:hideMark/>
          </w:tcPr>
          <w:p w14:paraId="7F2A5AB1" w14:textId="77777777" w:rsidR="00874916" w:rsidRPr="002C524B" w:rsidRDefault="00874916" w:rsidP="00EA28C4">
            <w:pPr>
              <w:jc w:val="center"/>
              <w:rPr>
                <w:sz w:val="18"/>
                <w:szCs w:val="18"/>
              </w:rPr>
            </w:pPr>
            <w:r w:rsidRPr="002C524B">
              <w:rPr>
                <w:sz w:val="18"/>
                <w:szCs w:val="18"/>
              </w:rPr>
              <w:t>125.186</w:t>
            </w:r>
          </w:p>
        </w:tc>
        <w:tc>
          <w:tcPr>
            <w:tcW w:w="833" w:type="pct"/>
            <w:shd w:val="clear" w:color="000000" w:fill="FFFFFF"/>
            <w:vAlign w:val="center"/>
            <w:hideMark/>
          </w:tcPr>
          <w:p w14:paraId="16E62998" w14:textId="77777777" w:rsidR="00874916" w:rsidRPr="002C524B" w:rsidRDefault="00874916" w:rsidP="00EA28C4">
            <w:pPr>
              <w:jc w:val="center"/>
              <w:rPr>
                <w:sz w:val="18"/>
                <w:szCs w:val="18"/>
              </w:rPr>
            </w:pPr>
            <w:r w:rsidRPr="002C524B">
              <w:rPr>
                <w:sz w:val="18"/>
                <w:szCs w:val="18"/>
              </w:rPr>
              <w:t>6.26%</w:t>
            </w:r>
          </w:p>
        </w:tc>
      </w:tr>
      <w:tr w:rsidR="00874916" w:rsidRPr="002C524B" w14:paraId="68239AC9" w14:textId="77777777" w:rsidTr="00EA28C4">
        <w:trPr>
          <w:trHeight w:val="270"/>
        </w:trPr>
        <w:tc>
          <w:tcPr>
            <w:tcW w:w="1021" w:type="pct"/>
            <w:shd w:val="clear" w:color="000000" w:fill="FFFFFF"/>
            <w:vAlign w:val="center"/>
            <w:hideMark/>
          </w:tcPr>
          <w:p w14:paraId="3CD0D6EB" w14:textId="77777777" w:rsidR="00874916" w:rsidRPr="002C524B" w:rsidRDefault="00874916" w:rsidP="00EA28C4">
            <w:pPr>
              <w:jc w:val="center"/>
              <w:rPr>
                <w:sz w:val="18"/>
                <w:szCs w:val="18"/>
              </w:rPr>
            </w:pPr>
            <w:r w:rsidRPr="002C524B">
              <w:rPr>
                <w:sz w:val="18"/>
                <w:szCs w:val="18"/>
              </w:rPr>
              <w:t>Argentina</w:t>
            </w:r>
          </w:p>
        </w:tc>
        <w:tc>
          <w:tcPr>
            <w:tcW w:w="645" w:type="pct"/>
            <w:shd w:val="clear" w:color="000000" w:fill="FFFFFF"/>
            <w:vAlign w:val="center"/>
            <w:hideMark/>
          </w:tcPr>
          <w:p w14:paraId="32D1C5C5" w14:textId="77777777" w:rsidR="00874916" w:rsidRPr="002C524B" w:rsidRDefault="00874916" w:rsidP="00EA28C4">
            <w:pPr>
              <w:jc w:val="center"/>
              <w:rPr>
                <w:sz w:val="18"/>
                <w:szCs w:val="18"/>
              </w:rPr>
            </w:pPr>
            <w:r w:rsidRPr="002C524B">
              <w:rPr>
                <w:sz w:val="18"/>
                <w:szCs w:val="18"/>
              </w:rPr>
              <w:t>76.892</w:t>
            </w:r>
          </w:p>
        </w:tc>
        <w:tc>
          <w:tcPr>
            <w:tcW w:w="833" w:type="pct"/>
            <w:tcBorders>
              <w:right w:val="single" w:sz="4" w:space="0" w:color="auto"/>
            </w:tcBorders>
            <w:shd w:val="clear" w:color="000000" w:fill="FFFFFF"/>
            <w:vAlign w:val="center"/>
            <w:hideMark/>
          </w:tcPr>
          <w:p w14:paraId="349CEC96" w14:textId="77777777" w:rsidR="00874916" w:rsidRPr="002C524B" w:rsidRDefault="00874916" w:rsidP="00EA28C4">
            <w:pPr>
              <w:jc w:val="center"/>
              <w:rPr>
                <w:sz w:val="18"/>
                <w:szCs w:val="18"/>
              </w:rPr>
            </w:pPr>
            <w:r w:rsidRPr="002C524B">
              <w:rPr>
                <w:sz w:val="18"/>
                <w:szCs w:val="18"/>
              </w:rPr>
              <w:t>3.62%</w:t>
            </w:r>
          </w:p>
        </w:tc>
        <w:tc>
          <w:tcPr>
            <w:tcW w:w="833" w:type="pct"/>
            <w:tcBorders>
              <w:left w:val="single" w:sz="4" w:space="0" w:color="auto"/>
            </w:tcBorders>
            <w:shd w:val="clear" w:color="000000" w:fill="FFFFFF"/>
            <w:vAlign w:val="center"/>
            <w:hideMark/>
          </w:tcPr>
          <w:p w14:paraId="032CFE0E" w14:textId="77777777" w:rsidR="00874916" w:rsidRPr="002C524B" w:rsidRDefault="00874916" w:rsidP="00EA28C4">
            <w:pPr>
              <w:jc w:val="center"/>
              <w:rPr>
                <w:sz w:val="18"/>
                <w:szCs w:val="18"/>
              </w:rPr>
            </w:pPr>
            <w:r w:rsidRPr="002C524B">
              <w:rPr>
                <w:sz w:val="18"/>
                <w:szCs w:val="18"/>
              </w:rPr>
              <w:t>Argentina</w:t>
            </w:r>
          </w:p>
        </w:tc>
        <w:tc>
          <w:tcPr>
            <w:tcW w:w="833" w:type="pct"/>
            <w:shd w:val="clear" w:color="000000" w:fill="FFFFFF"/>
            <w:vAlign w:val="center"/>
            <w:hideMark/>
          </w:tcPr>
          <w:p w14:paraId="701AFE1B" w14:textId="77777777" w:rsidR="00874916" w:rsidRPr="002C524B" w:rsidRDefault="00874916" w:rsidP="00EA28C4">
            <w:pPr>
              <w:jc w:val="center"/>
              <w:rPr>
                <w:sz w:val="18"/>
                <w:szCs w:val="18"/>
              </w:rPr>
            </w:pPr>
            <w:r w:rsidRPr="002C524B">
              <w:rPr>
                <w:sz w:val="18"/>
                <w:szCs w:val="18"/>
              </w:rPr>
              <w:t>76.029</w:t>
            </w:r>
          </w:p>
        </w:tc>
        <w:tc>
          <w:tcPr>
            <w:tcW w:w="833" w:type="pct"/>
            <w:shd w:val="clear" w:color="000000" w:fill="FFFFFF"/>
            <w:vAlign w:val="center"/>
            <w:hideMark/>
          </w:tcPr>
          <w:p w14:paraId="5693334B" w14:textId="77777777" w:rsidR="00874916" w:rsidRPr="002C524B" w:rsidRDefault="00874916" w:rsidP="00EA28C4">
            <w:pPr>
              <w:jc w:val="center"/>
              <w:rPr>
                <w:sz w:val="18"/>
                <w:szCs w:val="18"/>
              </w:rPr>
            </w:pPr>
            <w:r w:rsidRPr="002C524B">
              <w:rPr>
                <w:sz w:val="18"/>
                <w:szCs w:val="18"/>
              </w:rPr>
              <w:t>3.80%</w:t>
            </w:r>
          </w:p>
        </w:tc>
      </w:tr>
      <w:tr w:rsidR="00874916" w:rsidRPr="002C524B" w14:paraId="7B39A07B" w14:textId="77777777" w:rsidTr="00EA28C4">
        <w:trPr>
          <w:trHeight w:val="279"/>
        </w:trPr>
        <w:tc>
          <w:tcPr>
            <w:tcW w:w="1021" w:type="pct"/>
            <w:shd w:val="clear" w:color="000000" w:fill="FFFFFF"/>
            <w:vAlign w:val="center"/>
            <w:hideMark/>
          </w:tcPr>
          <w:p w14:paraId="38F6095B" w14:textId="77777777" w:rsidR="00874916" w:rsidRPr="002C524B" w:rsidRDefault="00874916" w:rsidP="00EA28C4">
            <w:pPr>
              <w:jc w:val="center"/>
              <w:rPr>
                <w:sz w:val="18"/>
                <w:szCs w:val="18"/>
              </w:rPr>
            </w:pPr>
            <w:r w:rsidRPr="002C524B">
              <w:rPr>
                <w:sz w:val="18"/>
                <w:szCs w:val="18"/>
              </w:rPr>
              <w:t>United Arab Emirates</w:t>
            </w:r>
          </w:p>
        </w:tc>
        <w:tc>
          <w:tcPr>
            <w:tcW w:w="645" w:type="pct"/>
            <w:shd w:val="clear" w:color="000000" w:fill="FFFFFF"/>
            <w:vAlign w:val="center"/>
            <w:hideMark/>
          </w:tcPr>
          <w:p w14:paraId="51D1B6F5" w14:textId="77777777" w:rsidR="00874916" w:rsidRPr="002C524B" w:rsidRDefault="00874916" w:rsidP="00EA28C4">
            <w:pPr>
              <w:jc w:val="center"/>
              <w:rPr>
                <w:sz w:val="18"/>
                <w:szCs w:val="18"/>
              </w:rPr>
            </w:pPr>
            <w:r w:rsidRPr="002C524B">
              <w:rPr>
                <w:sz w:val="18"/>
                <w:szCs w:val="18"/>
              </w:rPr>
              <w:t>71.342</w:t>
            </w:r>
          </w:p>
        </w:tc>
        <w:tc>
          <w:tcPr>
            <w:tcW w:w="833" w:type="pct"/>
            <w:tcBorders>
              <w:right w:val="single" w:sz="4" w:space="0" w:color="auto"/>
            </w:tcBorders>
            <w:shd w:val="clear" w:color="000000" w:fill="FFFFFF"/>
            <w:vAlign w:val="center"/>
            <w:hideMark/>
          </w:tcPr>
          <w:p w14:paraId="7564B91B" w14:textId="77777777" w:rsidR="00874916" w:rsidRPr="002C524B" w:rsidRDefault="00874916" w:rsidP="00EA28C4">
            <w:pPr>
              <w:jc w:val="center"/>
              <w:rPr>
                <w:sz w:val="18"/>
                <w:szCs w:val="18"/>
              </w:rPr>
            </w:pPr>
            <w:r w:rsidRPr="002C524B">
              <w:rPr>
                <w:sz w:val="18"/>
                <w:szCs w:val="18"/>
              </w:rPr>
              <w:t>3.36%</w:t>
            </w:r>
          </w:p>
        </w:tc>
        <w:tc>
          <w:tcPr>
            <w:tcW w:w="833" w:type="pct"/>
            <w:tcBorders>
              <w:left w:val="single" w:sz="4" w:space="0" w:color="auto"/>
            </w:tcBorders>
            <w:shd w:val="clear" w:color="000000" w:fill="FFFFFF"/>
            <w:vAlign w:val="center"/>
            <w:hideMark/>
          </w:tcPr>
          <w:p w14:paraId="341E346D" w14:textId="77777777" w:rsidR="00874916" w:rsidRPr="002C524B" w:rsidRDefault="00874916" w:rsidP="00EA28C4">
            <w:pPr>
              <w:jc w:val="center"/>
              <w:rPr>
                <w:sz w:val="18"/>
                <w:szCs w:val="18"/>
              </w:rPr>
            </w:pPr>
            <w:r w:rsidRPr="002C524B">
              <w:rPr>
                <w:sz w:val="18"/>
                <w:szCs w:val="18"/>
              </w:rPr>
              <w:t>Indonesia</w:t>
            </w:r>
          </w:p>
        </w:tc>
        <w:tc>
          <w:tcPr>
            <w:tcW w:w="833" w:type="pct"/>
            <w:shd w:val="clear" w:color="000000" w:fill="FFFFFF"/>
            <w:vAlign w:val="center"/>
            <w:hideMark/>
          </w:tcPr>
          <w:p w14:paraId="05CDF791" w14:textId="77777777" w:rsidR="00874916" w:rsidRPr="002C524B" w:rsidRDefault="00874916" w:rsidP="00EA28C4">
            <w:pPr>
              <w:jc w:val="center"/>
              <w:rPr>
                <w:sz w:val="18"/>
                <w:szCs w:val="18"/>
              </w:rPr>
            </w:pPr>
            <w:r w:rsidRPr="002C524B">
              <w:rPr>
                <w:sz w:val="18"/>
                <w:szCs w:val="18"/>
              </w:rPr>
              <w:t>61.915</w:t>
            </w:r>
          </w:p>
        </w:tc>
        <w:tc>
          <w:tcPr>
            <w:tcW w:w="833" w:type="pct"/>
            <w:shd w:val="clear" w:color="000000" w:fill="FFFFFF"/>
            <w:vAlign w:val="center"/>
            <w:hideMark/>
          </w:tcPr>
          <w:p w14:paraId="499F3178" w14:textId="77777777" w:rsidR="00874916" w:rsidRPr="002C524B" w:rsidRDefault="00874916" w:rsidP="00EA28C4">
            <w:pPr>
              <w:jc w:val="center"/>
              <w:rPr>
                <w:sz w:val="18"/>
                <w:szCs w:val="18"/>
              </w:rPr>
            </w:pPr>
            <w:r w:rsidRPr="002C524B">
              <w:rPr>
                <w:sz w:val="18"/>
                <w:szCs w:val="18"/>
              </w:rPr>
              <w:t>3.10%</w:t>
            </w:r>
          </w:p>
        </w:tc>
      </w:tr>
      <w:tr w:rsidR="00874916" w:rsidRPr="002C524B" w14:paraId="245408E2" w14:textId="77777777" w:rsidTr="00EA28C4">
        <w:trPr>
          <w:trHeight w:val="283"/>
        </w:trPr>
        <w:tc>
          <w:tcPr>
            <w:tcW w:w="1021" w:type="pct"/>
            <w:shd w:val="clear" w:color="000000" w:fill="FFFFFF"/>
            <w:vAlign w:val="center"/>
            <w:hideMark/>
          </w:tcPr>
          <w:p w14:paraId="6CCE915B" w14:textId="77777777" w:rsidR="00874916" w:rsidRPr="002C524B" w:rsidRDefault="00874916" w:rsidP="00EA28C4">
            <w:pPr>
              <w:jc w:val="center"/>
              <w:rPr>
                <w:sz w:val="18"/>
                <w:szCs w:val="18"/>
              </w:rPr>
            </w:pPr>
            <w:r w:rsidRPr="002C524B">
              <w:rPr>
                <w:sz w:val="18"/>
                <w:szCs w:val="18"/>
              </w:rPr>
              <w:t>Indonesia</w:t>
            </w:r>
          </w:p>
        </w:tc>
        <w:tc>
          <w:tcPr>
            <w:tcW w:w="645" w:type="pct"/>
            <w:shd w:val="clear" w:color="000000" w:fill="FFFFFF"/>
            <w:vAlign w:val="center"/>
            <w:hideMark/>
          </w:tcPr>
          <w:p w14:paraId="4BAB47DE" w14:textId="77777777" w:rsidR="00874916" w:rsidRPr="002C524B" w:rsidRDefault="00874916" w:rsidP="00EA28C4">
            <w:pPr>
              <w:jc w:val="center"/>
              <w:rPr>
                <w:sz w:val="18"/>
                <w:szCs w:val="18"/>
              </w:rPr>
            </w:pPr>
            <w:r w:rsidRPr="002C524B">
              <w:rPr>
                <w:sz w:val="18"/>
                <w:szCs w:val="18"/>
              </w:rPr>
              <w:t>66.399</w:t>
            </w:r>
          </w:p>
        </w:tc>
        <w:tc>
          <w:tcPr>
            <w:tcW w:w="833" w:type="pct"/>
            <w:tcBorders>
              <w:right w:val="single" w:sz="4" w:space="0" w:color="auto"/>
            </w:tcBorders>
            <w:shd w:val="clear" w:color="000000" w:fill="FFFFFF"/>
            <w:vAlign w:val="center"/>
            <w:hideMark/>
          </w:tcPr>
          <w:p w14:paraId="04F0FA93" w14:textId="77777777" w:rsidR="00874916" w:rsidRPr="002C524B" w:rsidRDefault="00874916" w:rsidP="00EA28C4">
            <w:pPr>
              <w:jc w:val="center"/>
              <w:rPr>
                <w:sz w:val="18"/>
                <w:szCs w:val="18"/>
              </w:rPr>
            </w:pPr>
            <w:r w:rsidRPr="002C524B">
              <w:rPr>
                <w:sz w:val="18"/>
                <w:szCs w:val="18"/>
              </w:rPr>
              <w:t>3.13%</w:t>
            </w:r>
          </w:p>
        </w:tc>
        <w:tc>
          <w:tcPr>
            <w:tcW w:w="833" w:type="pct"/>
            <w:tcBorders>
              <w:left w:val="single" w:sz="4" w:space="0" w:color="auto"/>
            </w:tcBorders>
            <w:shd w:val="clear" w:color="000000" w:fill="FFFFFF"/>
            <w:vAlign w:val="center"/>
            <w:hideMark/>
          </w:tcPr>
          <w:p w14:paraId="2BC99499" w14:textId="77777777" w:rsidR="00874916" w:rsidRPr="002C524B" w:rsidRDefault="00874916" w:rsidP="00EA28C4">
            <w:pPr>
              <w:jc w:val="center"/>
              <w:rPr>
                <w:sz w:val="18"/>
                <w:szCs w:val="18"/>
              </w:rPr>
            </w:pPr>
            <w:r w:rsidRPr="002C524B">
              <w:rPr>
                <w:sz w:val="18"/>
                <w:szCs w:val="18"/>
              </w:rPr>
              <w:t>Uganda</w:t>
            </w:r>
          </w:p>
        </w:tc>
        <w:tc>
          <w:tcPr>
            <w:tcW w:w="833" w:type="pct"/>
            <w:shd w:val="clear" w:color="000000" w:fill="FFFFFF"/>
            <w:vAlign w:val="center"/>
            <w:hideMark/>
          </w:tcPr>
          <w:p w14:paraId="6F567816" w14:textId="77777777" w:rsidR="00874916" w:rsidRPr="002C524B" w:rsidRDefault="00874916" w:rsidP="00EA28C4">
            <w:pPr>
              <w:jc w:val="center"/>
              <w:rPr>
                <w:sz w:val="18"/>
                <w:szCs w:val="18"/>
              </w:rPr>
            </w:pPr>
            <w:r w:rsidRPr="002C524B">
              <w:rPr>
                <w:sz w:val="18"/>
                <w:szCs w:val="18"/>
              </w:rPr>
              <w:t>53.319</w:t>
            </w:r>
          </w:p>
        </w:tc>
        <w:tc>
          <w:tcPr>
            <w:tcW w:w="833" w:type="pct"/>
            <w:shd w:val="clear" w:color="000000" w:fill="FFFFFF"/>
            <w:vAlign w:val="center"/>
            <w:hideMark/>
          </w:tcPr>
          <w:p w14:paraId="6349E145" w14:textId="77777777" w:rsidR="00874916" w:rsidRPr="002C524B" w:rsidRDefault="00874916" w:rsidP="00EA28C4">
            <w:pPr>
              <w:jc w:val="center"/>
              <w:rPr>
                <w:sz w:val="18"/>
                <w:szCs w:val="18"/>
              </w:rPr>
            </w:pPr>
            <w:r w:rsidRPr="002C524B">
              <w:rPr>
                <w:sz w:val="18"/>
                <w:szCs w:val="18"/>
              </w:rPr>
              <w:t>2.67%</w:t>
            </w:r>
          </w:p>
        </w:tc>
      </w:tr>
      <w:tr w:rsidR="00874916" w:rsidRPr="002C524B" w14:paraId="654875C1" w14:textId="77777777" w:rsidTr="00EA28C4">
        <w:trPr>
          <w:trHeight w:val="259"/>
        </w:trPr>
        <w:tc>
          <w:tcPr>
            <w:tcW w:w="1021" w:type="pct"/>
            <w:shd w:val="clear" w:color="000000" w:fill="FFFFFF"/>
            <w:vAlign w:val="center"/>
            <w:hideMark/>
          </w:tcPr>
          <w:p w14:paraId="46E58065" w14:textId="77777777" w:rsidR="00874916" w:rsidRPr="002C524B" w:rsidRDefault="00874916" w:rsidP="00EA28C4">
            <w:pPr>
              <w:jc w:val="center"/>
              <w:rPr>
                <w:sz w:val="16"/>
                <w:szCs w:val="16"/>
              </w:rPr>
            </w:pPr>
            <w:r w:rsidRPr="002C524B">
              <w:rPr>
                <w:sz w:val="16"/>
                <w:szCs w:val="16"/>
              </w:rPr>
              <w:t>Uganda</w:t>
            </w:r>
          </w:p>
        </w:tc>
        <w:tc>
          <w:tcPr>
            <w:tcW w:w="645" w:type="pct"/>
            <w:shd w:val="clear" w:color="000000" w:fill="FFFFFF"/>
            <w:vAlign w:val="center"/>
            <w:hideMark/>
          </w:tcPr>
          <w:p w14:paraId="6D7B88AB" w14:textId="77777777" w:rsidR="00874916" w:rsidRPr="002C524B" w:rsidRDefault="00874916" w:rsidP="00EA28C4">
            <w:pPr>
              <w:jc w:val="center"/>
              <w:rPr>
                <w:sz w:val="16"/>
                <w:szCs w:val="16"/>
              </w:rPr>
            </w:pPr>
            <w:r w:rsidRPr="002C524B">
              <w:rPr>
                <w:sz w:val="16"/>
                <w:szCs w:val="16"/>
              </w:rPr>
              <w:t>59.687</w:t>
            </w:r>
          </w:p>
        </w:tc>
        <w:tc>
          <w:tcPr>
            <w:tcW w:w="833" w:type="pct"/>
            <w:tcBorders>
              <w:right w:val="single" w:sz="4" w:space="0" w:color="auto"/>
            </w:tcBorders>
            <w:shd w:val="clear" w:color="000000" w:fill="FFFFFF"/>
            <w:vAlign w:val="center"/>
            <w:hideMark/>
          </w:tcPr>
          <w:p w14:paraId="3736EA21" w14:textId="77777777" w:rsidR="00874916" w:rsidRPr="002C524B" w:rsidRDefault="00874916" w:rsidP="00EA28C4">
            <w:pPr>
              <w:jc w:val="center"/>
              <w:rPr>
                <w:sz w:val="16"/>
                <w:szCs w:val="16"/>
              </w:rPr>
            </w:pPr>
            <w:r w:rsidRPr="002C524B">
              <w:rPr>
                <w:sz w:val="16"/>
                <w:szCs w:val="16"/>
              </w:rPr>
              <w:t>2.81%</w:t>
            </w:r>
          </w:p>
        </w:tc>
        <w:tc>
          <w:tcPr>
            <w:tcW w:w="833" w:type="pct"/>
            <w:tcBorders>
              <w:left w:val="single" w:sz="4" w:space="0" w:color="auto"/>
            </w:tcBorders>
            <w:shd w:val="clear" w:color="000000" w:fill="FFFFFF"/>
            <w:vAlign w:val="center"/>
            <w:hideMark/>
          </w:tcPr>
          <w:p w14:paraId="50C0BDF1" w14:textId="77777777" w:rsidR="00874916" w:rsidRPr="002C524B" w:rsidRDefault="00874916" w:rsidP="00EA28C4">
            <w:pPr>
              <w:jc w:val="center"/>
              <w:rPr>
                <w:sz w:val="16"/>
                <w:szCs w:val="16"/>
              </w:rPr>
            </w:pPr>
            <w:r w:rsidRPr="002C524B">
              <w:rPr>
                <w:sz w:val="16"/>
                <w:szCs w:val="16"/>
              </w:rPr>
              <w:t>Free Zones</w:t>
            </w:r>
          </w:p>
        </w:tc>
        <w:tc>
          <w:tcPr>
            <w:tcW w:w="833" w:type="pct"/>
            <w:shd w:val="clear" w:color="000000" w:fill="FFFFFF"/>
            <w:vAlign w:val="center"/>
            <w:hideMark/>
          </w:tcPr>
          <w:p w14:paraId="0D43AB1C" w14:textId="77777777" w:rsidR="00874916" w:rsidRPr="002C524B" w:rsidRDefault="00874916" w:rsidP="00EA28C4">
            <w:pPr>
              <w:jc w:val="center"/>
              <w:rPr>
                <w:sz w:val="16"/>
                <w:szCs w:val="16"/>
              </w:rPr>
            </w:pPr>
            <w:r w:rsidRPr="002C524B">
              <w:rPr>
                <w:sz w:val="16"/>
                <w:szCs w:val="16"/>
              </w:rPr>
              <w:t>39.26</w:t>
            </w:r>
          </w:p>
        </w:tc>
        <w:tc>
          <w:tcPr>
            <w:tcW w:w="833" w:type="pct"/>
            <w:shd w:val="clear" w:color="000000" w:fill="FFFFFF"/>
            <w:vAlign w:val="center"/>
            <w:hideMark/>
          </w:tcPr>
          <w:p w14:paraId="7807FB81" w14:textId="77777777" w:rsidR="00874916" w:rsidRPr="002C524B" w:rsidRDefault="00874916" w:rsidP="00EA28C4">
            <w:pPr>
              <w:jc w:val="center"/>
              <w:rPr>
                <w:sz w:val="16"/>
                <w:szCs w:val="16"/>
              </w:rPr>
            </w:pPr>
            <w:r w:rsidRPr="002C524B">
              <w:rPr>
                <w:sz w:val="16"/>
                <w:szCs w:val="16"/>
              </w:rPr>
              <w:t>1.96%</w:t>
            </w:r>
          </w:p>
        </w:tc>
      </w:tr>
      <w:tr w:rsidR="00874916" w:rsidRPr="002C524B" w14:paraId="4DBE8DC4" w14:textId="77777777" w:rsidTr="00EA28C4">
        <w:trPr>
          <w:trHeight w:val="270"/>
        </w:trPr>
        <w:tc>
          <w:tcPr>
            <w:tcW w:w="1021" w:type="pct"/>
            <w:tcBorders>
              <w:bottom w:val="single" w:sz="4" w:space="0" w:color="auto"/>
            </w:tcBorders>
            <w:shd w:val="clear" w:color="000000" w:fill="FFFFFF"/>
            <w:vAlign w:val="center"/>
            <w:hideMark/>
          </w:tcPr>
          <w:p w14:paraId="27DA4A8D" w14:textId="77777777" w:rsidR="00874916" w:rsidRPr="002C524B" w:rsidRDefault="00874916" w:rsidP="00EA28C4">
            <w:pPr>
              <w:jc w:val="center"/>
              <w:rPr>
                <w:sz w:val="16"/>
                <w:szCs w:val="16"/>
              </w:rPr>
            </w:pPr>
            <w:r w:rsidRPr="002C524B">
              <w:rPr>
                <w:sz w:val="16"/>
                <w:szCs w:val="16"/>
              </w:rPr>
              <w:t>Malawi</w:t>
            </w:r>
          </w:p>
        </w:tc>
        <w:tc>
          <w:tcPr>
            <w:tcW w:w="645" w:type="pct"/>
            <w:tcBorders>
              <w:bottom w:val="single" w:sz="4" w:space="0" w:color="auto"/>
            </w:tcBorders>
            <w:shd w:val="clear" w:color="000000" w:fill="FFFFFF"/>
            <w:vAlign w:val="center"/>
            <w:hideMark/>
          </w:tcPr>
          <w:p w14:paraId="7C6ACA1A" w14:textId="77777777" w:rsidR="00874916" w:rsidRPr="002C524B" w:rsidRDefault="00874916" w:rsidP="00EA28C4">
            <w:pPr>
              <w:jc w:val="center"/>
              <w:rPr>
                <w:sz w:val="16"/>
                <w:szCs w:val="16"/>
              </w:rPr>
            </w:pPr>
            <w:r w:rsidRPr="002C524B">
              <w:rPr>
                <w:sz w:val="16"/>
                <w:szCs w:val="16"/>
              </w:rPr>
              <w:t>48.227</w:t>
            </w:r>
          </w:p>
        </w:tc>
        <w:tc>
          <w:tcPr>
            <w:tcW w:w="833" w:type="pct"/>
            <w:tcBorders>
              <w:bottom w:val="single" w:sz="4" w:space="0" w:color="auto"/>
              <w:right w:val="single" w:sz="4" w:space="0" w:color="auto"/>
            </w:tcBorders>
            <w:shd w:val="clear" w:color="000000" w:fill="FFFFFF"/>
            <w:vAlign w:val="center"/>
            <w:hideMark/>
          </w:tcPr>
          <w:p w14:paraId="27D84135" w14:textId="77777777" w:rsidR="00874916" w:rsidRPr="002C524B" w:rsidRDefault="00874916" w:rsidP="00EA28C4">
            <w:pPr>
              <w:jc w:val="center"/>
              <w:rPr>
                <w:sz w:val="16"/>
                <w:szCs w:val="16"/>
              </w:rPr>
            </w:pPr>
            <w:r w:rsidRPr="002C524B">
              <w:rPr>
                <w:sz w:val="16"/>
                <w:szCs w:val="16"/>
              </w:rPr>
              <w:t>2.27%</w:t>
            </w:r>
          </w:p>
        </w:tc>
        <w:tc>
          <w:tcPr>
            <w:tcW w:w="833" w:type="pct"/>
            <w:tcBorders>
              <w:left w:val="single" w:sz="4" w:space="0" w:color="auto"/>
              <w:bottom w:val="single" w:sz="4" w:space="0" w:color="auto"/>
            </w:tcBorders>
            <w:shd w:val="clear" w:color="000000" w:fill="FFFFFF"/>
            <w:vAlign w:val="center"/>
            <w:hideMark/>
          </w:tcPr>
          <w:p w14:paraId="2E4A482D" w14:textId="77777777" w:rsidR="00874916" w:rsidRPr="002C524B" w:rsidRDefault="00874916" w:rsidP="00EA28C4">
            <w:pPr>
              <w:jc w:val="center"/>
              <w:rPr>
                <w:sz w:val="16"/>
                <w:szCs w:val="16"/>
              </w:rPr>
            </w:pPr>
            <w:r w:rsidRPr="002C524B">
              <w:rPr>
                <w:sz w:val="16"/>
                <w:szCs w:val="16"/>
              </w:rPr>
              <w:t>Malawi</w:t>
            </w:r>
          </w:p>
        </w:tc>
        <w:tc>
          <w:tcPr>
            <w:tcW w:w="833" w:type="pct"/>
            <w:tcBorders>
              <w:bottom w:val="single" w:sz="4" w:space="0" w:color="auto"/>
            </w:tcBorders>
            <w:shd w:val="clear" w:color="000000" w:fill="FFFFFF"/>
            <w:vAlign w:val="center"/>
            <w:hideMark/>
          </w:tcPr>
          <w:p w14:paraId="72BFA97B" w14:textId="77777777" w:rsidR="00874916" w:rsidRPr="002C524B" w:rsidRDefault="00874916" w:rsidP="00EA28C4">
            <w:pPr>
              <w:jc w:val="center"/>
              <w:rPr>
                <w:sz w:val="16"/>
                <w:szCs w:val="16"/>
              </w:rPr>
            </w:pPr>
            <w:r w:rsidRPr="002C524B">
              <w:rPr>
                <w:sz w:val="16"/>
                <w:szCs w:val="16"/>
              </w:rPr>
              <w:t>38.785</w:t>
            </w:r>
          </w:p>
        </w:tc>
        <w:tc>
          <w:tcPr>
            <w:tcW w:w="833" w:type="pct"/>
            <w:tcBorders>
              <w:bottom w:val="single" w:sz="4" w:space="0" w:color="auto"/>
            </w:tcBorders>
            <w:shd w:val="clear" w:color="000000" w:fill="FFFFFF"/>
            <w:vAlign w:val="center"/>
            <w:hideMark/>
          </w:tcPr>
          <w:p w14:paraId="3DD5CA4C" w14:textId="77777777" w:rsidR="00874916" w:rsidRPr="002C524B" w:rsidRDefault="00874916" w:rsidP="00EA28C4">
            <w:pPr>
              <w:jc w:val="center"/>
              <w:rPr>
                <w:sz w:val="16"/>
                <w:szCs w:val="16"/>
              </w:rPr>
            </w:pPr>
            <w:r w:rsidRPr="002C524B">
              <w:rPr>
                <w:sz w:val="16"/>
                <w:szCs w:val="16"/>
              </w:rPr>
              <w:t>1.94%</w:t>
            </w:r>
          </w:p>
        </w:tc>
      </w:tr>
      <w:tr w:rsidR="00874916" w:rsidRPr="002C524B" w14:paraId="7FD454FC" w14:textId="77777777" w:rsidTr="00EA28C4">
        <w:trPr>
          <w:trHeight w:val="270"/>
        </w:trPr>
        <w:tc>
          <w:tcPr>
            <w:tcW w:w="1021" w:type="pct"/>
            <w:tcBorders>
              <w:top w:val="single" w:sz="4" w:space="0" w:color="auto"/>
              <w:bottom w:val="single" w:sz="4" w:space="0" w:color="auto"/>
            </w:tcBorders>
            <w:shd w:val="clear" w:color="000000" w:fill="FFFFFF"/>
            <w:vAlign w:val="center"/>
          </w:tcPr>
          <w:p w14:paraId="22516EF9" w14:textId="77777777" w:rsidR="00874916" w:rsidRPr="002C524B" w:rsidRDefault="00874916" w:rsidP="00EA28C4">
            <w:pPr>
              <w:jc w:val="center"/>
              <w:rPr>
                <w:sz w:val="18"/>
                <w:szCs w:val="18"/>
              </w:rPr>
            </w:pPr>
            <w:r w:rsidRPr="002C524B">
              <w:rPr>
                <w:sz w:val="18"/>
                <w:szCs w:val="18"/>
              </w:rPr>
              <w:t>World</w:t>
            </w:r>
          </w:p>
        </w:tc>
        <w:tc>
          <w:tcPr>
            <w:tcW w:w="645" w:type="pct"/>
            <w:tcBorders>
              <w:top w:val="single" w:sz="4" w:space="0" w:color="auto"/>
              <w:bottom w:val="single" w:sz="4" w:space="0" w:color="auto"/>
            </w:tcBorders>
            <w:shd w:val="clear" w:color="000000" w:fill="FFFFFF"/>
            <w:vAlign w:val="center"/>
          </w:tcPr>
          <w:p w14:paraId="291B06F9" w14:textId="77777777" w:rsidR="00874916" w:rsidRPr="002C524B" w:rsidRDefault="00874916" w:rsidP="00EA28C4">
            <w:pPr>
              <w:jc w:val="center"/>
              <w:rPr>
                <w:sz w:val="16"/>
                <w:szCs w:val="16"/>
              </w:rPr>
            </w:pPr>
            <w:r w:rsidRPr="002C524B">
              <w:rPr>
                <w:sz w:val="16"/>
                <w:szCs w:val="16"/>
              </w:rPr>
              <w:t>2123.831</w:t>
            </w:r>
          </w:p>
        </w:tc>
        <w:tc>
          <w:tcPr>
            <w:tcW w:w="833" w:type="pct"/>
            <w:tcBorders>
              <w:top w:val="single" w:sz="4" w:space="0" w:color="auto"/>
              <w:bottom w:val="single" w:sz="4" w:space="0" w:color="auto"/>
              <w:right w:val="single" w:sz="4" w:space="0" w:color="auto"/>
            </w:tcBorders>
            <w:shd w:val="clear" w:color="000000" w:fill="FFFFFF"/>
            <w:vAlign w:val="center"/>
          </w:tcPr>
          <w:p w14:paraId="0CE740FF" w14:textId="77777777" w:rsidR="00874916" w:rsidRPr="002C524B" w:rsidRDefault="00874916" w:rsidP="00EA28C4">
            <w:pPr>
              <w:jc w:val="center"/>
              <w:rPr>
                <w:sz w:val="16"/>
                <w:szCs w:val="16"/>
              </w:rPr>
            </w:pPr>
            <w:r w:rsidRPr="002C524B">
              <w:rPr>
                <w:sz w:val="18"/>
                <w:szCs w:val="18"/>
              </w:rPr>
              <w:t>—</w:t>
            </w:r>
          </w:p>
        </w:tc>
        <w:tc>
          <w:tcPr>
            <w:tcW w:w="833" w:type="pct"/>
            <w:tcBorders>
              <w:top w:val="single" w:sz="4" w:space="0" w:color="auto"/>
              <w:left w:val="single" w:sz="4" w:space="0" w:color="auto"/>
              <w:bottom w:val="single" w:sz="4" w:space="0" w:color="auto"/>
            </w:tcBorders>
            <w:shd w:val="clear" w:color="000000" w:fill="FFFFFF"/>
            <w:vAlign w:val="center"/>
          </w:tcPr>
          <w:p w14:paraId="1EB53581" w14:textId="77777777" w:rsidR="00874916" w:rsidRPr="002C524B" w:rsidRDefault="00874916" w:rsidP="00EA28C4">
            <w:pPr>
              <w:jc w:val="center"/>
              <w:rPr>
                <w:sz w:val="18"/>
                <w:szCs w:val="18"/>
              </w:rPr>
            </w:pPr>
            <w:r w:rsidRPr="002C524B">
              <w:rPr>
                <w:sz w:val="18"/>
                <w:szCs w:val="18"/>
              </w:rPr>
              <w:t>World</w:t>
            </w:r>
          </w:p>
        </w:tc>
        <w:tc>
          <w:tcPr>
            <w:tcW w:w="833" w:type="pct"/>
            <w:tcBorders>
              <w:top w:val="single" w:sz="4" w:space="0" w:color="auto"/>
              <w:bottom w:val="single" w:sz="4" w:space="0" w:color="auto"/>
            </w:tcBorders>
            <w:shd w:val="clear" w:color="000000" w:fill="FFFFFF"/>
            <w:vAlign w:val="center"/>
          </w:tcPr>
          <w:p w14:paraId="28D2588D" w14:textId="77777777" w:rsidR="00874916" w:rsidRPr="002C524B" w:rsidRDefault="00874916" w:rsidP="00EA28C4">
            <w:pPr>
              <w:jc w:val="center"/>
              <w:rPr>
                <w:sz w:val="16"/>
                <w:szCs w:val="16"/>
              </w:rPr>
            </w:pPr>
            <w:r w:rsidRPr="002C524B">
              <w:rPr>
                <w:sz w:val="16"/>
                <w:szCs w:val="16"/>
              </w:rPr>
              <w:t>1998.377</w:t>
            </w:r>
          </w:p>
        </w:tc>
        <w:tc>
          <w:tcPr>
            <w:tcW w:w="833" w:type="pct"/>
            <w:tcBorders>
              <w:top w:val="single" w:sz="4" w:space="0" w:color="auto"/>
              <w:bottom w:val="single" w:sz="4" w:space="0" w:color="auto"/>
            </w:tcBorders>
            <w:shd w:val="clear" w:color="000000" w:fill="FFFFFF"/>
            <w:vAlign w:val="center"/>
          </w:tcPr>
          <w:p w14:paraId="289BE607" w14:textId="77777777" w:rsidR="00874916" w:rsidRPr="002C524B" w:rsidRDefault="00874916" w:rsidP="00EA28C4">
            <w:pPr>
              <w:jc w:val="center"/>
              <w:rPr>
                <w:sz w:val="16"/>
                <w:szCs w:val="16"/>
              </w:rPr>
            </w:pPr>
            <w:r w:rsidRPr="002C524B">
              <w:rPr>
                <w:sz w:val="18"/>
                <w:szCs w:val="18"/>
              </w:rPr>
              <w:t>—</w:t>
            </w:r>
          </w:p>
        </w:tc>
      </w:tr>
      <w:tr w:rsidR="00874916" w:rsidRPr="002C524B" w14:paraId="254F7D56" w14:textId="77777777" w:rsidTr="00EA28C4">
        <w:trPr>
          <w:trHeight w:val="270"/>
        </w:trPr>
        <w:tc>
          <w:tcPr>
            <w:tcW w:w="1021" w:type="pct"/>
            <w:tcBorders>
              <w:top w:val="single" w:sz="4" w:space="0" w:color="auto"/>
              <w:bottom w:val="single" w:sz="12" w:space="0" w:color="auto"/>
            </w:tcBorders>
            <w:shd w:val="clear" w:color="000000" w:fill="FFFFFF"/>
            <w:vAlign w:val="center"/>
            <w:hideMark/>
          </w:tcPr>
          <w:p w14:paraId="0FCD3B77" w14:textId="77777777" w:rsidR="00874916" w:rsidRPr="002C524B" w:rsidRDefault="00874916" w:rsidP="00EA28C4">
            <w:pPr>
              <w:jc w:val="center"/>
              <w:rPr>
                <w:sz w:val="18"/>
                <w:szCs w:val="18"/>
              </w:rPr>
            </w:pPr>
            <w:r w:rsidRPr="002C524B">
              <w:rPr>
                <w:sz w:val="18"/>
                <w:szCs w:val="18"/>
              </w:rPr>
              <w:t>Total</w:t>
            </w:r>
          </w:p>
        </w:tc>
        <w:tc>
          <w:tcPr>
            <w:tcW w:w="645" w:type="pct"/>
            <w:tcBorders>
              <w:top w:val="single" w:sz="4" w:space="0" w:color="auto"/>
              <w:bottom w:val="single" w:sz="12" w:space="0" w:color="auto"/>
            </w:tcBorders>
            <w:shd w:val="clear" w:color="000000" w:fill="FFFFFF"/>
            <w:vAlign w:val="center"/>
            <w:hideMark/>
          </w:tcPr>
          <w:p w14:paraId="4F6EF7B5" w14:textId="77777777" w:rsidR="00874916" w:rsidRPr="002C524B" w:rsidRDefault="00874916" w:rsidP="00EA28C4">
            <w:pPr>
              <w:jc w:val="center"/>
              <w:rPr>
                <w:sz w:val="16"/>
                <w:szCs w:val="16"/>
              </w:rPr>
            </w:pPr>
            <w:r w:rsidRPr="002C524B">
              <w:rPr>
                <w:sz w:val="18"/>
                <w:szCs w:val="18"/>
              </w:rPr>
              <w:t>—</w:t>
            </w:r>
          </w:p>
        </w:tc>
        <w:tc>
          <w:tcPr>
            <w:tcW w:w="833" w:type="pct"/>
            <w:tcBorders>
              <w:top w:val="single" w:sz="4" w:space="0" w:color="auto"/>
              <w:bottom w:val="single" w:sz="12" w:space="0" w:color="auto"/>
              <w:right w:val="single" w:sz="4" w:space="0" w:color="auto"/>
            </w:tcBorders>
            <w:shd w:val="clear" w:color="000000" w:fill="FFFFFF"/>
            <w:vAlign w:val="center"/>
            <w:hideMark/>
          </w:tcPr>
          <w:p w14:paraId="6F21AC6C" w14:textId="77777777" w:rsidR="00874916" w:rsidRPr="002C524B" w:rsidRDefault="00874916" w:rsidP="00EA28C4">
            <w:pPr>
              <w:jc w:val="center"/>
              <w:rPr>
                <w:sz w:val="16"/>
                <w:szCs w:val="16"/>
              </w:rPr>
            </w:pPr>
            <w:r w:rsidRPr="002C524B">
              <w:rPr>
                <w:sz w:val="16"/>
                <w:szCs w:val="16"/>
              </w:rPr>
              <w:t>82.53%</w:t>
            </w:r>
          </w:p>
        </w:tc>
        <w:tc>
          <w:tcPr>
            <w:tcW w:w="833" w:type="pct"/>
            <w:tcBorders>
              <w:top w:val="single" w:sz="4" w:space="0" w:color="auto"/>
              <w:left w:val="single" w:sz="4" w:space="0" w:color="auto"/>
              <w:bottom w:val="single" w:sz="12" w:space="0" w:color="auto"/>
            </w:tcBorders>
            <w:shd w:val="clear" w:color="000000" w:fill="FFFFFF"/>
            <w:vAlign w:val="center"/>
            <w:hideMark/>
          </w:tcPr>
          <w:p w14:paraId="79E0AAFC" w14:textId="77777777" w:rsidR="00874916" w:rsidRPr="002C524B" w:rsidRDefault="00874916" w:rsidP="00EA28C4">
            <w:pPr>
              <w:jc w:val="center"/>
              <w:rPr>
                <w:sz w:val="18"/>
                <w:szCs w:val="18"/>
              </w:rPr>
            </w:pPr>
            <w:r w:rsidRPr="002C524B">
              <w:rPr>
                <w:sz w:val="18"/>
                <w:szCs w:val="18"/>
              </w:rPr>
              <w:t>Total</w:t>
            </w:r>
          </w:p>
        </w:tc>
        <w:tc>
          <w:tcPr>
            <w:tcW w:w="833" w:type="pct"/>
            <w:tcBorders>
              <w:top w:val="single" w:sz="4" w:space="0" w:color="auto"/>
              <w:bottom w:val="single" w:sz="12" w:space="0" w:color="auto"/>
            </w:tcBorders>
            <w:shd w:val="clear" w:color="000000" w:fill="FFFFFF"/>
            <w:vAlign w:val="center"/>
            <w:hideMark/>
          </w:tcPr>
          <w:p w14:paraId="3B0C7A36" w14:textId="77777777" w:rsidR="00874916" w:rsidRPr="002C524B" w:rsidRDefault="00874916" w:rsidP="00EA28C4">
            <w:pPr>
              <w:jc w:val="center"/>
              <w:rPr>
                <w:sz w:val="16"/>
                <w:szCs w:val="16"/>
              </w:rPr>
            </w:pPr>
            <w:r w:rsidRPr="002C524B">
              <w:rPr>
                <w:sz w:val="18"/>
                <w:szCs w:val="18"/>
              </w:rPr>
              <w:t>—</w:t>
            </w:r>
          </w:p>
        </w:tc>
        <w:tc>
          <w:tcPr>
            <w:tcW w:w="833" w:type="pct"/>
            <w:tcBorders>
              <w:top w:val="single" w:sz="4" w:space="0" w:color="auto"/>
              <w:bottom w:val="single" w:sz="12" w:space="0" w:color="auto"/>
            </w:tcBorders>
            <w:shd w:val="clear" w:color="000000" w:fill="FFFFFF"/>
            <w:vAlign w:val="center"/>
            <w:hideMark/>
          </w:tcPr>
          <w:p w14:paraId="68B93C69" w14:textId="77777777" w:rsidR="00874916" w:rsidRPr="002C524B" w:rsidRDefault="00874916" w:rsidP="00EA28C4">
            <w:pPr>
              <w:jc w:val="center"/>
              <w:rPr>
                <w:sz w:val="16"/>
                <w:szCs w:val="16"/>
              </w:rPr>
            </w:pPr>
            <w:r w:rsidRPr="002C524B">
              <w:rPr>
                <w:sz w:val="16"/>
                <w:szCs w:val="16"/>
              </w:rPr>
              <w:t>83.54%</w:t>
            </w:r>
          </w:p>
        </w:tc>
      </w:tr>
    </w:tbl>
    <w:p w14:paraId="75880303" w14:textId="77777777" w:rsidR="00874916" w:rsidRPr="003B4565" w:rsidRDefault="00874916" w:rsidP="00874916">
      <w:pPr>
        <w:autoSpaceDE w:val="0"/>
        <w:autoSpaceDN w:val="0"/>
        <w:adjustRightInd w:val="0"/>
        <w:spacing w:afterLines="100" w:after="240"/>
        <w:rPr>
          <w:sz w:val="18"/>
          <w:szCs w:val="18"/>
        </w:rPr>
      </w:pPr>
      <w:r w:rsidRPr="003B4565">
        <w:rPr>
          <w:b/>
          <w:sz w:val="18"/>
          <w:szCs w:val="18"/>
        </w:rPr>
        <w:t>Source:</w:t>
      </w:r>
      <w:r w:rsidRPr="003B4565">
        <w:rPr>
          <w:sz w:val="18"/>
          <w:szCs w:val="18"/>
        </w:rPr>
        <w:t xml:space="preserve"> International trade committee</w:t>
      </w:r>
    </w:p>
    <w:p w14:paraId="57A4238A" w14:textId="77777777" w:rsidR="003B4565" w:rsidRDefault="003B4565">
      <w:pPr>
        <w:rPr>
          <w:b/>
          <w:i/>
          <w:sz w:val="18"/>
          <w:szCs w:val="18"/>
        </w:rPr>
      </w:pPr>
      <w:r>
        <w:rPr>
          <w:b/>
          <w:sz w:val="18"/>
          <w:szCs w:val="18"/>
        </w:rPr>
        <w:br w:type="page"/>
      </w:r>
    </w:p>
    <w:p w14:paraId="7DE881D2" w14:textId="52C12B3A" w:rsidR="00874916" w:rsidRPr="003B4565" w:rsidRDefault="00874916" w:rsidP="00874916">
      <w:pPr>
        <w:pStyle w:val="Caption"/>
        <w:spacing w:line="360" w:lineRule="auto"/>
        <w:jc w:val="center"/>
        <w:rPr>
          <w:b/>
          <w:i w:val="0"/>
          <w:sz w:val="24"/>
        </w:rPr>
      </w:pPr>
      <w:r w:rsidRPr="003B4565">
        <w:rPr>
          <w:b/>
          <w:i w:val="0"/>
          <w:sz w:val="24"/>
        </w:rPr>
        <w:lastRenderedPageBreak/>
        <w:t xml:space="preserve">Table </w:t>
      </w:r>
      <w:r w:rsidRPr="003B4565">
        <w:rPr>
          <w:rFonts w:hint="eastAsia"/>
          <w:b/>
          <w:i w:val="0"/>
          <w:sz w:val="24"/>
        </w:rPr>
        <w:t>3:</w:t>
      </w:r>
      <w:r w:rsidRPr="003B4565">
        <w:rPr>
          <w:b/>
          <w:i w:val="0"/>
          <w:sz w:val="24"/>
        </w:rPr>
        <w:t xml:space="preserve"> Top 10 Importing Countries of Tea, 2011-2015</w:t>
      </w:r>
    </w:p>
    <w:tbl>
      <w:tblPr>
        <w:tblW w:w="5000" w:type="pct"/>
        <w:jc w:val="center"/>
        <w:tblBorders>
          <w:top w:val="single" w:sz="12" w:space="0" w:color="auto"/>
          <w:bottom w:val="single" w:sz="12" w:space="0" w:color="auto"/>
        </w:tblBorders>
        <w:tblLook w:val="04A0" w:firstRow="1" w:lastRow="0" w:firstColumn="1" w:lastColumn="0" w:noHBand="0" w:noVBand="1"/>
      </w:tblPr>
      <w:tblGrid>
        <w:gridCol w:w="1096"/>
        <w:gridCol w:w="950"/>
        <w:gridCol w:w="820"/>
        <w:gridCol w:w="1096"/>
        <w:gridCol w:w="975"/>
        <w:gridCol w:w="796"/>
        <w:gridCol w:w="1096"/>
        <w:gridCol w:w="926"/>
        <w:gridCol w:w="885"/>
      </w:tblGrid>
      <w:tr w:rsidR="00874916" w:rsidRPr="002C524B" w14:paraId="083B69A8" w14:textId="77777777" w:rsidTr="00EA28C4">
        <w:trPr>
          <w:trHeight w:val="270"/>
          <w:jc w:val="center"/>
        </w:trPr>
        <w:tc>
          <w:tcPr>
            <w:tcW w:w="619" w:type="pct"/>
            <w:tcBorders>
              <w:bottom w:val="single" w:sz="4" w:space="0" w:color="auto"/>
            </w:tcBorders>
            <w:shd w:val="clear" w:color="000000" w:fill="FFFFFF"/>
            <w:vAlign w:val="center"/>
            <w:hideMark/>
          </w:tcPr>
          <w:p w14:paraId="5BC95FAE" w14:textId="77777777" w:rsidR="00874916" w:rsidRPr="002C524B" w:rsidRDefault="00874916" w:rsidP="00EA28C4">
            <w:pPr>
              <w:jc w:val="center"/>
              <w:rPr>
                <w:sz w:val="18"/>
                <w:szCs w:val="18"/>
              </w:rPr>
            </w:pPr>
            <w:r w:rsidRPr="002C524B">
              <w:rPr>
                <w:sz w:val="18"/>
                <w:szCs w:val="18"/>
              </w:rPr>
              <w:t xml:space="preserve">　</w:t>
            </w:r>
          </w:p>
        </w:tc>
        <w:tc>
          <w:tcPr>
            <w:tcW w:w="562" w:type="pct"/>
            <w:tcBorders>
              <w:bottom w:val="single" w:sz="4" w:space="0" w:color="auto"/>
            </w:tcBorders>
            <w:shd w:val="clear" w:color="000000" w:fill="FFFFFF"/>
            <w:vAlign w:val="center"/>
            <w:hideMark/>
          </w:tcPr>
          <w:p w14:paraId="576882EE" w14:textId="77777777" w:rsidR="00874916" w:rsidRPr="002C524B" w:rsidRDefault="00874916" w:rsidP="00EA28C4">
            <w:pPr>
              <w:jc w:val="center"/>
              <w:rPr>
                <w:sz w:val="18"/>
                <w:szCs w:val="18"/>
              </w:rPr>
            </w:pPr>
            <w:r w:rsidRPr="002C524B">
              <w:rPr>
                <w:sz w:val="18"/>
                <w:szCs w:val="18"/>
              </w:rPr>
              <w:t>2011</w:t>
            </w:r>
          </w:p>
        </w:tc>
        <w:tc>
          <w:tcPr>
            <w:tcW w:w="486" w:type="pct"/>
            <w:tcBorders>
              <w:top w:val="single" w:sz="12" w:space="0" w:color="auto"/>
              <w:bottom w:val="single" w:sz="4" w:space="0" w:color="auto"/>
              <w:right w:val="single" w:sz="4" w:space="0" w:color="auto"/>
            </w:tcBorders>
            <w:shd w:val="clear" w:color="000000" w:fill="FFFFFF"/>
            <w:vAlign w:val="center"/>
            <w:hideMark/>
          </w:tcPr>
          <w:p w14:paraId="5F73D3CE" w14:textId="77777777" w:rsidR="00874916" w:rsidRPr="002C524B" w:rsidRDefault="00874916" w:rsidP="00EA28C4">
            <w:pPr>
              <w:jc w:val="center"/>
              <w:rPr>
                <w:sz w:val="18"/>
                <w:szCs w:val="18"/>
              </w:rPr>
            </w:pPr>
            <w:r w:rsidRPr="002C524B">
              <w:rPr>
                <w:sz w:val="18"/>
                <w:szCs w:val="18"/>
              </w:rPr>
              <w:t xml:space="preserve">　</w:t>
            </w:r>
          </w:p>
        </w:tc>
        <w:tc>
          <w:tcPr>
            <w:tcW w:w="619" w:type="pct"/>
            <w:tcBorders>
              <w:left w:val="single" w:sz="4" w:space="0" w:color="auto"/>
              <w:bottom w:val="single" w:sz="4" w:space="0" w:color="auto"/>
            </w:tcBorders>
            <w:shd w:val="clear" w:color="auto" w:fill="auto"/>
            <w:noWrap/>
            <w:vAlign w:val="center"/>
            <w:hideMark/>
          </w:tcPr>
          <w:p w14:paraId="79915C86" w14:textId="77777777" w:rsidR="00874916" w:rsidRPr="002C524B" w:rsidRDefault="00874916" w:rsidP="00EA28C4">
            <w:pPr>
              <w:jc w:val="center"/>
              <w:rPr>
                <w:sz w:val="18"/>
                <w:szCs w:val="18"/>
              </w:rPr>
            </w:pPr>
          </w:p>
        </w:tc>
        <w:tc>
          <w:tcPr>
            <w:tcW w:w="576" w:type="pct"/>
            <w:tcBorders>
              <w:bottom w:val="single" w:sz="4" w:space="0" w:color="auto"/>
            </w:tcBorders>
            <w:shd w:val="clear" w:color="000000" w:fill="FFFFFF"/>
            <w:vAlign w:val="center"/>
            <w:hideMark/>
          </w:tcPr>
          <w:p w14:paraId="589786F3" w14:textId="77777777" w:rsidR="00874916" w:rsidRPr="002C524B" w:rsidRDefault="00874916" w:rsidP="00EA28C4">
            <w:pPr>
              <w:jc w:val="center"/>
              <w:rPr>
                <w:sz w:val="18"/>
                <w:szCs w:val="18"/>
              </w:rPr>
            </w:pPr>
            <w:r w:rsidRPr="002C524B">
              <w:rPr>
                <w:sz w:val="18"/>
                <w:szCs w:val="18"/>
              </w:rPr>
              <w:t>2012</w:t>
            </w:r>
          </w:p>
        </w:tc>
        <w:tc>
          <w:tcPr>
            <w:tcW w:w="472" w:type="pct"/>
            <w:tcBorders>
              <w:top w:val="single" w:sz="12" w:space="0" w:color="auto"/>
              <w:bottom w:val="single" w:sz="4" w:space="0" w:color="auto"/>
              <w:right w:val="single" w:sz="4" w:space="0" w:color="auto"/>
            </w:tcBorders>
            <w:shd w:val="clear" w:color="000000" w:fill="FFFFFF"/>
            <w:vAlign w:val="center"/>
            <w:hideMark/>
          </w:tcPr>
          <w:p w14:paraId="4821054C" w14:textId="77777777" w:rsidR="00874916" w:rsidRPr="002C524B" w:rsidRDefault="00874916" w:rsidP="00EA28C4">
            <w:pPr>
              <w:jc w:val="center"/>
              <w:rPr>
                <w:sz w:val="18"/>
                <w:szCs w:val="18"/>
              </w:rPr>
            </w:pPr>
            <w:r w:rsidRPr="002C524B">
              <w:rPr>
                <w:sz w:val="18"/>
                <w:szCs w:val="18"/>
              </w:rPr>
              <w:t xml:space="preserve">　</w:t>
            </w:r>
          </w:p>
        </w:tc>
        <w:tc>
          <w:tcPr>
            <w:tcW w:w="619" w:type="pct"/>
            <w:tcBorders>
              <w:left w:val="single" w:sz="4" w:space="0" w:color="auto"/>
              <w:bottom w:val="single" w:sz="4" w:space="0" w:color="auto"/>
            </w:tcBorders>
            <w:shd w:val="clear" w:color="000000" w:fill="FFFFFF"/>
            <w:vAlign w:val="center"/>
            <w:hideMark/>
          </w:tcPr>
          <w:p w14:paraId="35D51977" w14:textId="77777777" w:rsidR="00874916" w:rsidRPr="002C524B" w:rsidRDefault="00874916" w:rsidP="00EA28C4">
            <w:pPr>
              <w:jc w:val="center"/>
              <w:rPr>
                <w:sz w:val="18"/>
                <w:szCs w:val="18"/>
              </w:rPr>
            </w:pPr>
            <w:r w:rsidRPr="002C524B">
              <w:rPr>
                <w:sz w:val="18"/>
                <w:szCs w:val="18"/>
              </w:rPr>
              <w:t xml:space="preserve">　</w:t>
            </w:r>
          </w:p>
        </w:tc>
        <w:tc>
          <w:tcPr>
            <w:tcW w:w="523" w:type="pct"/>
            <w:tcBorders>
              <w:bottom w:val="single" w:sz="4" w:space="0" w:color="auto"/>
            </w:tcBorders>
            <w:shd w:val="clear" w:color="000000" w:fill="FFFFFF"/>
            <w:vAlign w:val="center"/>
            <w:hideMark/>
          </w:tcPr>
          <w:p w14:paraId="4B3EB070" w14:textId="77777777" w:rsidR="00874916" w:rsidRPr="002C524B" w:rsidRDefault="00874916" w:rsidP="00EA28C4">
            <w:pPr>
              <w:jc w:val="center"/>
              <w:rPr>
                <w:sz w:val="18"/>
                <w:szCs w:val="18"/>
              </w:rPr>
            </w:pPr>
            <w:r w:rsidRPr="002C524B">
              <w:rPr>
                <w:sz w:val="18"/>
                <w:szCs w:val="18"/>
              </w:rPr>
              <w:t>2013</w:t>
            </w:r>
          </w:p>
        </w:tc>
        <w:tc>
          <w:tcPr>
            <w:tcW w:w="524" w:type="pct"/>
            <w:tcBorders>
              <w:bottom w:val="single" w:sz="4" w:space="0" w:color="auto"/>
            </w:tcBorders>
            <w:shd w:val="clear" w:color="000000" w:fill="FFFFFF"/>
            <w:vAlign w:val="center"/>
            <w:hideMark/>
          </w:tcPr>
          <w:p w14:paraId="3F039A18" w14:textId="77777777" w:rsidR="00874916" w:rsidRPr="002C524B" w:rsidRDefault="00874916" w:rsidP="00EA28C4">
            <w:pPr>
              <w:jc w:val="center"/>
              <w:rPr>
                <w:sz w:val="18"/>
                <w:szCs w:val="18"/>
              </w:rPr>
            </w:pPr>
            <w:r w:rsidRPr="002C524B">
              <w:rPr>
                <w:sz w:val="18"/>
                <w:szCs w:val="18"/>
              </w:rPr>
              <w:t xml:space="preserve">　</w:t>
            </w:r>
          </w:p>
        </w:tc>
      </w:tr>
      <w:tr w:rsidR="00874916" w:rsidRPr="002C524B" w14:paraId="784B3B2E" w14:textId="77777777" w:rsidTr="00EA28C4">
        <w:trPr>
          <w:trHeight w:val="420"/>
          <w:jc w:val="center"/>
        </w:trPr>
        <w:tc>
          <w:tcPr>
            <w:tcW w:w="619" w:type="pct"/>
            <w:tcBorders>
              <w:top w:val="single" w:sz="4" w:space="0" w:color="auto"/>
              <w:bottom w:val="single" w:sz="4" w:space="0" w:color="auto"/>
            </w:tcBorders>
            <w:shd w:val="clear" w:color="000000" w:fill="FFFFFF"/>
            <w:vAlign w:val="center"/>
            <w:hideMark/>
          </w:tcPr>
          <w:p w14:paraId="6A510AD3" w14:textId="77777777" w:rsidR="00874916" w:rsidRPr="002C524B" w:rsidRDefault="00874916" w:rsidP="00EA28C4">
            <w:pPr>
              <w:jc w:val="center"/>
              <w:rPr>
                <w:sz w:val="18"/>
                <w:szCs w:val="18"/>
              </w:rPr>
            </w:pPr>
            <w:r w:rsidRPr="002C524B">
              <w:rPr>
                <w:sz w:val="18"/>
                <w:szCs w:val="18"/>
              </w:rPr>
              <w:t>Importers</w:t>
            </w:r>
          </w:p>
        </w:tc>
        <w:tc>
          <w:tcPr>
            <w:tcW w:w="562" w:type="pct"/>
            <w:tcBorders>
              <w:top w:val="single" w:sz="4" w:space="0" w:color="auto"/>
              <w:bottom w:val="single" w:sz="4" w:space="0" w:color="auto"/>
            </w:tcBorders>
            <w:shd w:val="clear" w:color="000000" w:fill="FFFFFF"/>
            <w:vAlign w:val="center"/>
            <w:hideMark/>
          </w:tcPr>
          <w:p w14:paraId="421934B7" w14:textId="77777777" w:rsidR="00874916" w:rsidRPr="002C524B" w:rsidRDefault="00874916" w:rsidP="00EA28C4">
            <w:pPr>
              <w:jc w:val="center"/>
              <w:rPr>
                <w:sz w:val="18"/>
                <w:szCs w:val="18"/>
              </w:rPr>
            </w:pPr>
            <w:r w:rsidRPr="002C524B">
              <w:rPr>
                <w:sz w:val="18"/>
                <w:szCs w:val="18"/>
              </w:rPr>
              <w:t xml:space="preserve">Thousand </w:t>
            </w:r>
            <w:r>
              <w:rPr>
                <w:sz w:val="18"/>
                <w:szCs w:val="18"/>
              </w:rPr>
              <w:t>Tons</w:t>
            </w:r>
          </w:p>
        </w:tc>
        <w:tc>
          <w:tcPr>
            <w:tcW w:w="486" w:type="pct"/>
            <w:tcBorders>
              <w:top w:val="single" w:sz="4" w:space="0" w:color="auto"/>
              <w:bottom w:val="single" w:sz="4" w:space="0" w:color="auto"/>
              <w:right w:val="single" w:sz="4" w:space="0" w:color="auto"/>
            </w:tcBorders>
            <w:shd w:val="clear" w:color="000000" w:fill="FFFFFF"/>
            <w:vAlign w:val="center"/>
            <w:hideMark/>
          </w:tcPr>
          <w:p w14:paraId="5C08382E" w14:textId="77777777" w:rsidR="00874916" w:rsidRPr="002C524B" w:rsidRDefault="00874916" w:rsidP="00EA28C4">
            <w:pPr>
              <w:jc w:val="center"/>
              <w:rPr>
                <w:sz w:val="18"/>
                <w:szCs w:val="18"/>
              </w:rPr>
            </w:pPr>
            <w:r w:rsidRPr="002C524B">
              <w:rPr>
                <w:sz w:val="18"/>
                <w:szCs w:val="18"/>
              </w:rPr>
              <w:t>Percent</w:t>
            </w:r>
          </w:p>
        </w:tc>
        <w:tc>
          <w:tcPr>
            <w:tcW w:w="619" w:type="pct"/>
            <w:tcBorders>
              <w:top w:val="single" w:sz="4" w:space="0" w:color="auto"/>
              <w:left w:val="single" w:sz="4" w:space="0" w:color="auto"/>
              <w:bottom w:val="single" w:sz="4" w:space="0" w:color="auto"/>
            </w:tcBorders>
            <w:shd w:val="clear" w:color="000000" w:fill="FFFFFF"/>
            <w:vAlign w:val="center"/>
            <w:hideMark/>
          </w:tcPr>
          <w:p w14:paraId="42602589" w14:textId="77777777" w:rsidR="00874916" w:rsidRPr="002C524B" w:rsidRDefault="00874916" w:rsidP="00EA28C4">
            <w:pPr>
              <w:jc w:val="center"/>
              <w:rPr>
                <w:sz w:val="18"/>
                <w:szCs w:val="18"/>
              </w:rPr>
            </w:pPr>
            <w:r w:rsidRPr="002C524B">
              <w:rPr>
                <w:sz w:val="18"/>
                <w:szCs w:val="18"/>
              </w:rPr>
              <w:t>Importers</w:t>
            </w:r>
          </w:p>
        </w:tc>
        <w:tc>
          <w:tcPr>
            <w:tcW w:w="576" w:type="pct"/>
            <w:tcBorders>
              <w:top w:val="single" w:sz="4" w:space="0" w:color="auto"/>
              <w:bottom w:val="single" w:sz="4" w:space="0" w:color="auto"/>
            </w:tcBorders>
            <w:shd w:val="clear" w:color="000000" w:fill="FFFFFF"/>
            <w:vAlign w:val="center"/>
            <w:hideMark/>
          </w:tcPr>
          <w:p w14:paraId="7D8CD707" w14:textId="77777777" w:rsidR="00874916" w:rsidRPr="002C524B" w:rsidRDefault="00874916" w:rsidP="00EA28C4">
            <w:pPr>
              <w:jc w:val="center"/>
              <w:rPr>
                <w:sz w:val="18"/>
                <w:szCs w:val="18"/>
              </w:rPr>
            </w:pPr>
            <w:r w:rsidRPr="002C524B">
              <w:rPr>
                <w:sz w:val="18"/>
                <w:szCs w:val="18"/>
              </w:rPr>
              <w:t xml:space="preserve">Thousand </w:t>
            </w:r>
            <w:r>
              <w:rPr>
                <w:sz w:val="18"/>
                <w:szCs w:val="18"/>
              </w:rPr>
              <w:t>Tons</w:t>
            </w:r>
          </w:p>
        </w:tc>
        <w:tc>
          <w:tcPr>
            <w:tcW w:w="472" w:type="pct"/>
            <w:tcBorders>
              <w:top w:val="single" w:sz="4" w:space="0" w:color="auto"/>
              <w:bottom w:val="single" w:sz="4" w:space="0" w:color="auto"/>
              <w:right w:val="single" w:sz="4" w:space="0" w:color="auto"/>
            </w:tcBorders>
            <w:shd w:val="clear" w:color="000000" w:fill="FFFFFF"/>
            <w:vAlign w:val="center"/>
            <w:hideMark/>
          </w:tcPr>
          <w:p w14:paraId="1F2214B7" w14:textId="77777777" w:rsidR="00874916" w:rsidRPr="002C524B" w:rsidRDefault="00874916" w:rsidP="00EA28C4">
            <w:pPr>
              <w:jc w:val="center"/>
              <w:rPr>
                <w:sz w:val="18"/>
                <w:szCs w:val="18"/>
              </w:rPr>
            </w:pPr>
            <w:r w:rsidRPr="002C524B">
              <w:rPr>
                <w:sz w:val="18"/>
                <w:szCs w:val="18"/>
              </w:rPr>
              <w:t>Percent</w:t>
            </w:r>
          </w:p>
        </w:tc>
        <w:tc>
          <w:tcPr>
            <w:tcW w:w="619" w:type="pct"/>
            <w:tcBorders>
              <w:top w:val="single" w:sz="4" w:space="0" w:color="auto"/>
              <w:left w:val="single" w:sz="4" w:space="0" w:color="auto"/>
              <w:bottom w:val="single" w:sz="4" w:space="0" w:color="auto"/>
            </w:tcBorders>
            <w:shd w:val="clear" w:color="000000" w:fill="FFFFFF"/>
            <w:vAlign w:val="center"/>
            <w:hideMark/>
          </w:tcPr>
          <w:p w14:paraId="79817CFB" w14:textId="77777777" w:rsidR="00874916" w:rsidRPr="002C524B" w:rsidRDefault="00874916" w:rsidP="00EA28C4">
            <w:pPr>
              <w:jc w:val="center"/>
              <w:rPr>
                <w:sz w:val="18"/>
                <w:szCs w:val="18"/>
              </w:rPr>
            </w:pPr>
            <w:r w:rsidRPr="002C524B">
              <w:rPr>
                <w:sz w:val="18"/>
                <w:szCs w:val="18"/>
              </w:rPr>
              <w:t>Importers</w:t>
            </w:r>
          </w:p>
        </w:tc>
        <w:tc>
          <w:tcPr>
            <w:tcW w:w="523" w:type="pct"/>
            <w:tcBorders>
              <w:top w:val="single" w:sz="4" w:space="0" w:color="auto"/>
              <w:bottom w:val="single" w:sz="4" w:space="0" w:color="auto"/>
            </w:tcBorders>
            <w:shd w:val="clear" w:color="000000" w:fill="FFFFFF"/>
            <w:vAlign w:val="center"/>
            <w:hideMark/>
          </w:tcPr>
          <w:p w14:paraId="77A4947A" w14:textId="77777777" w:rsidR="00874916" w:rsidRPr="002C524B" w:rsidRDefault="00874916" w:rsidP="00EA28C4">
            <w:pPr>
              <w:jc w:val="center"/>
              <w:rPr>
                <w:sz w:val="18"/>
                <w:szCs w:val="18"/>
              </w:rPr>
            </w:pPr>
            <w:r w:rsidRPr="002C524B">
              <w:rPr>
                <w:sz w:val="18"/>
                <w:szCs w:val="18"/>
              </w:rPr>
              <w:t xml:space="preserve">Thousand </w:t>
            </w:r>
            <w:r>
              <w:rPr>
                <w:sz w:val="18"/>
                <w:szCs w:val="18"/>
              </w:rPr>
              <w:t>Tons</w:t>
            </w:r>
          </w:p>
        </w:tc>
        <w:tc>
          <w:tcPr>
            <w:tcW w:w="524" w:type="pct"/>
            <w:tcBorders>
              <w:top w:val="single" w:sz="4" w:space="0" w:color="auto"/>
              <w:bottom w:val="single" w:sz="4" w:space="0" w:color="auto"/>
            </w:tcBorders>
            <w:shd w:val="clear" w:color="000000" w:fill="FFFFFF"/>
            <w:vAlign w:val="center"/>
            <w:hideMark/>
          </w:tcPr>
          <w:p w14:paraId="7FE110B7" w14:textId="77777777" w:rsidR="00874916" w:rsidRPr="002C524B" w:rsidRDefault="00874916" w:rsidP="00EA28C4">
            <w:pPr>
              <w:jc w:val="center"/>
              <w:rPr>
                <w:sz w:val="18"/>
                <w:szCs w:val="18"/>
              </w:rPr>
            </w:pPr>
            <w:r w:rsidRPr="002C524B">
              <w:rPr>
                <w:sz w:val="18"/>
                <w:szCs w:val="18"/>
              </w:rPr>
              <w:t>Percent</w:t>
            </w:r>
          </w:p>
        </w:tc>
      </w:tr>
      <w:tr w:rsidR="00874916" w:rsidRPr="002C524B" w14:paraId="3646B6B1" w14:textId="77777777" w:rsidTr="00EA28C4">
        <w:trPr>
          <w:trHeight w:val="420"/>
          <w:jc w:val="center"/>
        </w:trPr>
        <w:tc>
          <w:tcPr>
            <w:tcW w:w="619" w:type="pct"/>
            <w:tcBorders>
              <w:top w:val="single" w:sz="4" w:space="0" w:color="auto"/>
              <w:bottom w:val="nil"/>
            </w:tcBorders>
            <w:shd w:val="clear" w:color="000000" w:fill="FFFFFF"/>
            <w:vAlign w:val="center"/>
            <w:hideMark/>
          </w:tcPr>
          <w:p w14:paraId="792A59E8" w14:textId="79B739AE" w:rsidR="00874916" w:rsidRPr="002C524B" w:rsidRDefault="00874916" w:rsidP="003B4565">
            <w:pPr>
              <w:jc w:val="center"/>
              <w:rPr>
                <w:sz w:val="18"/>
                <w:szCs w:val="18"/>
              </w:rPr>
            </w:pPr>
            <w:r w:rsidRPr="002C524B">
              <w:rPr>
                <w:sz w:val="18"/>
                <w:szCs w:val="18"/>
              </w:rPr>
              <w:t xml:space="preserve">Russian </w:t>
            </w:r>
            <w:r w:rsidR="003B4565">
              <w:rPr>
                <w:sz w:val="18"/>
                <w:szCs w:val="18"/>
              </w:rPr>
              <w:t xml:space="preserve">Federation </w:t>
            </w:r>
          </w:p>
        </w:tc>
        <w:tc>
          <w:tcPr>
            <w:tcW w:w="562" w:type="pct"/>
            <w:tcBorders>
              <w:top w:val="single" w:sz="4" w:space="0" w:color="auto"/>
              <w:bottom w:val="nil"/>
            </w:tcBorders>
            <w:shd w:val="clear" w:color="000000" w:fill="FFFFFF"/>
            <w:vAlign w:val="center"/>
            <w:hideMark/>
          </w:tcPr>
          <w:p w14:paraId="68C7FF68" w14:textId="77777777" w:rsidR="00874916" w:rsidRPr="002C524B" w:rsidRDefault="00874916" w:rsidP="00EA28C4">
            <w:pPr>
              <w:jc w:val="center"/>
              <w:rPr>
                <w:sz w:val="18"/>
                <w:szCs w:val="18"/>
              </w:rPr>
            </w:pPr>
            <w:r w:rsidRPr="002C524B">
              <w:rPr>
                <w:sz w:val="18"/>
                <w:szCs w:val="18"/>
              </w:rPr>
              <w:t>187.77</w:t>
            </w:r>
          </w:p>
        </w:tc>
        <w:tc>
          <w:tcPr>
            <w:tcW w:w="486" w:type="pct"/>
            <w:tcBorders>
              <w:top w:val="single" w:sz="4" w:space="0" w:color="auto"/>
              <w:bottom w:val="nil"/>
              <w:right w:val="single" w:sz="4" w:space="0" w:color="auto"/>
            </w:tcBorders>
            <w:shd w:val="clear" w:color="000000" w:fill="FFFFFF"/>
            <w:vAlign w:val="center"/>
            <w:hideMark/>
          </w:tcPr>
          <w:p w14:paraId="5B9E28CC" w14:textId="77777777" w:rsidR="00874916" w:rsidRPr="002C524B" w:rsidRDefault="00874916" w:rsidP="00EA28C4">
            <w:pPr>
              <w:jc w:val="center"/>
              <w:rPr>
                <w:sz w:val="18"/>
                <w:szCs w:val="18"/>
              </w:rPr>
            </w:pPr>
            <w:r w:rsidRPr="002C524B">
              <w:rPr>
                <w:sz w:val="18"/>
                <w:szCs w:val="18"/>
              </w:rPr>
              <w:t>10.06%</w:t>
            </w:r>
          </w:p>
        </w:tc>
        <w:tc>
          <w:tcPr>
            <w:tcW w:w="619" w:type="pct"/>
            <w:tcBorders>
              <w:top w:val="single" w:sz="4" w:space="0" w:color="auto"/>
              <w:left w:val="single" w:sz="4" w:space="0" w:color="auto"/>
              <w:bottom w:val="nil"/>
            </w:tcBorders>
            <w:shd w:val="clear" w:color="000000" w:fill="FFFFFF"/>
            <w:vAlign w:val="center"/>
            <w:hideMark/>
          </w:tcPr>
          <w:p w14:paraId="5D900927" w14:textId="77777777" w:rsidR="00874916" w:rsidRPr="002C524B" w:rsidRDefault="00874916" w:rsidP="00EA28C4">
            <w:pPr>
              <w:jc w:val="center"/>
              <w:rPr>
                <w:sz w:val="18"/>
                <w:szCs w:val="18"/>
              </w:rPr>
            </w:pPr>
            <w:r w:rsidRPr="002C524B">
              <w:rPr>
                <w:sz w:val="18"/>
                <w:szCs w:val="18"/>
              </w:rPr>
              <w:t>Russian Federation</w:t>
            </w:r>
          </w:p>
        </w:tc>
        <w:tc>
          <w:tcPr>
            <w:tcW w:w="576" w:type="pct"/>
            <w:tcBorders>
              <w:top w:val="single" w:sz="4" w:space="0" w:color="auto"/>
              <w:bottom w:val="nil"/>
            </w:tcBorders>
            <w:shd w:val="clear" w:color="000000" w:fill="FFFFFF"/>
            <w:vAlign w:val="center"/>
            <w:hideMark/>
          </w:tcPr>
          <w:p w14:paraId="79BBFE59" w14:textId="77777777" w:rsidR="00874916" w:rsidRPr="002C524B" w:rsidRDefault="00874916" w:rsidP="00EA28C4">
            <w:pPr>
              <w:jc w:val="center"/>
              <w:rPr>
                <w:sz w:val="18"/>
                <w:szCs w:val="18"/>
              </w:rPr>
            </w:pPr>
            <w:r w:rsidRPr="002C524B">
              <w:rPr>
                <w:sz w:val="18"/>
                <w:szCs w:val="18"/>
              </w:rPr>
              <w:t>180.49</w:t>
            </w:r>
          </w:p>
        </w:tc>
        <w:tc>
          <w:tcPr>
            <w:tcW w:w="472" w:type="pct"/>
            <w:tcBorders>
              <w:top w:val="single" w:sz="4" w:space="0" w:color="auto"/>
              <w:bottom w:val="nil"/>
              <w:right w:val="single" w:sz="4" w:space="0" w:color="auto"/>
            </w:tcBorders>
            <w:shd w:val="clear" w:color="000000" w:fill="FFFFFF"/>
            <w:vAlign w:val="center"/>
            <w:hideMark/>
          </w:tcPr>
          <w:p w14:paraId="3C198CBA" w14:textId="77777777" w:rsidR="00874916" w:rsidRPr="002C524B" w:rsidRDefault="00874916" w:rsidP="00EA28C4">
            <w:pPr>
              <w:jc w:val="center"/>
              <w:rPr>
                <w:sz w:val="18"/>
                <w:szCs w:val="18"/>
              </w:rPr>
            </w:pPr>
            <w:r w:rsidRPr="002C524B">
              <w:rPr>
                <w:sz w:val="18"/>
                <w:szCs w:val="18"/>
              </w:rPr>
              <w:t>9.05%</w:t>
            </w:r>
          </w:p>
        </w:tc>
        <w:tc>
          <w:tcPr>
            <w:tcW w:w="619" w:type="pct"/>
            <w:tcBorders>
              <w:top w:val="single" w:sz="4" w:space="0" w:color="auto"/>
              <w:left w:val="single" w:sz="4" w:space="0" w:color="auto"/>
              <w:bottom w:val="nil"/>
            </w:tcBorders>
            <w:shd w:val="clear" w:color="000000" w:fill="FFFFFF"/>
            <w:vAlign w:val="center"/>
            <w:hideMark/>
          </w:tcPr>
          <w:p w14:paraId="3B3880BB" w14:textId="77777777" w:rsidR="00874916" w:rsidRPr="002C524B" w:rsidRDefault="00874916" w:rsidP="00EA28C4">
            <w:pPr>
              <w:jc w:val="center"/>
              <w:rPr>
                <w:sz w:val="18"/>
                <w:szCs w:val="18"/>
              </w:rPr>
            </w:pPr>
            <w:r w:rsidRPr="002C524B">
              <w:rPr>
                <w:sz w:val="18"/>
                <w:szCs w:val="18"/>
              </w:rPr>
              <w:t>Russian Federation</w:t>
            </w:r>
          </w:p>
        </w:tc>
        <w:tc>
          <w:tcPr>
            <w:tcW w:w="523" w:type="pct"/>
            <w:tcBorders>
              <w:top w:val="single" w:sz="4" w:space="0" w:color="auto"/>
              <w:bottom w:val="nil"/>
            </w:tcBorders>
            <w:shd w:val="clear" w:color="000000" w:fill="FFFFFF"/>
            <w:vAlign w:val="center"/>
            <w:hideMark/>
          </w:tcPr>
          <w:p w14:paraId="01AF5284" w14:textId="77777777" w:rsidR="00874916" w:rsidRPr="002C524B" w:rsidRDefault="00874916" w:rsidP="00EA28C4">
            <w:pPr>
              <w:jc w:val="center"/>
              <w:rPr>
                <w:sz w:val="18"/>
                <w:szCs w:val="18"/>
              </w:rPr>
            </w:pPr>
            <w:r w:rsidRPr="002C524B">
              <w:rPr>
                <w:sz w:val="18"/>
                <w:szCs w:val="18"/>
              </w:rPr>
              <w:t>173.07</w:t>
            </w:r>
          </w:p>
        </w:tc>
        <w:tc>
          <w:tcPr>
            <w:tcW w:w="524" w:type="pct"/>
            <w:tcBorders>
              <w:top w:val="single" w:sz="4" w:space="0" w:color="auto"/>
              <w:bottom w:val="nil"/>
            </w:tcBorders>
            <w:shd w:val="clear" w:color="000000" w:fill="FFFFFF"/>
            <w:vAlign w:val="center"/>
            <w:hideMark/>
          </w:tcPr>
          <w:p w14:paraId="3DFD377E" w14:textId="77777777" w:rsidR="00874916" w:rsidRPr="002C524B" w:rsidRDefault="00874916" w:rsidP="00EA28C4">
            <w:pPr>
              <w:jc w:val="center"/>
              <w:rPr>
                <w:sz w:val="18"/>
                <w:szCs w:val="18"/>
              </w:rPr>
            </w:pPr>
            <w:r w:rsidRPr="002C524B">
              <w:rPr>
                <w:sz w:val="18"/>
                <w:szCs w:val="18"/>
              </w:rPr>
              <w:t>8.74%</w:t>
            </w:r>
          </w:p>
        </w:tc>
      </w:tr>
      <w:tr w:rsidR="00874916" w:rsidRPr="002C524B" w14:paraId="0EFFA710" w14:textId="77777777" w:rsidTr="00EA28C4">
        <w:trPr>
          <w:trHeight w:val="420"/>
          <w:jc w:val="center"/>
        </w:trPr>
        <w:tc>
          <w:tcPr>
            <w:tcW w:w="619" w:type="pct"/>
            <w:tcBorders>
              <w:top w:val="nil"/>
            </w:tcBorders>
            <w:shd w:val="clear" w:color="000000" w:fill="FFFFFF"/>
            <w:vAlign w:val="center"/>
            <w:hideMark/>
          </w:tcPr>
          <w:p w14:paraId="51DB6D94" w14:textId="51FE0C30" w:rsidR="00874916" w:rsidRPr="002C524B" w:rsidRDefault="003B4565" w:rsidP="003B4565">
            <w:pPr>
              <w:jc w:val="center"/>
              <w:rPr>
                <w:sz w:val="18"/>
                <w:szCs w:val="18"/>
              </w:rPr>
            </w:pPr>
            <w:r>
              <w:rPr>
                <w:sz w:val="18"/>
                <w:szCs w:val="18"/>
              </w:rPr>
              <w:t>UK</w:t>
            </w:r>
          </w:p>
        </w:tc>
        <w:tc>
          <w:tcPr>
            <w:tcW w:w="562" w:type="pct"/>
            <w:tcBorders>
              <w:top w:val="nil"/>
            </w:tcBorders>
            <w:shd w:val="clear" w:color="000000" w:fill="FFFFFF"/>
            <w:vAlign w:val="center"/>
            <w:hideMark/>
          </w:tcPr>
          <w:p w14:paraId="6A07B954" w14:textId="77777777" w:rsidR="00874916" w:rsidRPr="002C524B" w:rsidRDefault="00874916" w:rsidP="00EA28C4">
            <w:pPr>
              <w:jc w:val="center"/>
              <w:rPr>
                <w:sz w:val="18"/>
                <w:szCs w:val="18"/>
              </w:rPr>
            </w:pPr>
            <w:r w:rsidRPr="002C524B">
              <w:rPr>
                <w:sz w:val="18"/>
                <w:szCs w:val="18"/>
              </w:rPr>
              <w:t>154.60</w:t>
            </w:r>
          </w:p>
        </w:tc>
        <w:tc>
          <w:tcPr>
            <w:tcW w:w="486" w:type="pct"/>
            <w:tcBorders>
              <w:top w:val="nil"/>
              <w:right w:val="single" w:sz="4" w:space="0" w:color="auto"/>
            </w:tcBorders>
            <w:shd w:val="clear" w:color="000000" w:fill="FFFFFF"/>
            <w:vAlign w:val="center"/>
            <w:hideMark/>
          </w:tcPr>
          <w:p w14:paraId="455DC14E" w14:textId="77777777" w:rsidR="00874916" w:rsidRPr="002C524B" w:rsidRDefault="00874916" w:rsidP="00EA28C4">
            <w:pPr>
              <w:jc w:val="center"/>
              <w:rPr>
                <w:sz w:val="18"/>
                <w:szCs w:val="18"/>
              </w:rPr>
            </w:pPr>
            <w:r w:rsidRPr="002C524B">
              <w:rPr>
                <w:sz w:val="18"/>
                <w:szCs w:val="18"/>
              </w:rPr>
              <w:t>8.28%</w:t>
            </w:r>
          </w:p>
        </w:tc>
        <w:tc>
          <w:tcPr>
            <w:tcW w:w="619" w:type="pct"/>
            <w:tcBorders>
              <w:top w:val="nil"/>
              <w:left w:val="single" w:sz="4" w:space="0" w:color="auto"/>
            </w:tcBorders>
            <w:shd w:val="clear" w:color="000000" w:fill="FFFFFF"/>
            <w:vAlign w:val="center"/>
            <w:hideMark/>
          </w:tcPr>
          <w:p w14:paraId="38CD957E" w14:textId="6FA5E017" w:rsidR="00874916" w:rsidRPr="002C524B" w:rsidRDefault="003B4565" w:rsidP="00EA28C4">
            <w:pPr>
              <w:jc w:val="center"/>
              <w:rPr>
                <w:sz w:val="18"/>
                <w:szCs w:val="18"/>
              </w:rPr>
            </w:pPr>
            <w:r>
              <w:rPr>
                <w:sz w:val="18"/>
                <w:szCs w:val="18"/>
              </w:rPr>
              <w:t>UK</w:t>
            </w:r>
          </w:p>
        </w:tc>
        <w:tc>
          <w:tcPr>
            <w:tcW w:w="576" w:type="pct"/>
            <w:tcBorders>
              <w:top w:val="nil"/>
            </w:tcBorders>
            <w:shd w:val="clear" w:color="000000" w:fill="FFFFFF"/>
            <w:vAlign w:val="center"/>
            <w:hideMark/>
          </w:tcPr>
          <w:p w14:paraId="41ECD98A" w14:textId="77777777" w:rsidR="00874916" w:rsidRPr="002C524B" w:rsidRDefault="00874916" w:rsidP="00EA28C4">
            <w:pPr>
              <w:jc w:val="center"/>
              <w:rPr>
                <w:sz w:val="18"/>
                <w:szCs w:val="18"/>
              </w:rPr>
            </w:pPr>
            <w:r w:rsidRPr="002C524B">
              <w:rPr>
                <w:sz w:val="18"/>
                <w:szCs w:val="18"/>
              </w:rPr>
              <w:t>144.11</w:t>
            </w:r>
          </w:p>
        </w:tc>
        <w:tc>
          <w:tcPr>
            <w:tcW w:w="472" w:type="pct"/>
            <w:tcBorders>
              <w:top w:val="nil"/>
              <w:right w:val="single" w:sz="4" w:space="0" w:color="auto"/>
            </w:tcBorders>
            <w:shd w:val="clear" w:color="000000" w:fill="FFFFFF"/>
            <w:vAlign w:val="center"/>
            <w:hideMark/>
          </w:tcPr>
          <w:p w14:paraId="36626A03" w14:textId="77777777" w:rsidR="00874916" w:rsidRPr="002C524B" w:rsidRDefault="00874916" w:rsidP="00EA28C4">
            <w:pPr>
              <w:jc w:val="center"/>
              <w:rPr>
                <w:sz w:val="18"/>
                <w:szCs w:val="18"/>
              </w:rPr>
            </w:pPr>
            <w:r w:rsidRPr="002C524B">
              <w:rPr>
                <w:sz w:val="18"/>
                <w:szCs w:val="18"/>
              </w:rPr>
              <w:t>7.23%</w:t>
            </w:r>
          </w:p>
        </w:tc>
        <w:tc>
          <w:tcPr>
            <w:tcW w:w="619" w:type="pct"/>
            <w:tcBorders>
              <w:top w:val="nil"/>
              <w:left w:val="single" w:sz="4" w:space="0" w:color="auto"/>
            </w:tcBorders>
            <w:shd w:val="clear" w:color="000000" w:fill="FFFFFF"/>
            <w:vAlign w:val="center"/>
            <w:hideMark/>
          </w:tcPr>
          <w:p w14:paraId="7889B79F" w14:textId="5D506B9D" w:rsidR="00874916" w:rsidRPr="002C524B" w:rsidRDefault="003B4565" w:rsidP="00EA28C4">
            <w:pPr>
              <w:jc w:val="center"/>
              <w:rPr>
                <w:sz w:val="18"/>
                <w:szCs w:val="18"/>
              </w:rPr>
            </w:pPr>
            <w:r>
              <w:rPr>
                <w:sz w:val="18"/>
                <w:szCs w:val="18"/>
              </w:rPr>
              <w:t>UAE</w:t>
            </w:r>
          </w:p>
        </w:tc>
        <w:tc>
          <w:tcPr>
            <w:tcW w:w="523" w:type="pct"/>
            <w:tcBorders>
              <w:top w:val="nil"/>
            </w:tcBorders>
            <w:shd w:val="clear" w:color="000000" w:fill="FFFFFF"/>
            <w:vAlign w:val="center"/>
            <w:hideMark/>
          </w:tcPr>
          <w:p w14:paraId="56565A5A" w14:textId="77777777" w:rsidR="00874916" w:rsidRPr="002C524B" w:rsidRDefault="00874916" w:rsidP="00EA28C4">
            <w:pPr>
              <w:jc w:val="center"/>
              <w:rPr>
                <w:sz w:val="18"/>
                <w:szCs w:val="18"/>
              </w:rPr>
            </w:pPr>
            <w:r w:rsidRPr="002C524B">
              <w:rPr>
                <w:sz w:val="18"/>
                <w:szCs w:val="18"/>
              </w:rPr>
              <w:t>147.88</w:t>
            </w:r>
          </w:p>
        </w:tc>
        <w:tc>
          <w:tcPr>
            <w:tcW w:w="524" w:type="pct"/>
            <w:tcBorders>
              <w:top w:val="nil"/>
            </w:tcBorders>
            <w:shd w:val="clear" w:color="000000" w:fill="FFFFFF"/>
            <w:vAlign w:val="center"/>
            <w:hideMark/>
          </w:tcPr>
          <w:p w14:paraId="49D517D2" w14:textId="77777777" w:rsidR="00874916" w:rsidRPr="002C524B" w:rsidRDefault="00874916" w:rsidP="00EA28C4">
            <w:pPr>
              <w:jc w:val="center"/>
              <w:rPr>
                <w:sz w:val="18"/>
                <w:szCs w:val="18"/>
              </w:rPr>
            </w:pPr>
            <w:r w:rsidRPr="002C524B">
              <w:rPr>
                <w:sz w:val="18"/>
                <w:szCs w:val="18"/>
              </w:rPr>
              <w:t>7.47%</w:t>
            </w:r>
          </w:p>
        </w:tc>
      </w:tr>
      <w:tr w:rsidR="00874916" w:rsidRPr="002C524B" w14:paraId="4CD8FD3E" w14:textId="77777777" w:rsidTr="003B4565">
        <w:trPr>
          <w:trHeight w:val="288"/>
          <w:jc w:val="center"/>
        </w:trPr>
        <w:tc>
          <w:tcPr>
            <w:tcW w:w="619" w:type="pct"/>
            <w:shd w:val="clear" w:color="000000" w:fill="FFFFFF"/>
            <w:vAlign w:val="center"/>
            <w:hideMark/>
          </w:tcPr>
          <w:p w14:paraId="00B8C724" w14:textId="51F83690" w:rsidR="00874916" w:rsidRPr="002C524B" w:rsidRDefault="003B4565" w:rsidP="003B4565">
            <w:pPr>
              <w:jc w:val="center"/>
              <w:rPr>
                <w:sz w:val="18"/>
                <w:szCs w:val="18"/>
              </w:rPr>
            </w:pPr>
            <w:r>
              <w:rPr>
                <w:sz w:val="18"/>
                <w:szCs w:val="18"/>
              </w:rPr>
              <w:t xml:space="preserve">USA </w:t>
            </w:r>
          </w:p>
        </w:tc>
        <w:tc>
          <w:tcPr>
            <w:tcW w:w="562" w:type="pct"/>
            <w:shd w:val="clear" w:color="000000" w:fill="FFFFFF"/>
            <w:vAlign w:val="center"/>
            <w:hideMark/>
          </w:tcPr>
          <w:p w14:paraId="4BBC57A4" w14:textId="77777777" w:rsidR="00874916" w:rsidRPr="002C524B" w:rsidRDefault="00874916" w:rsidP="00EA28C4">
            <w:pPr>
              <w:jc w:val="center"/>
              <w:rPr>
                <w:sz w:val="18"/>
                <w:szCs w:val="18"/>
              </w:rPr>
            </w:pPr>
            <w:r w:rsidRPr="002C524B">
              <w:rPr>
                <w:sz w:val="18"/>
                <w:szCs w:val="18"/>
              </w:rPr>
              <w:t>127.54</w:t>
            </w:r>
          </w:p>
        </w:tc>
        <w:tc>
          <w:tcPr>
            <w:tcW w:w="486" w:type="pct"/>
            <w:tcBorders>
              <w:right w:val="single" w:sz="4" w:space="0" w:color="auto"/>
            </w:tcBorders>
            <w:shd w:val="clear" w:color="000000" w:fill="FFFFFF"/>
            <w:vAlign w:val="center"/>
            <w:hideMark/>
          </w:tcPr>
          <w:p w14:paraId="137B04D3" w14:textId="77777777" w:rsidR="00874916" w:rsidRPr="002C524B" w:rsidRDefault="00874916" w:rsidP="00EA28C4">
            <w:pPr>
              <w:jc w:val="center"/>
              <w:rPr>
                <w:sz w:val="18"/>
                <w:szCs w:val="18"/>
              </w:rPr>
            </w:pPr>
            <w:r w:rsidRPr="002C524B">
              <w:rPr>
                <w:sz w:val="18"/>
                <w:szCs w:val="18"/>
              </w:rPr>
              <w:t>6.83%</w:t>
            </w:r>
          </w:p>
        </w:tc>
        <w:tc>
          <w:tcPr>
            <w:tcW w:w="619" w:type="pct"/>
            <w:tcBorders>
              <w:left w:val="single" w:sz="4" w:space="0" w:color="auto"/>
            </w:tcBorders>
            <w:shd w:val="clear" w:color="000000" w:fill="FFFFFF"/>
            <w:vAlign w:val="center"/>
            <w:hideMark/>
          </w:tcPr>
          <w:p w14:paraId="7174D436" w14:textId="77777777" w:rsidR="00874916" w:rsidRPr="002C524B" w:rsidRDefault="00874916" w:rsidP="00EA28C4">
            <w:pPr>
              <w:jc w:val="center"/>
              <w:rPr>
                <w:sz w:val="18"/>
                <w:szCs w:val="18"/>
              </w:rPr>
            </w:pPr>
            <w:r w:rsidRPr="002C524B">
              <w:rPr>
                <w:sz w:val="18"/>
                <w:szCs w:val="18"/>
              </w:rPr>
              <w:t>Afghanistan</w:t>
            </w:r>
          </w:p>
        </w:tc>
        <w:tc>
          <w:tcPr>
            <w:tcW w:w="576" w:type="pct"/>
            <w:shd w:val="clear" w:color="000000" w:fill="FFFFFF"/>
            <w:vAlign w:val="center"/>
            <w:hideMark/>
          </w:tcPr>
          <w:p w14:paraId="29FE1959" w14:textId="77777777" w:rsidR="00874916" w:rsidRPr="002C524B" w:rsidRDefault="00874916" w:rsidP="00EA28C4">
            <w:pPr>
              <w:jc w:val="center"/>
              <w:rPr>
                <w:sz w:val="18"/>
                <w:szCs w:val="18"/>
              </w:rPr>
            </w:pPr>
            <w:r w:rsidRPr="002C524B">
              <w:rPr>
                <w:sz w:val="18"/>
                <w:szCs w:val="18"/>
              </w:rPr>
              <w:t>135.64</w:t>
            </w:r>
          </w:p>
        </w:tc>
        <w:tc>
          <w:tcPr>
            <w:tcW w:w="472" w:type="pct"/>
            <w:tcBorders>
              <w:right w:val="single" w:sz="4" w:space="0" w:color="auto"/>
            </w:tcBorders>
            <w:shd w:val="clear" w:color="000000" w:fill="FFFFFF"/>
            <w:vAlign w:val="center"/>
            <w:hideMark/>
          </w:tcPr>
          <w:p w14:paraId="141F3D62" w14:textId="77777777" w:rsidR="00874916" w:rsidRPr="002C524B" w:rsidRDefault="00874916" w:rsidP="00EA28C4">
            <w:pPr>
              <w:jc w:val="center"/>
              <w:rPr>
                <w:sz w:val="18"/>
                <w:szCs w:val="18"/>
              </w:rPr>
            </w:pPr>
            <w:r w:rsidRPr="002C524B">
              <w:rPr>
                <w:sz w:val="18"/>
                <w:szCs w:val="18"/>
              </w:rPr>
              <w:t>6.80%</w:t>
            </w:r>
          </w:p>
        </w:tc>
        <w:tc>
          <w:tcPr>
            <w:tcW w:w="619" w:type="pct"/>
            <w:tcBorders>
              <w:left w:val="single" w:sz="4" w:space="0" w:color="auto"/>
            </w:tcBorders>
            <w:shd w:val="clear" w:color="000000" w:fill="FFFFFF"/>
            <w:vAlign w:val="center"/>
            <w:hideMark/>
          </w:tcPr>
          <w:p w14:paraId="0D82881C" w14:textId="3CEAA826" w:rsidR="00874916" w:rsidRPr="002C524B" w:rsidRDefault="003B4565" w:rsidP="00EA28C4">
            <w:pPr>
              <w:jc w:val="center"/>
              <w:rPr>
                <w:sz w:val="18"/>
                <w:szCs w:val="18"/>
              </w:rPr>
            </w:pPr>
            <w:r>
              <w:rPr>
                <w:sz w:val="18"/>
                <w:szCs w:val="18"/>
              </w:rPr>
              <w:t>UK</w:t>
            </w:r>
          </w:p>
        </w:tc>
        <w:tc>
          <w:tcPr>
            <w:tcW w:w="523" w:type="pct"/>
            <w:shd w:val="clear" w:color="000000" w:fill="FFFFFF"/>
            <w:vAlign w:val="center"/>
            <w:hideMark/>
          </w:tcPr>
          <w:p w14:paraId="63AC53CA" w14:textId="77777777" w:rsidR="00874916" w:rsidRPr="002C524B" w:rsidRDefault="00874916" w:rsidP="00EA28C4">
            <w:pPr>
              <w:jc w:val="center"/>
              <w:rPr>
                <w:sz w:val="18"/>
                <w:szCs w:val="18"/>
              </w:rPr>
            </w:pPr>
            <w:r w:rsidRPr="002C524B">
              <w:rPr>
                <w:sz w:val="18"/>
                <w:szCs w:val="18"/>
              </w:rPr>
              <w:t>137.62</w:t>
            </w:r>
          </w:p>
        </w:tc>
        <w:tc>
          <w:tcPr>
            <w:tcW w:w="524" w:type="pct"/>
            <w:shd w:val="clear" w:color="000000" w:fill="FFFFFF"/>
            <w:vAlign w:val="center"/>
            <w:hideMark/>
          </w:tcPr>
          <w:p w14:paraId="6517605F" w14:textId="77777777" w:rsidR="00874916" w:rsidRPr="002C524B" w:rsidRDefault="00874916" w:rsidP="00EA28C4">
            <w:pPr>
              <w:jc w:val="center"/>
              <w:rPr>
                <w:sz w:val="18"/>
                <w:szCs w:val="18"/>
              </w:rPr>
            </w:pPr>
            <w:r w:rsidRPr="002C524B">
              <w:rPr>
                <w:sz w:val="18"/>
                <w:szCs w:val="18"/>
              </w:rPr>
              <w:t>6.95%</w:t>
            </w:r>
          </w:p>
        </w:tc>
      </w:tr>
      <w:tr w:rsidR="00874916" w:rsidRPr="002C524B" w14:paraId="129D6F0F" w14:textId="77777777" w:rsidTr="003B4565">
        <w:trPr>
          <w:trHeight w:val="342"/>
          <w:jc w:val="center"/>
        </w:trPr>
        <w:tc>
          <w:tcPr>
            <w:tcW w:w="619" w:type="pct"/>
            <w:shd w:val="clear" w:color="000000" w:fill="FFFFFF"/>
            <w:vAlign w:val="center"/>
            <w:hideMark/>
          </w:tcPr>
          <w:p w14:paraId="3B782078" w14:textId="77777777" w:rsidR="00874916" w:rsidRPr="002C524B" w:rsidRDefault="00874916" w:rsidP="00EA28C4">
            <w:pPr>
              <w:jc w:val="center"/>
              <w:rPr>
                <w:sz w:val="18"/>
                <w:szCs w:val="18"/>
              </w:rPr>
            </w:pPr>
            <w:r w:rsidRPr="002C524B">
              <w:rPr>
                <w:sz w:val="18"/>
                <w:szCs w:val="18"/>
              </w:rPr>
              <w:t>Pakistan</w:t>
            </w:r>
          </w:p>
        </w:tc>
        <w:tc>
          <w:tcPr>
            <w:tcW w:w="562" w:type="pct"/>
            <w:shd w:val="clear" w:color="000000" w:fill="FFFFFF"/>
            <w:vAlign w:val="center"/>
            <w:hideMark/>
          </w:tcPr>
          <w:p w14:paraId="0A82797C" w14:textId="77777777" w:rsidR="00874916" w:rsidRPr="002C524B" w:rsidRDefault="00874916" w:rsidP="00EA28C4">
            <w:pPr>
              <w:jc w:val="center"/>
              <w:rPr>
                <w:sz w:val="18"/>
                <w:szCs w:val="18"/>
              </w:rPr>
            </w:pPr>
            <w:r w:rsidRPr="002C524B">
              <w:rPr>
                <w:sz w:val="18"/>
                <w:szCs w:val="18"/>
              </w:rPr>
              <w:t>119.23</w:t>
            </w:r>
          </w:p>
        </w:tc>
        <w:tc>
          <w:tcPr>
            <w:tcW w:w="486" w:type="pct"/>
            <w:tcBorders>
              <w:right w:val="single" w:sz="4" w:space="0" w:color="auto"/>
            </w:tcBorders>
            <w:shd w:val="clear" w:color="000000" w:fill="FFFFFF"/>
            <w:vAlign w:val="center"/>
            <w:hideMark/>
          </w:tcPr>
          <w:p w14:paraId="4A7B2E03" w14:textId="77777777" w:rsidR="00874916" w:rsidRPr="002C524B" w:rsidRDefault="00874916" w:rsidP="00EA28C4">
            <w:pPr>
              <w:jc w:val="center"/>
              <w:rPr>
                <w:sz w:val="18"/>
                <w:szCs w:val="18"/>
              </w:rPr>
            </w:pPr>
            <w:r w:rsidRPr="002C524B">
              <w:rPr>
                <w:sz w:val="18"/>
                <w:szCs w:val="18"/>
              </w:rPr>
              <w:t>6.39%</w:t>
            </w:r>
          </w:p>
        </w:tc>
        <w:tc>
          <w:tcPr>
            <w:tcW w:w="619" w:type="pct"/>
            <w:tcBorders>
              <w:left w:val="single" w:sz="4" w:space="0" w:color="auto"/>
            </w:tcBorders>
            <w:shd w:val="clear" w:color="000000" w:fill="FFFFFF"/>
            <w:vAlign w:val="center"/>
            <w:hideMark/>
          </w:tcPr>
          <w:p w14:paraId="72A10A1F" w14:textId="1C3028BF" w:rsidR="00874916" w:rsidRPr="002C524B" w:rsidRDefault="003B4565" w:rsidP="00EA28C4">
            <w:pPr>
              <w:jc w:val="center"/>
              <w:rPr>
                <w:sz w:val="18"/>
                <w:szCs w:val="18"/>
              </w:rPr>
            </w:pPr>
            <w:r>
              <w:rPr>
                <w:sz w:val="18"/>
                <w:szCs w:val="18"/>
              </w:rPr>
              <w:t>USA</w:t>
            </w:r>
          </w:p>
        </w:tc>
        <w:tc>
          <w:tcPr>
            <w:tcW w:w="576" w:type="pct"/>
            <w:shd w:val="clear" w:color="000000" w:fill="FFFFFF"/>
            <w:vAlign w:val="center"/>
            <w:hideMark/>
          </w:tcPr>
          <w:p w14:paraId="270E29B8" w14:textId="77777777" w:rsidR="00874916" w:rsidRPr="002C524B" w:rsidRDefault="00874916" w:rsidP="00EA28C4">
            <w:pPr>
              <w:jc w:val="center"/>
              <w:rPr>
                <w:sz w:val="18"/>
                <w:szCs w:val="18"/>
              </w:rPr>
            </w:pPr>
            <w:r w:rsidRPr="002C524B">
              <w:rPr>
                <w:sz w:val="18"/>
                <w:szCs w:val="18"/>
              </w:rPr>
              <w:t>125.59</w:t>
            </w:r>
          </w:p>
        </w:tc>
        <w:tc>
          <w:tcPr>
            <w:tcW w:w="472" w:type="pct"/>
            <w:tcBorders>
              <w:right w:val="single" w:sz="4" w:space="0" w:color="auto"/>
            </w:tcBorders>
            <w:shd w:val="clear" w:color="000000" w:fill="FFFFFF"/>
            <w:vAlign w:val="center"/>
            <w:hideMark/>
          </w:tcPr>
          <w:p w14:paraId="65634564" w14:textId="77777777" w:rsidR="00874916" w:rsidRPr="002C524B" w:rsidRDefault="00874916" w:rsidP="00EA28C4">
            <w:pPr>
              <w:jc w:val="center"/>
              <w:rPr>
                <w:sz w:val="18"/>
                <w:szCs w:val="18"/>
              </w:rPr>
            </w:pPr>
            <w:r w:rsidRPr="002C524B">
              <w:rPr>
                <w:sz w:val="18"/>
                <w:szCs w:val="18"/>
              </w:rPr>
              <w:t>6.30%</w:t>
            </w:r>
          </w:p>
        </w:tc>
        <w:tc>
          <w:tcPr>
            <w:tcW w:w="619" w:type="pct"/>
            <w:tcBorders>
              <w:left w:val="single" w:sz="4" w:space="0" w:color="auto"/>
            </w:tcBorders>
            <w:shd w:val="clear" w:color="000000" w:fill="FFFFFF"/>
            <w:vAlign w:val="center"/>
            <w:hideMark/>
          </w:tcPr>
          <w:p w14:paraId="2C6A0D75" w14:textId="7F2F1FFD" w:rsidR="00874916" w:rsidRPr="002C524B" w:rsidRDefault="003B4565" w:rsidP="00EA28C4">
            <w:pPr>
              <w:jc w:val="center"/>
              <w:rPr>
                <w:sz w:val="18"/>
                <w:szCs w:val="18"/>
              </w:rPr>
            </w:pPr>
            <w:r>
              <w:rPr>
                <w:sz w:val="18"/>
                <w:szCs w:val="18"/>
              </w:rPr>
              <w:t>USA</w:t>
            </w:r>
          </w:p>
        </w:tc>
        <w:tc>
          <w:tcPr>
            <w:tcW w:w="523" w:type="pct"/>
            <w:shd w:val="clear" w:color="000000" w:fill="FFFFFF"/>
            <w:vAlign w:val="center"/>
            <w:hideMark/>
          </w:tcPr>
          <w:p w14:paraId="7B930C34" w14:textId="77777777" w:rsidR="00874916" w:rsidRPr="002C524B" w:rsidRDefault="00874916" w:rsidP="00EA28C4">
            <w:pPr>
              <w:jc w:val="center"/>
              <w:rPr>
                <w:sz w:val="18"/>
                <w:szCs w:val="18"/>
              </w:rPr>
            </w:pPr>
            <w:r w:rsidRPr="002C524B">
              <w:rPr>
                <w:sz w:val="18"/>
                <w:szCs w:val="18"/>
              </w:rPr>
              <w:t>130.16</w:t>
            </w:r>
          </w:p>
        </w:tc>
        <w:tc>
          <w:tcPr>
            <w:tcW w:w="524" w:type="pct"/>
            <w:shd w:val="clear" w:color="000000" w:fill="FFFFFF"/>
            <w:vAlign w:val="center"/>
            <w:hideMark/>
          </w:tcPr>
          <w:p w14:paraId="53482AC3" w14:textId="77777777" w:rsidR="00874916" w:rsidRPr="002C524B" w:rsidRDefault="00874916" w:rsidP="00EA28C4">
            <w:pPr>
              <w:jc w:val="center"/>
              <w:rPr>
                <w:sz w:val="18"/>
                <w:szCs w:val="18"/>
              </w:rPr>
            </w:pPr>
            <w:r w:rsidRPr="002C524B">
              <w:rPr>
                <w:sz w:val="18"/>
                <w:szCs w:val="18"/>
              </w:rPr>
              <w:t>6.57%</w:t>
            </w:r>
          </w:p>
        </w:tc>
      </w:tr>
      <w:tr w:rsidR="00874916" w:rsidRPr="002C524B" w14:paraId="7704914E" w14:textId="77777777" w:rsidTr="003B4565">
        <w:trPr>
          <w:trHeight w:val="288"/>
          <w:jc w:val="center"/>
        </w:trPr>
        <w:tc>
          <w:tcPr>
            <w:tcW w:w="619" w:type="pct"/>
            <w:shd w:val="clear" w:color="000000" w:fill="FFFFFF"/>
            <w:vAlign w:val="center"/>
            <w:hideMark/>
          </w:tcPr>
          <w:p w14:paraId="3CBA3B5C" w14:textId="77777777" w:rsidR="00874916" w:rsidRPr="002C524B" w:rsidRDefault="00874916" w:rsidP="00EA28C4">
            <w:pPr>
              <w:jc w:val="center"/>
              <w:rPr>
                <w:sz w:val="18"/>
                <w:szCs w:val="18"/>
              </w:rPr>
            </w:pPr>
            <w:r w:rsidRPr="002C524B">
              <w:rPr>
                <w:sz w:val="18"/>
                <w:szCs w:val="18"/>
              </w:rPr>
              <w:t>Egypt</w:t>
            </w:r>
          </w:p>
        </w:tc>
        <w:tc>
          <w:tcPr>
            <w:tcW w:w="562" w:type="pct"/>
            <w:shd w:val="clear" w:color="000000" w:fill="FFFFFF"/>
            <w:vAlign w:val="center"/>
            <w:hideMark/>
          </w:tcPr>
          <w:p w14:paraId="4F841901" w14:textId="77777777" w:rsidR="00874916" w:rsidRPr="002C524B" w:rsidRDefault="00874916" w:rsidP="00EA28C4">
            <w:pPr>
              <w:jc w:val="center"/>
              <w:rPr>
                <w:sz w:val="18"/>
                <w:szCs w:val="18"/>
              </w:rPr>
            </w:pPr>
            <w:r w:rsidRPr="002C524B">
              <w:rPr>
                <w:sz w:val="18"/>
                <w:szCs w:val="18"/>
              </w:rPr>
              <w:t>100.42</w:t>
            </w:r>
          </w:p>
        </w:tc>
        <w:tc>
          <w:tcPr>
            <w:tcW w:w="486" w:type="pct"/>
            <w:tcBorders>
              <w:right w:val="single" w:sz="4" w:space="0" w:color="auto"/>
            </w:tcBorders>
            <w:shd w:val="clear" w:color="000000" w:fill="FFFFFF"/>
            <w:vAlign w:val="center"/>
            <w:hideMark/>
          </w:tcPr>
          <w:p w14:paraId="19C01A60" w14:textId="77777777" w:rsidR="00874916" w:rsidRPr="002C524B" w:rsidRDefault="00874916" w:rsidP="00EA28C4">
            <w:pPr>
              <w:jc w:val="center"/>
              <w:rPr>
                <w:sz w:val="18"/>
                <w:szCs w:val="18"/>
              </w:rPr>
            </w:pPr>
            <w:r w:rsidRPr="002C524B">
              <w:rPr>
                <w:sz w:val="18"/>
                <w:szCs w:val="18"/>
              </w:rPr>
              <w:t>5.38%</w:t>
            </w:r>
          </w:p>
        </w:tc>
        <w:tc>
          <w:tcPr>
            <w:tcW w:w="619" w:type="pct"/>
            <w:tcBorders>
              <w:left w:val="single" w:sz="4" w:space="0" w:color="auto"/>
            </w:tcBorders>
            <w:shd w:val="clear" w:color="000000" w:fill="FFFFFF"/>
            <w:vAlign w:val="center"/>
            <w:hideMark/>
          </w:tcPr>
          <w:p w14:paraId="79C094A3" w14:textId="70D158E4" w:rsidR="00874916" w:rsidRPr="002C524B" w:rsidRDefault="003B4565" w:rsidP="003B4565">
            <w:pPr>
              <w:jc w:val="center"/>
              <w:rPr>
                <w:sz w:val="18"/>
                <w:szCs w:val="18"/>
              </w:rPr>
            </w:pPr>
            <w:r>
              <w:rPr>
                <w:sz w:val="18"/>
                <w:szCs w:val="18"/>
              </w:rPr>
              <w:t>UAE</w:t>
            </w:r>
          </w:p>
        </w:tc>
        <w:tc>
          <w:tcPr>
            <w:tcW w:w="576" w:type="pct"/>
            <w:shd w:val="clear" w:color="000000" w:fill="FFFFFF"/>
            <w:vAlign w:val="center"/>
            <w:hideMark/>
          </w:tcPr>
          <w:p w14:paraId="6C132128" w14:textId="77777777" w:rsidR="00874916" w:rsidRPr="002C524B" w:rsidRDefault="00874916" w:rsidP="00EA28C4">
            <w:pPr>
              <w:jc w:val="center"/>
              <w:rPr>
                <w:sz w:val="18"/>
                <w:szCs w:val="18"/>
              </w:rPr>
            </w:pPr>
            <w:r w:rsidRPr="002C524B">
              <w:rPr>
                <w:sz w:val="18"/>
                <w:szCs w:val="18"/>
              </w:rPr>
              <w:t>123.19</w:t>
            </w:r>
          </w:p>
        </w:tc>
        <w:tc>
          <w:tcPr>
            <w:tcW w:w="472" w:type="pct"/>
            <w:tcBorders>
              <w:right w:val="single" w:sz="4" w:space="0" w:color="auto"/>
            </w:tcBorders>
            <w:shd w:val="clear" w:color="000000" w:fill="FFFFFF"/>
            <w:vAlign w:val="center"/>
            <w:hideMark/>
          </w:tcPr>
          <w:p w14:paraId="34EBE3C2" w14:textId="77777777" w:rsidR="00874916" w:rsidRPr="002C524B" w:rsidRDefault="00874916" w:rsidP="00EA28C4">
            <w:pPr>
              <w:jc w:val="center"/>
              <w:rPr>
                <w:sz w:val="18"/>
                <w:szCs w:val="18"/>
              </w:rPr>
            </w:pPr>
            <w:r w:rsidRPr="002C524B">
              <w:rPr>
                <w:sz w:val="18"/>
                <w:szCs w:val="18"/>
              </w:rPr>
              <w:t>6.18%</w:t>
            </w:r>
          </w:p>
        </w:tc>
        <w:tc>
          <w:tcPr>
            <w:tcW w:w="619" w:type="pct"/>
            <w:tcBorders>
              <w:left w:val="single" w:sz="4" w:space="0" w:color="auto"/>
            </w:tcBorders>
            <w:shd w:val="clear" w:color="000000" w:fill="FFFFFF"/>
            <w:vAlign w:val="center"/>
            <w:hideMark/>
          </w:tcPr>
          <w:p w14:paraId="588D566D" w14:textId="0719A14A" w:rsidR="00874916" w:rsidRPr="002C524B" w:rsidRDefault="003B4565" w:rsidP="00EA28C4">
            <w:pPr>
              <w:jc w:val="center"/>
              <w:rPr>
                <w:sz w:val="18"/>
                <w:szCs w:val="18"/>
              </w:rPr>
            </w:pPr>
            <w:r>
              <w:rPr>
                <w:sz w:val="18"/>
                <w:szCs w:val="18"/>
              </w:rPr>
              <w:t>Iran</w:t>
            </w:r>
          </w:p>
        </w:tc>
        <w:tc>
          <w:tcPr>
            <w:tcW w:w="523" w:type="pct"/>
            <w:shd w:val="clear" w:color="000000" w:fill="FFFFFF"/>
            <w:vAlign w:val="center"/>
            <w:hideMark/>
          </w:tcPr>
          <w:p w14:paraId="41398258" w14:textId="77777777" w:rsidR="00874916" w:rsidRPr="002C524B" w:rsidRDefault="00874916" w:rsidP="00EA28C4">
            <w:pPr>
              <w:jc w:val="center"/>
              <w:rPr>
                <w:sz w:val="18"/>
                <w:szCs w:val="18"/>
              </w:rPr>
            </w:pPr>
            <w:r w:rsidRPr="002C524B">
              <w:rPr>
                <w:sz w:val="18"/>
                <w:szCs w:val="18"/>
              </w:rPr>
              <w:t>122.93</w:t>
            </w:r>
          </w:p>
        </w:tc>
        <w:tc>
          <w:tcPr>
            <w:tcW w:w="524" w:type="pct"/>
            <w:shd w:val="clear" w:color="000000" w:fill="FFFFFF"/>
            <w:vAlign w:val="center"/>
            <w:hideMark/>
          </w:tcPr>
          <w:p w14:paraId="564A2F47" w14:textId="77777777" w:rsidR="00874916" w:rsidRPr="002C524B" w:rsidRDefault="00874916" w:rsidP="00EA28C4">
            <w:pPr>
              <w:jc w:val="center"/>
              <w:rPr>
                <w:sz w:val="18"/>
                <w:szCs w:val="18"/>
              </w:rPr>
            </w:pPr>
            <w:r w:rsidRPr="002C524B">
              <w:rPr>
                <w:sz w:val="18"/>
                <w:szCs w:val="18"/>
              </w:rPr>
              <w:t>6.21%</w:t>
            </w:r>
          </w:p>
        </w:tc>
      </w:tr>
      <w:tr w:rsidR="00874916" w:rsidRPr="002C524B" w14:paraId="2A276A23" w14:textId="77777777" w:rsidTr="00EA28C4">
        <w:trPr>
          <w:trHeight w:val="420"/>
          <w:jc w:val="center"/>
        </w:trPr>
        <w:tc>
          <w:tcPr>
            <w:tcW w:w="619" w:type="pct"/>
            <w:shd w:val="clear" w:color="000000" w:fill="FFFFFF"/>
            <w:vAlign w:val="center"/>
            <w:hideMark/>
          </w:tcPr>
          <w:p w14:paraId="0547475D" w14:textId="77777777" w:rsidR="00874916" w:rsidRPr="002C524B" w:rsidRDefault="00874916" w:rsidP="00EA28C4">
            <w:pPr>
              <w:jc w:val="center"/>
              <w:rPr>
                <w:sz w:val="18"/>
                <w:szCs w:val="18"/>
              </w:rPr>
            </w:pPr>
            <w:r w:rsidRPr="002C524B">
              <w:rPr>
                <w:sz w:val="18"/>
                <w:szCs w:val="18"/>
              </w:rPr>
              <w:t>Morocco</w:t>
            </w:r>
          </w:p>
        </w:tc>
        <w:tc>
          <w:tcPr>
            <w:tcW w:w="562" w:type="pct"/>
            <w:shd w:val="clear" w:color="000000" w:fill="FFFFFF"/>
            <w:vAlign w:val="center"/>
            <w:hideMark/>
          </w:tcPr>
          <w:p w14:paraId="1A896F2A" w14:textId="77777777" w:rsidR="00874916" w:rsidRPr="002C524B" w:rsidRDefault="00874916" w:rsidP="00EA28C4">
            <w:pPr>
              <w:jc w:val="center"/>
              <w:rPr>
                <w:sz w:val="18"/>
                <w:szCs w:val="18"/>
              </w:rPr>
            </w:pPr>
            <w:r w:rsidRPr="002C524B">
              <w:rPr>
                <w:sz w:val="18"/>
                <w:szCs w:val="18"/>
              </w:rPr>
              <w:t>65.84</w:t>
            </w:r>
          </w:p>
        </w:tc>
        <w:tc>
          <w:tcPr>
            <w:tcW w:w="486" w:type="pct"/>
            <w:tcBorders>
              <w:right w:val="single" w:sz="4" w:space="0" w:color="auto"/>
            </w:tcBorders>
            <w:shd w:val="clear" w:color="000000" w:fill="FFFFFF"/>
            <w:vAlign w:val="center"/>
            <w:hideMark/>
          </w:tcPr>
          <w:p w14:paraId="257A5076" w14:textId="77777777" w:rsidR="00874916" w:rsidRPr="002C524B" w:rsidRDefault="00874916" w:rsidP="00EA28C4">
            <w:pPr>
              <w:jc w:val="center"/>
              <w:rPr>
                <w:sz w:val="18"/>
                <w:szCs w:val="18"/>
              </w:rPr>
            </w:pPr>
            <w:r w:rsidRPr="002C524B">
              <w:rPr>
                <w:sz w:val="18"/>
                <w:szCs w:val="18"/>
              </w:rPr>
              <w:t>3.53%</w:t>
            </w:r>
          </w:p>
        </w:tc>
        <w:tc>
          <w:tcPr>
            <w:tcW w:w="619" w:type="pct"/>
            <w:tcBorders>
              <w:left w:val="single" w:sz="4" w:space="0" w:color="auto"/>
            </w:tcBorders>
            <w:shd w:val="clear" w:color="000000" w:fill="FFFFFF"/>
            <w:vAlign w:val="center"/>
            <w:hideMark/>
          </w:tcPr>
          <w:p w14:paraId="606D8D2A" w14:textId="77777777" w:rsidR="00874916" w:rsidRPr="002C524B" w:rsidRDefault="00874916" w:rsidP="00EA28C4">
            <w:pPr>
              <w:jc w:val="center"/>
              <w:rPr>
                <w:sz w:val="18"/>
                <w:szCs w:val="18"/>
              </w:rPr>
            </w:pPr>
            <w:r w:rsidRPr="002C524B">
              <w:rPr>
                <w:sz w:val="18"/>
                <w:szCs w:val="18"/>
              </w:rPr>
              <w:t>Pakistan</w:t>
            </w:r>
          </w:p>
        </w:tc>
        <w:tc>
          <w:tcPr>
            <w:tcW w:w="576" w:type="pct"/>
            <w:shd w:val="clear" w:color="000000" w:fill="FFFFFF"/>
            <w:vAlign w:val="center"/>
            <w:hideMark/>
          </w:tcPr>
          <w:p w14:paraId="65CD7D57" w14:textId="77777777" w:rsidR="00874916" w:rsidRPr="002C524B" w:rsidRDefault="00874916" w:rsidP="00EA28C4">
            <w:pPr>
              <w:jc w:val="center"/>
              <w:rPr>
                <w:sz w:val="18"/>
                <w:szCs w:val="18"/>
              </w:rPr>
            </w:pPr>
            <w:r w:rsidRPr="002C524B">
              <w:rPr>
                <w:sz w:val="18"/>
                <w:szCs w:val="18"/>
              </w:rPr>
              <w:t>122.30</w:t>
            </w:r>
          </w:p>
        </w:tc>
        <w:tc>
          <w:tcPr>
            <w:tcW w:w="472" w:type="pct"/>
            <w:tcBorders>
              <w:right w:val="single" w:sz="4" w:space="0" w:color="auto"/>
            </w:tcBorders>
            <w:shd w:val="clear" w:color="000000" w:fill="FFFFFF"/>
            <w:vAlign w:val="center"/>
            <w:hideMark/>
          </w:tcPr>
          <w:p w14:paraId="174E60D4" w14:textId="77777777" w:rsidR="00874916" w:rsidRPr="002C524B" w:rsidRDefault="00874916" w:rsidP="00EA28C4">
            <w:pPr>
              <w:jc w:val="center"/>
              <w:rPr>
                <w:sz w:val="18"/>
                <w:szCs w:val="18"/>
              </w:rPr>
            </w:pPr>
            <w:r w:rsidRPr="002C524B">
              <w:rPr>
                <w:sz w:val="18"/>
                <w:szCs w:val="18"/>
              </w:rPr>
              <w:t>6.13%</w:t>
            </w:r>
          </w:p>
        </w:tc>
        <w:tc>
          <w:tcPr>
            <w:tcW w:w="619" w:type="pct"/>
            <w:tcBorders>
              <w:left w:val="single" w:sz="4" w:space="0" w:color="auto"/>
            </w:tcBorders>
            <w:shd w:val="clear" w:color="000000" w:fill="FFFFFF"/>
            <w:vAlign w:val="center"/>
            <w:hideMark/>
          </w:tcPr>
          <w:p w14:paraId="34E55FE9" w14:textId="77777777" w:rsidR="00874916" w:rsidRPr="002C524B" w:rsidRDefault="00874916" w:rsidP="00EA28C4">
            <w:pPr>
              <w:jc w:val="center"/>
              <w:rPr>
                <w:sz w:val="18"/>
                <w:szCs w:val="18"/>
              </w:rPr>
            </w:pPr>
            <w:r w:rsidRPr="002C524B">
              <w:rPr>
                <w:sz w:val="18"/>
                <w:szCs w:val="18"/>
              </w:rPr>
              <w:t>Pakistan</w:t>
            </w:r>
          </w:p>
        </w:tc>
        <w:tc>
          <w:tcPr>
            <w:tcW w:w="523" w:type="pct"/>
            <w:shd w:val="clear" w:color="000000" w:fill="FFFFFF"/>
            <w:vAlign w:val="center"/>
            <w:hideMark/>
          </w:tcPr>
          <w:p w14:paraId="5E9D3EA4" w14:textId="77777777" w:rsidR="00874916" w:rsidRPr="002C524B" w:rsidRDefault="00874916" w:rsidP="00EA28C4">
            <w:pPr>
              <w:jc w:val="center"/>
              <w:rPr>
                <w:sz w:val="18"/>
                <w:szCs w:val="18"/>
              </w:rPr>
            </w:pPr>
            <w:r w:rsidRPr="002C524B">
              <w:rPr>
                <w:sz w:val="18"/>
                <w:szCs w:val="18"/>
              </w:rPr>
              <w:t>121.90</w:t>
            </w:r>
          </w:p>
        </w:tc>
        <w:tc>
          <w:tcPr>
            <w:tcW w:w="524" w:type="pct"/>
            <w:shd w:val="clear" w:color="000000" w:fill="FFFFFF"/>
            <w:vAlign w:val="center"/>
            <w:hideMark/>
          </w:tcPr>
          <w:p w14:paraId="517900FA" w14:textId="77777777" w:rsidR="00874916" w:rsidRPr="002C524B" w:rsidRDefault="00874916" w:rsidP="00EA28C4">
            <w:pPr>
              <w:jc w:val="center"/>
              <w:rPr>
                <w:sz w:val="18"/>
                <w:szCs w:val="18"/>
              </w:rPr>
            </w:pPr>
            <w:r w:rsidRPr="002C524B">
              <w:rPr>
                <w:sz w:val="18"/>
                <w:szCs w:val="18"/>
              </w:rPr>
              <w:t>6.15%</w:t>
            </w:r>
          </w:p>
        </w:tc>
      </w:tr>
      <w:tr w:rsidR="00874916" w:rsidRPr="002C524B" w14:paraId="491FAFFB" w14:textId="77777777" w:rsidTr="003B4565">
        <w:trPr>
          <w:trHeight w:val="198"/>
          <w:jc w:val="center"/>
        </w:trPr>
        <w:tc>
          <w:tcPr>
            <w:tcW w:w="619" w:type="pct"/>
            <w:shd w:val="clear" w:color="000000" w:fill="FFFFFF"/>
            <w:vAlign w:val="center"/>
            <w:hideMark/>
          </w:tcPr>
          <w:p w14:paraId="451F8918" w14:textId="77777777" w:rsidR="00874916" w:rsidRPr="002C524B" w:rsidRDefault="00874916" w:rsidP="00EA28C4">
            <w:pPr>
              <w:jc w:val="center"/>
              <w:rPr>
                <w:sz w:val="18"/>
                <w:szCs w:val="18"/>
              </w:rPr>
            </w:pPr>
            <w:r w:rsidRPr="002C524B">
              <w:rPr>
                <w:sz w:val="18"/>
                <w:szCs w:val="18"/>
              </w:rPr>
              <w:t>Afghanistan</w:t>
            </w:r>
          </w:p>
        </w:tc>
        <w:tc>
          <w:tcPr>
            <w:tcW w:w="562" w:type="pct"/>
            <w:shd w:val="clear" w:color="000000" w:fill="FFFFFF"/>
            <w:vAlign w:val="center"/>
            <w:hideMark/>
          </w:tcPr>
          <w:p w14:paraId="65DB4964" w14:textId="77777777" w:rsidR="00874916" w:rsidRPr="002C524B" w:rsidRDefault="00874916" w:rsidP="00EA28C4">
            <w:pPr>
              <w:jc w:val="center"/>
              <w:rPr>
                <w:sz w:val="18"/>
                <w:szCs w:val="18"/>
              </w:rPr>
            </w:pPr>
            <w:r w:rsidRPr="002C524B">
              <w:rPr>
                <w:sz w:val="18"/>
                <w:szCs w:val="18"/>
              </w:rPr>
              <w:t>63.22</w:t>
            </w:r>
          </w:p>
        </w:tc>
        <w:tc>
          <w:tcPr>
            <w:tcW w:w="486" w:type="pct"/>
            <w:tcBorders>
              <w:right w:val="single" w:sz="4" w:space="0" w:color="auto"/>
            </w:tcBorders>
            <w:shd w:val="clear" w:color="000000" w:fill="FFFFFF"/>
            <w:vAlign w:val="center"/>
            <w:hideMark/>
          </w:tcPr>
          <w:p w14:paraId="289B5BD8" w14:textId="77777777" w:rsidR="00874916" w:rsidRPr="002C524B" w:rsidRDefault="00874916" w:rsidP="00EA28C4">
            <w:pPr>
              <w:jc w:val="center"/>
              <w:rPr>
                <w:sz w:val="18"/>
                <w:szCs w:val="18"/>
              </w:rPr>
            </w:pPr>
            <w:r w:rsidRPr="002C524B">
              <w:rPr>
                <w:sz w:val="18"/>
                <w:szCs w:val="18"/>
              </w:rPr>
              <w:t>3.39%</w:t>
            </w:r>
          </w:p>
        </w:tc>
        <w:tc>
          <w:tcPr>
            <w:tcW w:w="619" w:type="pct"/>
            <w:tcBorders>
              <w:left w:val="single" w:sz="4" w:space="0" w:color="auto"/>
            </w:tcBorders>
            <w:shd w:val="clear" w:color="000000" w:fill="FFFFFF"/>
            <w:vAlign w:val="center"/>
            <w:hideMark/>
          </w:tcPr>
          <w:p w14:paraId="6B1F3120" w14:textId="77777777" w:rsidR="00874916" w:rsidRPr="002C524B" w:rsidRDefault="00874916" w:rsidP="00EA28C4">
            <w:pPr>
              <w:jc w:val="center"/>
              <w:rPr>
                <w:sz w:val="18"/>
                <w:szCs w:val="18"/>
              </w:rPr>
            </w:pPr>
            <w:r w:rsidRPr="002C524B">
              <w:rPr>
                <w:sz w:val="18"/>
                <w:szCs w:val="18"/>
              </w:rPr>
              <w:t>Egypt</w:t>
            </w:r>
          </w:p>
        </w:tc>
        <w:tc>
          <w:tcPr>
            <w:tcW w:w="576" w:type="pct"/>
            <w:shd w:val="clear" w:color="000000" w:fill="FFFFFF"/>
            <w:vAlign w:val="center"/>
            <w:hideMark/>
          </w:tcPr>
          <w:p w14:paraId="26AC99A7" w14:textId="77777777" w:rsidR="00874916" w:rsidRPr="002C524B" w:rsidRDefault="00874916" w:rsidP="00EA28C4">
            <w:pPr>
              <w:jc w:val="center"/>
              <w:rPr>
                <w:sz w:val="18"/>
                <w:szCs w:val="18"/>
              </w:rPr>
            </w:pPr>
            <w:r w:rsidRPr="002C524B">
              <w:rPr>
                <w:sz w:val="18"/>
                <w:szCs w:val="18"/>
              </w:rPr>
              <w:t>109.38</w:t>
            </w:r>
          </w:p>
        </w:tc>
        <w:tc>
          <w:tcPr>
            <w:tcW w:w="472" w:type="pct"/>
            <w:tcBorders>
              <w:right w:val="single" w:sz="4" w:space="0" w:color="auto"/>
            </w:tcBorders>
            <w:shd w:val="clear" w:color="000000" w:fill="FFFFFF"/>
            <w:vAlign w:val="center"/>
            <w:hideMark/>
          </w:tcPr>
          <w:p w14:paraId="468F6D6A" w14:textId="77777777" w:rsidR="00874916" w:rsidRPr="002C524B" w:rsidRDefault="00874916" w:rsidP="00EA28C4">
            <w:pPr>
              <w:jc w:val="center"/>
              <w:rPr>
                <w:sz w:val="18"/>
                <w:szCs w:val="18"/>
              </w:rPr>
            </w:pPr>
            <w:r w:rsidRPr="002C524B">
              <w:rPr>
                <w:sz w:val="18"/>
                <w:szCs w:val="18"/>
              </w:rPr>
              <w:t>5.49%</w:t>
            </w:r>
          </w:p>
        </w:tc>
        <w:tc>
          <w:tcPr>
            <w:tcW w:w="619" w:type="pct"/>
            <w:tcBorders>
              <w:left w:val="single" w:sz="4" w:space="0" w:color="auto"/>
            </w:tcBorders>
            <w:shd w:val="clear" w:color="000000" w:fill="FFFFFF"/>
            <w:vAlign w:val="center"/>
            <w:hideMark/>
          </w:tcPr>
          <w:p w14:paraId="07655BDF" w14:textId="77777777" w:rsidR="00874916" w:rsidRPr="002C524B" w:rsidRDefault="00874916" w:rsidP="00EA28C4">
            <w:pPr>
              <w:jc w:val="center"/>
              <w:rPr>
                <w:sz w:val="18"/>
                <w:szCs w:val="18"/>
              </w:rPr>
            </w:pPr>
            <w:r w:rsidRPr="002C524B">
              <w:rPr>
                <w:sz w:val="18"/>
                <w:szCs w:val="18"/>
              </w:rPr>
              <w:t>Egypt</w:t>
            </w:r>
          </w:p>
        </w:tc>
        <w:tc>
          <w:tcPr>
            <w:tcW w:w="523" w:type="pct"/>
            <w:shd w:val="clear" w:color="000000" w:fill="FFFFFF"/>
            <w:vAlign w:val="center"/>
            <w:hideMark/>
          </w:tcPr>
          <w:p w14:paraId="56821DC0" w14:textId="77777777" w:rsidR="00874916" w:rsidRPr="002C524B" w:rsidRDefault="00874916" w:rsidP="00EA28C4">
            <w:pPr>
              <w:jc w:val="center"/>
              <w:rPr>
                <w:sz w:val="18"/>
                <w:szCs w:val="18"/>
              </w:rPr>
            </w:pPr>
            <w:r w:rsidRPr="002C524B">
              <w:rPr>
                <w:sz w:val="18"/>
                <w:szCs w:val="18"/>
              </w:rPr>
              <w:t>104.70</w:t>
            </w:r>
          </w:p>
        </w:tc>
        <w:tc>
          <w:tcPr>
            <w:tcW w:w="524" w:type="pct"/>
            <w:shd w:val="clear" w:color="000000" w:fill="FFFFFF"/>
            <w:vAlign w:val="center"/>
            <w:hideMark/>
          </w:tcPr>
          <w:p w14:paraId="58BC413D" w14:textId="77777777" w:rsidR="00874916" w:rsidRPr="002C524B" w:rsidRDefault="00874916" w:rsidP="00EA28C4">
            <w:pPr>
              <w:jc w:val="center"/>
              <w:rPr>
                <w:sz w:val="18"/>
                <w:szCs w:val="18"/>
              </w:rPr>
            </w:pPr>
            <w:r w:rsidRPr="002C524B">
              <w:rPr>
                <w:sz w:val="18"/>
                <w:szCs w:val="18"/>
              </w:rPr>
              <w:t>5.29%</w:t>
            </w:r>
          </w:p>
        </w:tc>
      </w:tr>
      <w:tr w:rsidR="00874916" w:rsidRPr="002C524B" w14:paraId="42E4378E" w14:textId="77777777" w:rsidTr="003B4565">
        <w:trPr>
          <w:trHeight w:val="450"/>
          <w:jc w:val="center"/>
        </w:trPr>
        <w:tc>
          <w:tcPr>
            <w:tcW w:w="619" w:type="pct"/>
            <w:shd w:val="clear" w:color="000000" w:fill="FFFFFF"/>
            <w:vAlign w:val="center"/>
            <w:hideMark/>
          </w:tcPr>
          <w:p w14:paraId="5FAEFC76" w14:textId="77777777" w:rsidR="00874916" w:rsidRPr="002C524B" w:rsidRDefault="00874916" w:rsidP="00EA28C4">
            <w:pPr>
              <w:jc w:val="center"/>
              <w:rPr>
                <w:sz w:val="18"/>
                <w:szCs w:val="18"/>
              </w:rPr>
            </w:pPr>
            <w:r w:rsidRPr="002C524B">
              <w:rPr>
                <w:sz w:val="18"/>
                <w:szCs w:val="18"/>
              </w:rPr>
              <w:t>Germany</w:t>
            </w:r>
          </w:p>
        </w:tc>
        <w:tc>
          <w:tcPr>
            <w:tcW w:w="562" w:type="pct"/>
            <w:shd w:val="clear" w:color="000000" w:fill="FFFFFF"/>
            <w:vAlign w:val="center"/>
            <w:hideMark/>
          </w:tcPr>
          <w:p w14:paraId="57181142" w14:textId="77777777" w:rsidR="00874916" w:rsidRPr="002C524B" w:rsidRDefault="00874916" w:rsidP="00EA28C4">
            <w:pPr>
              <w:jc w:val="center"/>
              <w:rPr>
                <w:sz w:val="18"/>
                <w:szCs w:val="18"/>
              </w:rPr>
            </w:pPr>
            <w:r w:rsidRPr="002C524B">
              <w:rPr>
                <w:sz w:val="18"/>
                <w:szCs w:val="18"/>
              </w:rPr>
              <w:t>57.64</w:t>
            </w:r>
          </w:p>
        </w:tc>
        <w:tc>
          <w:tcPr>
            <w:tcW w:w="486" w:type="pct"/>
            <w:tcBorders>
              <w:right w:val="single" w:sz="4" w:space="0" w:color="auto"/>
            </w:tcBorders>
            <w:shd w:val="clear" w:color="000000" w:fill="FFFFFF"/>
            <w:vAlign w:val="center"/>
            <w:hideMark/>
          </w:tcPr>
          <w:p w14:paraId="515AFB60" w14:textId="77777777" w:rsidR="00874916" w:rsidRPr="002C524B" w:rsidRDefault="00874916" w:rsidP="00EA28C4">
            <w:pPr>
              <w:jc w:val="center"/>
              <w:rPr>
                <w:sz w:val="18"/>
                <w:szCs w:val="18"/>
              </w:rPr>
            </w:pPr>
            <w:r w:rsidRPr="002C524B">
              <w:rPr>
                <w:sz w:val="18"/>
                <w:szCs w:val="18"/>
              </w:rPr>
              <w:t>3.09%</w:t>
            </w:r>
          </w:p>
        </w:tc>
        <w:tc>
          <w:tcPr>
            <w:tcW w:w="619" w:type="pct"/>
            <w:tcBorders>
              <w:left w:val="single" w:sz="4" w:space="0" w:color="auto"/>
            </w:tcBorders>
            <w:shd w:val="clear" w:color="000000" w:fill="FFFFFF"/>
            <w:vAlign w:val="center"/>
            <w:hideMark/>
          </w:tcPr>
          <w:p w14:paraId="2A6A6905" w14:textId="4570D95D" w:rsidR="00874916" w:rsidRPr="002C524B" w:rsidRDefault="003B4565" w:rsidP="003B4565">
            <w:pPr>
              <w:jc w:val="center"/>
              <w:rPr>
                <w:sz w:val="18"/>
                <w:szCs w:val="18"/>
              </w:rPr>
            </w:pPr>
            <w:r>
              <w:rPr>
                <w:sz w:val="18"/>
                <w:szCs w:val="18"/>
              </w:rPr>
              <w:t>Iran</w:t>
            </w:r>
          </w:p>
        </w:tc>
        <w:tc>
          <w:tcPr>
            <w:tcW w:w="576" w:type="pct"/>
            <w:shd w:val="clear" w:color="000000" w:fill="FFFFFF"/>
            <w:vAlign w:val="center"/>
            <w:hideMark/>
          </w:tcPr>
          <w:p w14:paraId="4F4BA1CF" w14:textId="77777777" w:rsidR="00874916" w:rsidRPr="002C524B" w:rsidRDefault="00874916" w:rsidP="00EA28C4">
            <w:pPr>
              <w:jc w:val="center"/>
              <w:rPr>
                <w:sz w:val="18"/>
                <w:szCs w:val="18"/>
              </w:rPr>
            </w:pPr>
            <w:r w:rsidRPr="002C524B">
              <w:rPr>
                <w:sz w:val="18"/>
                <w:szCs w:val="18"/>
              </w:rPr>
              <w:t>77.88</w:t>
            </w:r>
          </w:p>
        </w:tc>
        <w:tc>
          <w:tcPr>
            <w:tcW w:w="472" w:type="pct"/>
            <w:tcBorders>
              <w:right w:val="single" w:sz="4" w:space="0" w:color="auto"/>
            </w:tcBorders>
            <w:shd w:val="clear" w:color="000000" w:fill="FFFFFF"/>
            <w:vAlign w:val="center"/>
            <w:hideMark/>
          </w:tcPr>
          <w:p w14:paraId="238B567F" w14:textId="77777777" w:rsidR="00874916" w:rsidRPr="002C524B" w:rsidRDefault="00874916" w:rsidP="00EA28C4">
            <w:pPr>
              <w:jc w:val="center"/>
              <w:rPr>
                <w:sz w:val="18"/>
                <w:szCs w:val="18"/>
              </w:rPr>
            </w:pPr>
            <w:r w:rsidRPr="002C524B">
              <w:rPr>
                <w:sz w:val="18"/>
                <w:szCs w:val="18"/>
              </w:rPr>
              <w:t>3.91%</w:t>
            </w:r>
          </w:p>
        </w:tc>
        <w:tc>
          <w:tcPr>
            <w:tcW w:w="619" w:type="pct"/>
            <w:tcBorders>
              <w:left w:val="single" w:sz="4" w:space="0" w:color="auto"/>
            </w:tcBorders>
            <w:shd w:val="clear" w:color="000000" w:fill="FFFFFF"/>
            <w:vAlign w:val="center"/>
            <w:hideMark/>
          </w:tcPr>
          <w:p w14:paraId="338206E0" w14:textId="77777777" w:rsidR="00874916" w:rsidRPr="002C524B" w:rsidRDefault="00874916" w:rsidP="00EA28C4">
            <w:pPr>
              <w:jc w:val="center"/>
              <w:rPr>
                <w:sz w:val="18"/>
                <w:szCs w:val="18"/>
              </w:rPr>
            </w:pPr>
            <w:r w:rsidRPr="002C524B">
              <w:rPr>
                <w:sz w:val="18"/>
                <w:szCs w:val="18"/>
              </w:rPr>
              <w:t>Afghanistan</w:t>
            </w:r>
          </w:p>
        </w:tc>
        <w:tc>
          <w:tcPr>
            <w:tcW w:w="523" w:type="pct"/>
            <w:shd w:val="clear" w:color="000000" w:fill="FFFFFF"/>
            <w:vAlign w:val="center"/>
            <w:hideMark/>
          </w:tcPr>
          <w:p w14:paraId="1E4E96D2" w14:textId="77777777" w:rsidR="00874916" w:rsidRPr="002C524B" w:rsidRDefault="00874916" w:rsidP="00EA28C4">
            <w:pPr>
              <w:jc w:val="center"/>
              <w:rPr>
                <w:sz w:val="18"/>
                <w:szCs w:val="18"/>
              </w:rPr>
            </w:pPr>
            <w:r w:rsidRPr="002C524B">
              <w:rPr>
                <w:sz w:val="18"/>
                <w:szCs w:val="18"/>
              </w:rPr>
              <w:t>81.98</w:t>
            </w:r>
          </w:p>
        </w:tc>
        <w:tc>
          <w:tcPr>
            <w:tcW w:w="524" w:type="pct"/>
            <w:shd w:val="clear" w:color="000000" w:fill="FFFFFF"/>
            <w:vAlign w:val="center"/>
            <w:hideMark/>
          </w:tcPr>
          <w:p w14:paraId="47FCA8CA" w14:textId="77777777" w:rsidR="00874916" w:rsidRPr="002C524B" w:rsidRDefault="00874916" w:rsidP="00EA28C4">
            <w:pPr>
              <w:jc w:val="center"/>
              <w:rPr>
                <w:sz w:val="18"/>
                <w:szCs w:val="18"/>
              </w:rPr>
            </w:pPr>
            <w:r w:rsidRPr="002C524B">
              <w:rPr>
                <w:sz w:val="18"/>
                <w:szCs w:val="18"/>
              </w:rPr>
              <w:t>4.14%</w:t>
            </w:r>
          </w:p>
        </w:tc>
      </w:tr>
      <w:tr w:rsidR="00874916" w:rsidRPr="002C524B" w14:paraId="4804478E" w14:textId="77777777" w:rsidTr="003B4565">
        <w:trPr>
          <w:trHeight w:val="90"/>
          <w:jc w:val="center"/>
        </w:trPr>
        <w:tc>
          <w:tcPr>
            <w:tcW w:w="619" w:type="pct"/>
            <w:shd w:val="clear" w:color="000000" w:fill="FFFFFF"/>
            <w:vAlign w:val="center"/>
            <w:hideMark/>
          </w:tcPr>
          <w:p w14:paraId="48342B30" w14:textId="7D4D3D51" w:rsidR="00874916" w:rsidRPr="002C524B" w:rsidRDefault="00874916" w:rsidP="003B4565">
            <w:pPr>
              <w:jc w:val="center"/>
              <w:rPr>
                <w:sz w:val="18"/>
                <w:szCs w:val="18"/>
              </w:rPr>
            </w:pPr>
            <w:r w:rsidRPr="002C524B">
              <w:rPr>
                <w:sz w:val="18"/>
                <w:szCs w:val="18"/>
              </w:rPr>
              <w:t>Iran</w:t>
            </w:r>
          </w:p>
        </w:tc>
        <w:tc>
          <w:tcPr>
            <w:tcW w:w="562" w:type="pct"/>
            <w:shd w:val="clear" w:color="000000" w:fill="FFFFFF"/>
            <w:vAlign w:val="center"/>
            <w:hideMark/>
          </w:tcPr>
          <w:p w14:paraId="146999CC" w14:textId="77777777" w:rsidR="00874916" w:rsidRPr="002C524B" w:rsidRDefault="00874916" w:rsidP="00EA28C4">
            <w:pPr>
              <w:jc w:val="center"/>
              <w:rPr>
                <w:sz w:val="18"/>
                <w:szCs w:val="18"/>
              </w:rPr>
            </w:pPr>
            <w:r w:rsidRPr="002C524B">
              <w:rPr>
                <w:sz w:val="18"/>
                <w:szCs w:val="18"/>
              </w:rPr>
              <w:t>56.27</w:t>
            </w:r>
          </w:p>
        </w:tc>
        <w:tc>
          <w:tcPr>
            <w:tcW w:w="486" w:type="pct"/>
            <w:tcBorders>
              <w:right w:val="single" w:sz="4" w:space="0" w:color="auto"/>
            </w:tcBorders>
            <w:shd w:val="clear" w:color="000000" w:fill="FFFFFF"/>
            <w:vAlign w:val="center"/>
            <w:hideMark/>
          </w:tcPr>
          <w:p w14:paraId="323DD3EB" w14:textId="77777777" w:rsidR="00874916" w:rsidRPr="002C524B" w:rsidRDefault="00874916" w:rsidP="00EA28C4">
            <w:pPr>
              <w:jc w:val="center"/>
              <w:rPr>
                <w:sz w:val="18"/>
                <w:szCs w:val="18"/>
              </w:rPr>
            </w:pPr>
            <w:r w:rsidRPr="002C524B">
              <w:rPr>
                <w:sz w:val="18"/>
                <w:szCs w:val="18"/>
              </w:rPr>
              <w:t>3.01%</w:t>
            </w:r>
          </w:p>
        </w:tc>
        <w:tc>
          <w:tcPr>
            <w:tcW w:w="619" w:type="pct"/>
            <w:tcBorders>
              <w:left w:val="single" w:sz="4" w:space="0" w:color="auto"/>
            </w:tcBorders>
            <w:shd w:val="clear" w:color="000000" w:fill="FFFFFF"/>
            <w:vAlign w:val="center"/>
            <w:hideMark/>
          </w:tcPr>
          <w:p w14:paraId="08F7A9AD" w14:textId="77777777" w:rsidR="00874916" w:rsidRPr="002C524B" w:rsidRDefault="00874916" w:rsidP="00EA28C4">
            <w:pPr>
              <w:jc w:val="center"/>
              <w:rPr>
                <w:sz w:val="18"/>
                <w:szCs w:val="18"/>
              </w:rPr>
            </w:pPr>
            <w:r w:rsidRPr="002C524B">
              <w:rPr>
                <w:sz w:val="18"/>
                <w:szCs w:val="18"/>
              </w:rPr>
              <w:t>Germany</w:t>
            </w:r>
          </w:p>
        </w:tc>
        <w:tc>
          <w:tcPr>
            <w:tcW w:w="576" w:type="pct"/>
            <w:shd w:val="clear" w:color="000000" w:fill="FFFFFF"/>
            <w:vAlign w:val="center"/>
            <w:hideMark/>
          </w:tcPr>
          <w:p w14:paraId="20351A61" w14:textId="77777777" w:rsidR="00874916" w:rsidRPr="002C524B" w:rsidRDefault="00874916" w:rsidP="00EA28C4">
            <w:pPr>
              <w:jc w:val="center"/>
              <w:rPr>
                <w:sz w:val="18"/>
                <w:szCs w:val="18"/>
              </w:rPr>
            </w:pPr>
            <w:r w:rsidRPr="002C524B">
              <w:rPr>
                <w:sz w:val="18"/>
                <w:szCs w:val="18"/>
              </w:rPr>
              <w:t>58.86</w:t>
            </w:r>
          </w:p>
        </w:tc>
        <w:tc>
          <w:tcPr>
            <w:tcW w:w="472" w:type="pct"/>
            <w:tcBorders>
              <w:right w:val="single" w:sz="4" w:space="0" w:color="auto"/>
            </w:tcBorders>
            <w:shd w:val="clear" w:color="000000" w:fill="FFFFFF"/>
            <w:vAlign w:val="center"/>
            <w:hideMark/>
          </w:tcPr>
          <w:p w14:paraId="3041CE7C" w14:textId="77777777" w:rsidR="00874916" w:rsidRPr="002C524B" w:rsidRDefault="00874916" w:rsidP="00EA28C4">
            <w:pPr>
              <w:jc w:val="center"/>
              <w:rPr>
                <w:sz w:val="18"/>
                <w:szCs w:val="18"/>
              </w:rPr>
            </w:pPr>
            <w:r w:rsidRPr="002C524B">
              <w:rPr>
                <w:sz w:val="18"/>
                <w:szCs w:val="18"/>
              </w:rPr>
              <w:t>2.95%</w:t>
            </w:r>
          </w:p>
        </w:tc>
        <w:tc>
          <w:tcPr>
            <w:tcW w:w="619" w:type="pct"/>
            <w:tcBorders>
              <w:left w:val="single" w:sz="4" w:space="0" w:color="auto"/>
            </w:tcBorders>
            <w:shd w:val="clear" w:color="000000" w:fill="FFFFFF"/>
            <w:vAlign w:val="center"/>
            <w:hideMark/>
          </w:tcPr>
          <w:p w14:paraId="679B3D51" w14:textId="77777777" w:rsidR="00874916" w:rsidRPr="002C524B" w:rsidRDefault="00874916" w:rsidP="00EA28C4">
            <w:pPr>
              <w:jc w:val="center"/>
              <w:rPr>
                <w:sz w:val="18"/>
                <w:szCs w:val="18"/>
              </w:rPr>
            </w:pPr>
            <w:r w:rsidRPr="002C524B">
              <w:rPr>
                <w:sz w:val="18"/>
                <w:szCs w:val="18"/>
              </w:rPr>
              <w:t>Morocco</w:t>
            </w:r>
          </w:p>
        </w:tc>
        <w:tc>
          <w:tcPr>
            <w:tcW w:w="523" w:type="pct"/>
            <w:shd w:val="clear" w:color="000000" w:fill="FFFFFF"/>
            <w:vAlign w:val="center"/>
            <w:hideMark/>
          </w:tcPr>
          <w:p w14:paraId="498C3733" w14:textId="77777777" w:rsidR="00874916" w:rsidRPr="002C524B" w:rsidRDefault="00874916" w:rsidP="00EA28C4">
            <w:pPr>
              <w:jc w:val="center"/>
              <w:rPr>
                <w:sz w:val="18"/>
                <w:szCs w:val="18"/>
              </w:rPr>
            </w:pPr>
            <w:r w:rsidRPr="002C524B">
              <w:rPr>
                <w:sz w:val="18"/>
                <w:szCs w:val="18"/>
              </w:rPr>
              <w:t>57.31</w:t>
            </w:r>
          </w:p>
        </w:tc>
        <w:tc>
          <w:tcPr>
            <w:tcW w:w="524" w:type="pct"/>
            <w:shd w:val="clear" w:color="000000" w:fill="FFFFFF"/>
            <w:vAlign w:val="center"/>
            <w:hideMark/>
          </w:tcPr>
          <w:p w14:paraId="232E7326" w14:textId="77777777" w:rsidR="00874916" w:rsidRPr="002C524B" w:rsidRDefault="00874916" w:rsidP="00EA28C4">
            <w:pPr>
              <w:jc w:val="center"/>
              <w:rPr>
                <w:sz w:val="18"/>
                <w:szCs w:val="18"/>
              </w:rPr>
            </w:pPr>
            <w:r w:rsidRPr="002C524B">
              <w:rPr>
                <w:sz w:val="18"/>
                <w:szCs w:val="18"/>
              </w:rPr>
              <w:t>2.89%</w:t>
            </w:r>
          </w:p>
        </w:tc>
      </w:tr>
      <w:tr w:rsidR="00874916" w:rsidRPr="002C524B" w14:paraId="5AFBA34E" w14:textId="77777777" w:rsidTr="00EA28C4">
        <w:trPr>
          <w:trHeight w:val="270"/>
          <w:jc w:val="center"/>
        </w:trPr>
        <w:tc>
          <w:tcPr>
            <w:tcW w:w="619" w:type="pct"/>
            <w:tcBorders>
              <w:bottom w:val="single" w:sz="4" w:space="0" w:color="auto"/>
            </w:tcBorders>
            <w:shd w:val="clear" w:color="000000" w:fill="FFFFFF"/>
            <w:vAlign w:val="center"/>
            <w:hideMark/>
          </w:tcPr>
          <w:p w14:paraId="6739E8C0" w14:textId="77777777" w:rsidR="00874916" w:rsidRPr="002C524B" w:rsidRDefault="00874916" w:rsidP="00EA28C4">
            <w:pPr>
              <w:jc w:val="center"/>
              <w:rPr>
                <w:sz w:val="18"/>
                <w:szCs w:val="18"/>
              </w:rPr>
            </w:pPr>
            <w:r w:rsidRPr="002C524B">
              <w:rPr>
                <w:sz w:val="18"/>
                <w:szCs w:val="18"/>
              </w:rPr>
              <w:t>Poland</w:t>
            </w:r>
          </w:p>
        </w:tc>
        <w:tc>
          <w:tcPr>
            <w:tcW w:w="562" w:type="pct"/>
            <w:tcBorders>
              <w:bottom w:val="single" w:sz="4" w:space="0" w:color="auto"/>
            </w:tcBorders>
            <w:shd w:val="clear" w:color="000000" w:fill="FFFFFF"/>
            <w:vAlign w:val="center"/>
            <w:hideMark/>
          </w:tcPr>
          <w:p w14:paraId="33A3099C" w14:textId="77777777" w:rsidR="00874916" w:rsidRPr="002C524B" w:rsidRDefault="00874916" w:rsidP="00EA28C4">
            <w:pPr>
              <w:jc w:val="center"/>
              <w:rPr>
                <w:sz w:val="18"/>
                <w:szCs w:val="18"/>
              </w:rPr>
            </w:pPr>
            <w:r w:rsidRPr="002C524B">
              <w:rPr>
                <w:sz w:val="18"/>
                <w:szCs w:val="18"/>
              </w:rPr>
              <w:t>48.78</w:t>
            </w:r>
          </w:p>
        </w:tc>
        <w:tc>
          <w:tcPr>
            <w:tcW w:w="486" w:type="pct"/>
            <w:tcBorders>
              <w:bottom w:val="single" w:sz="4" w:space="0" w:color="auto"/>
              <w:right w:val="single" w:sz="4" w:space="0" w:color="auto"/>
            </w:tcBorders>
            <w:shd w:val="clear" w:color="000000" w:fill="FFFFFF"/>
            <w:vAlign w:val="center"/>
            <w:hideMark/>
          </w:tcPr>
          <w:p w14:paraId="10B462D1" w14:textId="77777777" w:rsidR="00874916" w:rsidRPr="002C524B" w:rsidRDefault="00874916" w:rsidP="00EA28C4">
            <w:pPr>
              <w:jc w:val="center"/>
              <w:rPr>
                <w:sz w:val="18"/>
                <w:szCs w:val="18"/>
              </w:rPr>
            </w:pPr>
            <w:r w:rsidRPr="002C524B">
              <w:rPr>
                <w:sz w:val="18"/>
                <w:szCs w:val="18"/>
              </w:rPr>
              <w:t>2.61%</w:t>
            </w:r>
          </w:p>
        </w:tc>
        <w:tc>
          <w:tcPr>
            <w:tcW w:w="619" w:type="pct"/>
            <w:tcBorders>
              <w:left w:val="single" w:sz="4" w:space="0" w:color="auto"/>
              <w:bottom w:val="single" w:sz="4" w:space="0" w:color="auto"/>
            </w:tcBorders>
            <w:shd w:val="clear" w:color="000000" w:fill="FFFFFF"/>
            <w:vAlign w:val="center"/>
            <w:hideMark/>
          </w:tcPr>
          <w:p w14:paraId="733FA7CA" w14:textId="77777777" w:rsidR="00874916" w:rsidRPr="002C524B" w:rsidRDefault="00874916" w:rsidP="00EA28C4">
            <w:pPr>
              <w:jc w:val="center"/>
              <w:rPr>
                <w:sz w:val="18"/>
                <w:szCs w:val="18"/>
              </w:rPr>
            </w:pPr>
            <w:r w:rsidRPr="002C524B">
              <w:rPr>
                <w:sz w:val="18"/>
                <w:szCs w:val="18"/>
              </w:rPr>
              <w:t>Morocco</w:t>
            </w:r>
          </w:p>
        </w:tc>
        <w:tc>
          <w:tcPr>
            <w:tcW w:w="576" w:type="pct"/>
            <w:tcBorders>
              <w:bottom w:val="single" w:sz="4" w:space="0" w:color="auto"/>
            </w:tcBorders>
            <w:shd w:val="clear" w:color="000000" w:fill="FFFFFF"/>
            <w:vAlign w:val="center"/>
            <w:hideMark/>
          </w:tcPr>
          <w:p w14:paraId="6C14F59A" w14:textId="77777777" w:rsidR="00874916" w:rsidRPr="002C524B" w:rsidRDefault="00874916" w:rsidP="00EA28C4">
            <w:pPr>
              <w:jc w:val="center"/>
              <w:rPr>
                <w:sz w:val="18"/>
                <w:szCs w:val="18"/>
              </w:rPr>
            </w:pPr>
            <w:r w:rsidRPr="002C524B">
              <w:rPr>
                <w:sz w:val="18"/>
                <w:szCs w:val="18"/>
              </w:rPr>
              <w:t>53.08</w:t>
            </w:r>
          </w:p>
        </w:tc>
        <w:tc>
          <w:tcPr>
            <w:tcW w:w="472" w:type="pct"/>
            <w:tcBorders>
              <w:bottom w:val="single" w:sz="4" w:space="0" w:color="auto"/>
              <w:right w:val="single" w:sz="4" w:space="0" w:color="auto"/>
            </w:tcBorders>
            <w:shd w:val="clear" w:color="000000" w:fill="FFFFFF"/>
            <w:vAlign w:val="center"/>
            <w:hideMark/>
          </w:tcPr>
          <w:p w14:paraId="7B1F13A5" w14:textId="77777777" w:rsidR="00874916" w:rsidRPr="002C524B" w:rsidRDefault="00874916" w:rsidP="00EA28C4">
            <w:pPr>
              <w:jc w:val="center"/>
              <w:rPr>
                <w:sz w:val="18"/>
                <w:szCs w:val="18"/>
              </w:rPr>
            </w:pPr>
            <w:r w:rsidRPr="002C524B">
              <w:rPr>
                <w:sz w:val="18"/>
                <w:szCs w:val="18"/>
              </w:rPr>
              <w:t>2.66%</w:t>
            </w:r>
          </w:p>
        </w:tc>
        <w:tc>
          <w:tcPr>
            <w:tcW w:w="619" w:type="pct"/>
            <w:tcBorders>
              <w:left w:val="single" w:sz="4" w:space="0" w:color="auto"/>
              <w:bottom w:val="single" w:sz="4" w:space="0" w:color="auto"/>
            </w:tcBorders>
            <w:shd w:val="clear" w:color="000000" w:fill="FFFFFF"/>
            <w:vAlign w:val="center"/>
            <w:hideMark/>
          </w:tcPr>
          <w:p w14:paraId="7241A723" w14:textId="77777777" w:rsidR="00874916" w:rsidRPr="002C524B" w:rsidRDefault="00874916" w:rsidP="00EA28C4">
            <w:pPr>
              <w:jc w:val="center"/>
              <w:rPr>
                <w:sz w:val="18"/>
                <w:szCs w:val="18"/>
              </w:rPr>
            </w:pPr>
            <w:r w:rsidRPr="002C524B">
              <w:rPr>
                <w:sz w:val="18"/>
                <w:szCs w:val="18"/>
              </w:rPr>
              <w:t>Germany</w:t>
            </w:r>
          </w:p>
        </w:tc>
        <w:tc>
          <w:tcPr>
            <w:tcW w:w="523" w:type="pct"/>
            <w:tcBorders>
              <w:bottom w:val="single" w:sz="4" w:space="0" w:color="auto"/>
            </w:tcBorders>
            <w:shd w:val="clear" w:color="000000" w:fill="FFFFFF"/>
            <w:vAlign w:val="center"/>
            <w:hideMark/>
          </w:tcPr>
          <w:p w14:paraId="5BB5CFD7" w14:textId="77777777" w:rsidR="00874916" w:rsidRPr="002C524B" w:rsidRDefault="00874916" w:rsidP="00EA28C4">
            <w:pPr>
              <w:jc w:val="center"/>
              <w:rPr>
                <w:sz w:val="18"/>
                <w:szCs w:val="18"/>
              </w:rPr>
            </w:pPr>
            <w:r w:rsidRPr="002C524B">
              <w:rPr>
                <w:sz w:val="18"/>
                <w:szCs w:val="18"/>
              </w:rPr>
              <w:t>55.23</w:t>
            </w:r>
          </w:p>
        </w:tc>
        <w:tc>
          <w:tcPr>
            <w:tcW w:w="524" w:type="pct"/>
            <w:tcBorders>
              <w:bottom w:val="single" w:sz="4" w:space="0" w:color="auto"/>
            </w:tcBorders>
            <w:shd w:val="clear" w:color="000000" w:fill="FFFFFF"/>
            <w:vAlign w:val="center"/>
            <w:hideMark/>
          </w:tcPr>
          <w:p w14:paraId="68F35B1F" w14:textId="77777777" w:rsidR="00874916" w:rsidRPr="002C524B" w:rsidRDefault="00874916" w:rsidP="00EA28C4">
            <w:pPr>
              <w:jc w:val="center"/>
              <w:rPr>
                <w:sz w:val="18"/>
                <w:szCs w:val="18"/>
              </w:rPr>
            </w:pPr>
            <w:r w:rsidRPr="002C524B">
              <w:rPr>
                <w:sz w:val="18"/>
                <w:szCs w:val="18"/>
              </w:rPr>
              <w:t>2.79%</w:t>
            </w:r>
          </w:p>
        </w:tc>
      </w:tr>
      <w:tr w:rsidR="00874916" w:rsidRPr="002C524B" w14:paraId="5AC915A8" w14:textId="77777777" w:rsidTr="00EA28C4">
        <w:trPr>
          <w:trHeight w:val="270"/>
          <w:jc w:val="center"/>
        </w:trPr>
        <w:tc>
          <w:tcPr>
            <w:tcW w:w="619" w:type="pct"/>
            <w:tcBorders>
              <w:top w:val="single" w:sz="4" w:space="0" w:color="auto"/>
              <w:bottom w:val="single" w:sz="4" w:space="0" w:color="auto"/>
            </w:tcBorders>
            <w:shd w:val="clear" w:color="000000" w:fill="FFFFFF"/>
            <w:vAlign w:val="center"/>
            <w:hideMark/>
          </w:tcPr>
          <w:p w14:paraId="02B4C886" w14:textId="77777777" w:rsidR="00874916" w:rsidRPr="002C524B" w:rsidRDefault="00874916" w:rsidP="00EA28C4">
            <w:pPr>
              <w:jc w:val="center"/>
              <w:rPr>
                <w:sz w:val="18"/>
                <w:szCs w:val="18"/>
              </w:rPr>
            </w:pPr>
            <w:r w:rsidRPr="002C524B">
              <w:rPr>
                <w:sz w:val="18"/>
                <w:szCs w:val="18"/>
              </w:rPr>
              <w:t>World</w:t>
            </w:r>
          </w:p>
        </w:tc>
        <w:tc>
          <w:tcPr>
            <w:tcW w:w="562" w:type="pct"/>
            <w:tcBorders>
              <w:top w:val="single" w:sz="4" w:space="0" w:color="auto"/>
              <w:bottom w:val="single" w:sz="4" w:space="0" w:color="auto"/>
            </w:tcBorders>
            <w:shd w:val="clear" w:color="000000" w:fill="FFFFFF"/>
            <w:vAlign w:val="center"/>
            <w:hideMark/>
          </w:tcPr>
          <w:p w14:paraId="6C7D6058" w14:textId="77777777" w:rsidR="00874916" w:rsidRPr="002C524B" w:rsidRDefault="00874916" w:rsidP="00EA28C4">
            <w:pPr>
              <w:jc w:val="center"/>
              <w:rPr>
                <w:sz w:val="18"/>
                <w:szCs w:val="18"/>
              </w:rPr>
            </w:pPr>
            <w:r w:rsidRPr="002C524B">
              <w:rPr>
                <w:sz w:val="18"/>
                <w:szCs w:val="18"/>
              </w:rPr>
              <w:t>1866.80</w:t>
            </w:r>
          </w:p>
        </w:tc>
        <w:tc>
          <w:tcPr>
            <w:tcW w:w="486" w:type="pct"/>
            <w:tcBorders>
              <w:top w:val="single" w:sz="4" w:space="0" w:color="auto"/>
              <w:bottom w:val="single" w:sz="4" w:space="0" w:color="auto"/>
              <w:right w:val="single" w:sz="4" w:space="0" w:color="auto"/>
            </w:tcBorders>
            <w:shd w:val="clear" w:color="000000" w:fill="FFFFFF"/>
            <w:vAlign w:val="center"/>
            <w:hideMark/>
          </w:tcPr>
          <w:p w14:paraId="20E5FB7F" w14:textId="77777777" w:rsidR="00874916" w:rsidRPr="002C524B" w:rsidRDefault="00874916" w:rsidP="00EA28C4">
            <w:pPr>
              <w:jc w:val="center"/>
              <w:rPr>
                <w:sz w:val="18"/>
                <w:szCs w:val="18"/>
              </w:rPr>
            </w:pPr>
            <w:r w:rsidRPr="002C524B">
              <w:rPr>
                <w:sz w:val="18"/>
                <w:szCs w:val="18"/>
              </w:rPr>
              <w:t>—</w:t>
            </w:r>
          </w:p>
        </w:tc>
        <w:tc>
          <w:tcPr>
            <w:tcW w:w="619" w:type="pct"/>
            <w:tcBorders>
              <w:top w:val="single" w:sz="4" w:space="0" w:color="auto"/>
              <w:left w:val="single" w:sz="4" w:space="0" w:color="auto"/>
              <w:bottom w:val="single" w:sz="4" w:space="0" w:color="auto"/>
            </w:tcBorders>
            <w:shd w:val="clear" w:color="000000" w:fill="FFFFFF"/>
            <w:vAlign w:val="center"/>
            <w:hideMark/>
          </w:tcPr>
          <w:p w14:paraId="31EDF45B" w14:textId="77777777" w:rsidR="00874916" w:rsidRPr="002C524B" w:rsidRDefault="00874916" w:rsidP="00EA28C4">
            <w:pPr>
              <w:jc w:val="center"/>
              <w:rPr>
                <w:sz w:val="18"/>
                <w:szCs w:val="18"/>
              </w:rPr>
            </w:pPr>
            <w:r w:rsidRPr="002C524B">
              <w:rPr>
                <w:sz w:val="18"/>
                <w:szCs w:val="18"/>
              </w:rPr>
              <w:t>World</w:t>
            </w:r>
          </w:p>
        </w:tc>
        <w:tc>
          <w:tcPr>
            <w:tcW w:w="576" w:type="pct"/>
            <w:tcBorders>
              <w:top w:val="single" w:sz="4" w:space="0" w:color="auto"/>
              <w:bottom w:val="single" w:sz="4" w:space="0" w:color="auto"/>
            </w:tcBorders>
            <w:shd w:val="clear" w:color="000000" w:fill="FFFFFF"/>
            <w:vAlign w:val="center"/>
            <w:hideMark/>
          </w:tcPr>
          <w:p w14:paraId="10C409E6" w14:textId="77777777" w:rsidR="00874916" w:rsidRPr="002C524B" w:rsidRDefault="00874916" w:rsidP="00EA28C4">
            <w:pPr>
              <w:jc w:val="center"/>
              <w:rPr>
                <w:sz w:val="18"/>
                <w:szCs w:val="18"/>
              </w:rPr>
            </w:pPr>
            <w:r w:rsidRPr="002C524B">
              <w:rPr>
                <w:sz w:val="18"/>
                <w:szCs w:val="18"/>
              </w:rPr>
              <w:t>1993.96</w:t>
            </w:r>
          </w:p>
        </w:tc>
        <w:tc>
          <w:tcPr>
            <w:tcW w:w="472" w:type="pct"/>
            <w:tcBorders>
              <w:top w:val="single" w:sz="4" w:space="0" w:color="auto"/>
              <w:bottom w:val="single" w:sz="4" w:space="0" w:color="auto"/>
              <w:right w:val="single" w:sz="4" w:space="0" w:color="auto"/>
            </w:tcBorders>
            <w:shd w:val="clear" w:color="000000" w:fill="FFFFFF"/>
            <w:vAlign w:val="center"/>
            <w:hideMark/>
          </w:tcPr>
          <w:p w14:paraId="4BBC70EE" w14:textId="77777777" w:rsidR="00874916" w:rsidRPr="002C524B" w:rsidRDefault="00874916" w:rsidP="00EA28C4">
            <w:pPr>
              <w:jc w:val="center"/>
              <w:rPr>
                <w:sz w:val="18"/>
                <w:szCs w:val="18"/>
              </w:rPr>
            </w:pPr>
            <w:r w:rsidRPr="002C524B">
              <w:rPr>
                <w:sz w:val="18"/>
                <w:szCs w:val="18"/>
              </w:rPr>
              <w:t>—</w:t>
            </w:r>
          </w:p>
        </w:tc>
        <w:tc>
          <w:tcPr>
            <w:tcW w:w="619" w:type="pct"/>
            <w:tcBorders>
              <w:top w:val="single" w:sz="4" w:space="0" w:color="auto"/>
              <w:left w:val="single" w:sz="4" w:space="0" w:color="auto"/>
              <w:bottom w:val="single" w:sz="4" w:space="0" w:color="auto"/>
            </w:tcBorders>
            <w:shd w:val="clear" w:color="000000" w:fill="FFFFFF"/>
            <w:vAlign w:val="center"/>
            <w:hideMark/>
          </w:tcPr>
          <w:p w14:paraId="17453307" w14:textId="77777777" w:rsidR="00874916" w:rsidRPr="002C524B" w:rsidRDefault="00874916" w:rsidP="00EA28C4">
            <w:pPr>
              <w:jc w:val="center"/>
              <w:rPr>
                <w:sz w:val="18"/>
                <w:szCs w:val="18"/>
              </w:rPr>
            </w:pPr>
            <w:r w:rsidRPr="002C524B">
              <w:rPr>
                <w:sz w:val="18"/>
                <w:szCs w:val="18"/>
              </w:rPr>
              <w:t>World</w:t>
            </w:r>
          </w:p>
        </w:tc>
        <w:tc>
          <w:tcPr>
            <w:tcW w:w="523" w:type="pct"/>
            <w:tcBorders>
              <w:top w:val="single" w:sz="4" w:space="0" w:color="auto"/>
              <w:bottom w:val="single" w:sz="4" w:space="0" w:color="auto"/>
            </w:tcBorders>
            <w:shd w:val="clear" w:color="000000" w:fill="FFFFFF"/>
            <w:vAlign w:val="center"/>
            <w:hideMark/>
          </w:tcPr>
          <w:p w14:paraId="54C361D8" w14:textId="77777777" w:rsidR="00874916" w:rsidRPr="002C524B" w:rsidRDefault="00874916" w:rsidP="00EA28C4">
            <w:pPr>
              <w:jc w:val="center"/>
              <w:rPr>
                <w:sz w:val="18"/>
                <w:szCs w:val="18"/>
              </w:rPr>
            </w:pPr>
            <w:r w:rsidRPr="002C524B">
              <w:rPr>
                <w:sz w:val="18"/>
                <w:szCs w:val="18"/>
              </w:rPr>
              <w:t>1980.67</w:t>
            </w:r>
          </w:p>
        </w:tc>
        <w:tc>
          <w:tcPr>
            <w:tcW w:w="524" w:type="pct"/>
            <w:tcBorders>
              <w:top w:val="single" w:sz="4" w:space="0" w:color="auto"/>
              <w:bottom w:val="single" w:sz="4" w:space="0" w:color="auto"/>
            </w:tcBorders>
            <w:shd w:val="clear" w:color="000000" w:fill="FFFFFF"/>
            <w:vAlign w:val="center"/>
            <w:hideMark/>
          </w:tcPr>
          <w:p w14:paraId="668D6E30" w14:textId="77777777" w:rsidR="00874916" w:rsidRPr="002C524B" w:rsidRDefault="00874916" w:rsidP="00EA28C4">
            <w:pPr>
              <w:jc w:val="center"/>
              <w:rPr>
                <w:sz w:val="18"/>
                <w:szCs w:val="18"/>
              </w:rPr>
            </w:pPr>
            <w:r w:rsidRPr="002C524B">
              <w:rPr>
                <w:sz w:val="18"/>
                <w:szCs w:val="18"/>
              </w:rPr>
              <w:t>—</w:t>
            </w:r>
          </w:p>
        </w:tc>
      </w:tr>
      <w:tr w:rsidR="00874916" w:rsidRPr="002C524B" w14:paraId="5A11748D" w14:textId="77777777" w:rsidTr="00EA28C4">
        <w:trPr>
          <w:trHeight w:val="270"/>
          <w:jc w:val="center"/>
        </w:trPr>
        <w:tc>
          <w:tcPr>
            <w:tcW w:w="619" w:type="pct"/>
            <w:tcBorders>
              <w:top w:val="single" w:sz="4" w:space="0" w:color="auto"/>
            </w:tcBorders>
            <w:shd w:val="clear" w:color="000000" w:fill="FFFFFF"/>
            <w:vAlign w:val="center"/>
            <w:hideMark/>
          </w:tcPr>
          <w:p w14:paraId="6F50AF49" w14:textId="77777777" w:rsidR="00874916" w:rsidRPr="002C524B" w:rsidRDefault="00874916" w:rsidP="00EA28C4">
            <w:pPr>
              <w:jc w:val="center"/>
              <w:rPr>
                <w:sz w:val="18"/>
                <w:szCs w:val="18"/>
              </w:rPr>
            </w:pPr>
            <w:r w:rsidRPr="002C524B">
              <w:rPr>
                <w:sz w:val="18"/>
                <w:szCs w:val="18"/>
              </w:rPr>
              <w:t>Total</w:t>
            </w:r>
          </w:p>
        </w:tc>
        <w:tc>
          <w:tcPr>
            <w:tcW w:w="562" w:type="pct"/>
            <w:tcBorders>
              <w:top w:val="single" w:sz="4" w:space="0" w:color="auto"/>
            </w:tcBorders>
            <w:shd w:val="clear" w:color="auto" w:fill="auto"/>
            <w:noWrap/>
            <w:vAlign w:val="center"/>
            <w:hideMark/>
          </w:tcPr>
          <w:p w14:paraId="05617AE2" w14:textId="77777777" w:rsidR="00874916" w:rsidRPr="002C524B" w:rsidRDefault="00874916" w:rsidP="00EA28C4">
            <w:pPr>
              <w:jc w:val="center"/>
              <w:rPr>
                <w:sz w:val="18"/>
                <w:szCs w:val="18"/>
              </w:rPr>
            </w:pPr>
            <w:r w:rsidRPr="002C524B">
              <w:rPr>
                <w:sz w:val="18"/>
                <w:szCs w:val="18"/>
              </w:rPr>
              <w:t>—</w:t>
            </w:r>
          </w:p>
        </w:tc>
        <w:tc>
          <w:tcPr>
            <w:tcW w:w="486" w:type="pct"/>
            <w:tcBorders>
              <w:top w:val="single" w:sz="4" w:space="0" w:color="auto"/>
              <w:bottom w:val="single" w:sz="12" w:space="0" w:color="auto"/>
              <w:right w:val="single" w:sz="4" w:space="0" w:color="auto"/>
            </w:tcBorders>
            <w:shd w:val="clear" w:color="auto" w:fill="auto"/>
            <w:noWrap/>
            <w:vAlign w:val="center"/>
            <w:hideMark/>
          </w:tcPr>
          <w:p w14:paraId="07B3F138" w14:textId="77777777" w:rsidR="00874916" w:rsidRPr="002C524B" w:rsidRDefault="00874916" w:rsidP="00EA28C4">
            <w:pPr>
              <w:jc w:val="center"/>
              <w:rPr>
                <w:sz w:val="18"/>
                <w:szCs w:val="18"/>
              </w:rPr>
            </w:pPr>
            <w:r w:rsidRPr="002C524B">
              <w:rPr>
                <w:sz w:val="18"/>
                <w:szCs w:val="18"/>
              </w:rPr>
              <w:t>52.57%</w:t>
            </w:r>
          </w:p>
        </w:tc>
        <w:tc>
          <w:tcPr>
            <w:tcW w:w="619" w:type="pct"/>
            <w:tcBorders>
              <w:top w:val="single" w:sz="4" w:space="0" w:color="auto"/>
              <w:left w:val="single" w:sz="4" w:space="0" w:color="auto"/>
            </w:tcBorders>
            <w:shd w:val="clear" w:color="auto" w:fill="auto"/>
            <w:noWrap/>
            <w:vAlign w:val="center"/>
            <w:hideMark/>
          </w:tcPr>
          <w:p w14:paraId="1D399EE7" w14:textId="77777777" w:rsidR="00874916" w:rsidRPr="002C524B" w:rsidRDefault="00874916" w:rsidP="00EA28C4">
            <w:pPr>
              <w:jc w:val="center"/>
              <w:rPr>
                <w:sz w:val="18"/>
                <w:szCs w:val="18"/>
              </w:rPr>
            </w:pPr>
            <w:r w:rsidRPr="002C524B">
              <w:rPr>
                <w:sz w:val="18"/>
                <w:szCs w:val="18"/>
              </w:rPr>
              <w:t>Total</w:t>
            </w:r>
          </w:p>
        </w:tc>
        <w:tc>
          <w:tcPr>
            <w:tcW w:w="576" w:type="pct"/>
            <w:tcBorders>
              <w:top w:val="single" w:sz="4" w:space="0" w:color="auto"/>
            </w:tcBorders>
            <w:shd w:val="clear" w:color="auto" w:fill="auto"/>
            <w:noWrap/>
            <w:vAlign w:val="center"/>
            <w:hideMark/>
          </w:tcPr>
          <w:p w14:paraId="4691C82D" w14:textId="77777777" w:rsidR="00874916" w:rsidRPr="002C524B" w:rsidRDefault="00874916" w:rsidP="00EA28C4">
            <w:pPr>
              <w:jc w:val="center"/>
              <w:rPr>
                <w:sz w:val="18"/>
                <w:szCs w:val="18"/>
              </w:rPr>
            </w:pPr>
            <w:r w:rsidRPr="002C524B">
              <w:rPr>
                <w:sz w:val="18"/>
                <w:szCs w:val="18"/>
              </w:rPr>
              <w:t>—</w:t>
            </w:r>
          </w:p>
        </w:tc>
        <w:tc>
          <w:tcPr>
            <w:tcW w:w="472" w:type="pct"/>
            <w:tcBorders>
              <w:top w:val="single" w:sz="4" w:space="0" w:color="auto"/>
              <w:bottom w:val="single" w:sz="12" w:space="0" w:color="auto"/>
              <w:right w:val="single" w:sz="4" w:space="0" w:color="auto"/>
            </w:tcBorders>
            <w:shd w:val="clear" w:color="auto" w:fill="auto"/>
            <w:noWrap/>
            <w:vAlign w:val="center"/>
            <w:hideMark/>
          </w:tcPr>
          <w:p w14:paraId="61B95264" w14:textId="77777777" w:rsidR="00874916" w:rsidRPr="002C524B" w:rsidRDefault="00874916" w:rsidP="00EA28C4">
            <w:pPr>
              <w:jc w:val="center"/>
              <w:rPr>
                <w:sz w:val="18"/>
                <w:szCs w:val="18"/>
              </w:rPr>
            </w:pPr>
            <w:r w:rsidRPr="002C524B">
              <w:rPr>
                <w:sz w:val="18"/>
                <w:szCs w:val="18"/>
              </w:rPr>
              <w:t>56.70%</w:t>
            </w:r>
          </w:p>
        </w:tc>
        <w:tc>
          <w:tcPr>
            <w:tcW w:w="619" w:type="pct"/>
            <w:tcBorders>
              <w:top w:val="single" w:sz="4" w:space="0" w:color="auto"/>
              <w:left w:val="single" w:sz="4" w:space="0" w:color="auto"/>
            </w:tcBorders>
            <w:shd w:val="clear" w:color="auto" w:fill="auto"/>
            <w:noWrap/>
            <w:vAlign w:val="center"/>
            <w:hideMark/>
          </w:tcPr>
          <w:p w14:paraId="1D9AC3B0" w14:textId="77777777" w:rsidR="00874916" w:rsidRPr="002C524B" w:rsidRDefault="00874916" w:rsidP="00EA28C4">
            <w:pPr>
              <w:jc w:val="center"/>
              <w:rPr>
                <w:sz w:val="18"/>
                <w:szCs w:val="18"/>
              </w:rPr>
            </w:pPr>
            <w:r w:rsidRPr="002C524B">
              <w:rPr>
                <w:sz w:val="18"/>
                <w:szCs w:val="18"/>
              </w:rPr>
              <w:t>Total</w:t>
            </w:r>
          </w:p>
        </w:tc>
        <w:tc>
          <w:tcPr>
            <w:tcW w:w="523" w:type="pct"/>
            <w:tcBorders>
              <w:top w:val="single" w:sz="4" w:space="0" w:color="auto"/>
            </w:tcBorders>
            <w:shd w:val="clear" w:color="auto" w:fill="auto"/>
            <w:noWrap/>
            <w:vAlign w:val="center"/>
            <w:hideMark/>
          </w:tcPr>
          <w:p w14:paraId="5551E5FE" w14:textId="77777777" w:rsidR="00874916" w:rsidRPr="002C524B" w:rsidRDefault="00874916" w:rsidP="00EA28C4">
            <w:pPr>
              <w:jc w:val="center"/>
              <w:rPr>
                <w:sz w:val="18"/>
                <w:szCs w:val="18"/>
              </w:rPr>
            </w:pPr>
            <w:r w:rsidRPr="002C524B">
              <w:rPr>
                <w:sz w:val="18"/>
                <w:szCs w:val="18"/>
              </w:rPr>
              <w:t>—</w:t>
            </w:r>
          </w:p>
        </w:tc>
        <w:tc>
          <w:tcPr>
            <w:tcW w:w="524" w:type="pct"/>
            <w:tcBorders>
              <w:top w:val="single" w:sz="4" w:space="0" w:color="auto"/>
            </w:tcBorders>
            <w:shd w:val="clear" w:color="auto" w:fill="auto"/>
            <w:noWrap/>
            <w:vAlign w:val="center"/>
            <w:hideMark/>
          </w:tcPr>
          <w:p w14:paraId="41F11DCF" w14:textId="77777777" w:rsidR="00874916" w:rsidRPr="002C524B" w:rsidRDefault="00874916" w:rsidP="00EA28C4">
            <w:pPr>
              <w:jc w:val="center"/>
              <w:rPr>
                <w:sz w:val="18"/>
                <w:szCs w:val="18"/>
              </w:rPr>
            </w:pPr>
            <w:r w:rsidRPr="002C524B">
              <w:rPr>
                <w:sz w:val="18"/>
                <w:szCs w:val="18"/>
              </w:rPr>
              <w:t>57.19%</w:t>
            </w:r>
          </w:p>
        </w:tc>
      </w:tr>
    </w:tbl>
    <w:p w14:paraId="28B3B278" w14:textId="77777777" w:rsidR="00874916" w:rsidRPr="002C524B" w:rsidRDefault="00874916" w:rsidP="00874916"/>
    <w:tbl>
      <w:tblPr>
        <w:tblW w:w="5000" w:type="pct"/>
        <w:tblBorders>
          <w:top w:val="single" w:sz="12" w:space="0" w:color="auto"/>
          <w:bottom w:val="single" w:sz="12" w:space="0" w:color="auto"/>
        </w:tblBorders>
        <w:tblLook w:val="04A0" w:firstRow="1" w:lastRow="0" w:firstColumn="1" w:lastColumn="0" w:noHBand="0" w:noVBand="1"/>
      </w:tblPr>
      <w:tblGrid>
        <w:gridCol w:w="1404"/>
        <w:gridCol w:w="1408"/>
        <w:gridCol w:w="1510"/>
        <w:gridCol w:w="1403"/>
        <w:gridCol w:w="1408"/>
        <w:gridCol w:w="1507"/>
      </w:tblGrid>
      <w:tr w:rsidR="00874916" w:rsidRPr="002C524B" w14:paraId="2000C528" w14:textId="77777777" w:rsidTr="00EA28C4">
        <w:trPr>
          <w:trHeight w:val="270"/>
        </w:trPr>
        <w:tc>
          <w:tcPr>
            <w:tcW w:w="812" w:type="pct"/>
            <w:tcBorders>
              <w:bottom w:val="single" w:sz="4" w:space="0" w:color="auto"/>
            </w:tcBorders>
            <w:shd w:val="clear" w:color="000000" w:fill="FFFFFF"/>
            <w:vAlign w:val="center"/>
            <w:hideMark/>
          </w:tcPr>
          <w:p w14:paraId="10D265A9" w14:textId="77777777" w:rsidR="00874916" w:rsidRPr="002C524B" w:rsidRDefault="00874916" w:rsidP="00EA28C4">
            <w:pPr>
              <w:jc w:val="center"/>
              <w:rPr>
                <w:sz w:val="18"/>
                <w:szCs w:val="18"/>
              </w:rPr>
            </w:pPr>
            <w:r w:rsidRPr="002C524B">
              <w:rPr>
                <w:sz w:val="18"/>
                <w:szCs w:val="18"/>
              </w:rPr>
              <w:t xml:space="preserve">　</w:t>
            </w:r>
          </w:p>
        </w:tc>
        <w:tc>
          <w:tcPr>
            <w:tcW w:w="815" w:type="pct"/>
            <w:tcBorders>
              <w:bottom w:val="single" w:sz="4" w:space="0" w:color="auto"/>
            </w:tcBorders>
            <w:shd w:val="clear" w:color="000000" w:fill="FFFFFF"/>
            <w:vAlign w:val="center"/>
            <w:hideMark/>
          </w:tcPr>
          <w:p w14:paraId="7292C37B" w14:textId="77777777" w:rsidR="00874916" w:rsidRPr="002C524B" w:rsidRDefault="00874916" w:rsidP="00EA28C4">
            <w:pPr>
              <w:jc w:val="center"/>
              <w:rPr>
                <w:sz w:val="18"/>
                <w:szCs w:val="18"/>
              </w:rPr>
            </w:pPr>
            <w:r w:rsidRPr="002C524B">
              <w:rPr>
                <w:sz w:val="18"/>
                <w:szCs w:val="18"/>
              </w:rPr>
              <w:t>2014</w:t>
            </w:r>
          </w:p>
        </w:tc>
        <w:tc>
          <w:tcPr>
            <w:tcW w:w="874" w:type="pct"/>
            <w:tcBorders>
              <w:top w:val="single" w:sz="12" w:space="0" w:color="auto"/>
              <w:bottom w:val="single" w:sz="4" w:space="0" w:color="auto"/>
              <w:right w:val="single" w:sz="4" w:space="0" w:color="auto"/>
            </w:tcBorders>
            <w:shd w:val="clear" w:color="000000" w:fill="FFFFFF"/>
            <w:vAlign w:val="center"/>
            <w:hideMark/>
          </w:tcPr>
          <w:p w14:paraId="036243A4" w14:textId="77777777" w:rsidR="00874916" w:rsidRPr="002C524B" w:rsidRDefault="00874916" w:rsidP="00EA28C4">
            <w:pPr>
              <w:jc w:val="center"/>
              <w:rPr>
                <w:sz w:val="18"/>
                <w:szCs w:val="18"/>
              </w:rPr>
            </w:pPr>
            <w:r w:rsidRPr="002C524B">
              <w:rPr>
                <w:sz w:val="18"/>
                <w:szCs w:val="18"/>
              </w:rPr>
              <w:t xml:space="preserve">　</w:t>
            </w:r>
          </w:p>
        </w:tc>
        <w:tc>
          <w:tcPr>
            <w:tcW w:w="812" w:type="pct"/>
            <w:tcBorders>
              <w:left w:val="single" w:sz="4" w:space="0" w:color="auto"/>
              <w:bottom w:val="single" w:sz="4" w:space="0" w:color="auto"/>
            </w:tcBorders>
            <w:shd w:val="clear" w:color="000000" w:fill="FFFFFF"/>
            <w:vAlign w:val="center"/>
            <w:hideMark/>
          </w:tcPr>
          <w:p w14:paraId="6BC9AB17" w14:textId="77777777" w:rsidR="00874916" w:rsidRPr="002C524B" w:rsidRDefault="00874916" w:rsidP="00EA28C4">
            <w:pPr>
              <w:jc w:val="center"/>
              <w:rPr>
                <w:sz w:val="18"/>
                <w:szCs w:val="18"/>
              </w:rPr>
            </w:pPr>
            <w:r w:rsidRPr="002C524B">
              <w:rPr>
                <w:sz w:val="18"/>
                <w:szCs w:val="18"/>
              </w:rPr>
              <w:t xml:space="preserve">　</w:t>
            </w:r>
          </w:p>
        </w:tc>
        <w:tc>
          <w:tcPr>
            <w:tcW w:w="815" w:type="pct"/>
            <w:tcBorders>
              <w:bottom w:val="single" w:sz="4" w:space="0" w:color="auto"/>
            </w:tcBorders>
            <w:shd w:val="clear" w:color="000000" w:fill="FFFFFF"/>
            <w:vAlign w:val="center"/>
            <w:hideMark/>
          </w:tcPr>
          <w:p w14:paraId="32B57A42" w14:textId="77777777" w:rsidR="00874916" w:rsidRPr="002C524B" w:rsidRDefault="00874916" w:rsidP="00EA28C4">
            <w:pPr>
              <w:jc w:val="center"/>
              <w:rPr>
                <w:sz w:val="18"/>
                <w:szCs w:val="18"/>
              </w:rPr>
            </w:pPr>
            <w:r w:rsidRPr="002C524B">
              <w:rPr>
                <w:sz w:val="18"/>
                <w:szCs w:val="18"/>
              </w:rPr>
              <w:t>2015</w:t>
            </w:r>
          </w:p>
        </w:tc>
        <w:tc>
          <w:tcPr>
            <w:tcW w:w="872" w:type="pct"/>
            <w:tcBorders>
              <w:bottom w:val="single" w:sz="4" w:space="0" w:color="auto"/>
            </w:tcBorders>
            <w:shd w:val="clear" w:color="000000" w:fill="FFFFFF"/>
            <w:vAlign w:val="center"/>
            <w:hideMark/>
          </w:tcPr>
          <w:p w14:paraId="771FF4D7" w14:textId="77777777" w:rsidR="00874916" w:rsidRPr="002C524B" w:rsidRDefault="00874916" w:rsidP="00EA28C4">
            <w:pPr>
              <w:jc w:val="center"/>
              <w:rPr>
                <w:sz w:val="18"/>
                <w:szCs w:val="18"/>
              </w:rPr>
            </w:pPr>
            <w:r w:rsidRPr="002C524B">
              <w:rPr>
                <w:sz w:val="18"/>
                <w:szCs w:val="18"/>
              </w:rPr>
              <w:t xml:space="preserve">　</w:t>
            </w:r>
          </w:p>
        </w:tc>
      </w:tr>
      <w:tr w:rsidR="00874916" w:rsidRPr="002C524B" w14:paraId="0369CBF3" w14:textId="77777777" w:rsidTr="00EA28C4">
        <w:trPr>
          <w:trHeight w:val="420"/>
        </w:trPr>
        <w:tc>
          <w:tcPr>
            <w:tcW w:w="812" w:type="pct"/>
            <w:tcBorders>
              <w:top w:val="single" w:sz="4" w:space="0" w:color="auto"/>
              <w:bottom w:val="single" w:sz="4" w:space="0" w:color="auto"/>
            </w:tcBorders>
            <w:shd w:val="clear" w:color="000000" w:fill="FFFFFF"/>
            <w:vAlign w:val="center"/>
            <w:hideMark/>
          </w:tcPr>
          <w:p w14:paraId="58985C7B" w14:textId="77777777" w:rsidR="00874916" w:rsidRPr="002C524B" w:rsidRDefault="00874916" w:rsidP="00EA28C4">
            <w:pPr>
              <w:jc w:val="center"/>
              <w:rPr>
                <w:sz w:val="18"/>
                <w:szCs w:val="18"/>
              </w:rPr>
            </w:pPr>
            <w:r w:rsidRPr="002C524B">
              <w:rPr>
                <w:sz w:val="18"/>
                <w:szCs w:val="18"/>
              </w:rPr>
              <w:t>Importers</w:t>
            </w:r>
          </w:p>
        </w:tc>
        <w:tc>
          <w:tcPr>
            <w:tcW w:w="815" w:type="pct"/>
            <w:tcBorders>
              <w:top w:val="single" w:sz="4" w:space="0" w:color="auto"/>
              <w:bottom w:val="single" w:sz="4" w:space="0" w:color="auto"/>
            </w:tcBorders>
            <w:shd w:val="clear" w:color="000000" w:fill="FFFFFF"/>
            <w:vAlign w:val="center"/>
            <w:hideMark/>
          </w:tcPr>
          <w:p w14:paraId="6820C96D" w14:textId="77777777" w:rsidR="00874916" w:rsidRPr="002C524B" w:rsidRDefault="00874916" w:rsidP="00EA28C4">
            <w:pPr>
              <w:jc w:val="center"/>
              <w:rPr>
                <w:sz w:val="18"/>
                <w:szCs w:val="18"/>
              </w:rPr>
            </w:pPr>
            <w:r w:rsidRPr="002C524B">
              <w:rPr>
                <w:sz w:val="18"/>
                <w:szCs w:val="18"/>
              </w:rPr>
              <w:t>Thousand</w:t>
            </w:r>
          </w:p>
          <w:p w14:paraId="4CDC4645" w14:textId="77777777" w:rsidR="00874916" w:rsidRPr="002C524B" w:rsidRDefault="00874916" w:rsidP="00EA28C4">
            <w:pPr>
              <w:jc w:val="center"/>
              <w:rPr>
                <w:sz w:val="18"/>
                <w:szCs w:val="18"/>
              </w:rPr>
            </w:pPr>
            <w:r>
              <w:rPr>
                <w:sz w:val="18"/>
                <w:szCs w:val="18"/>
              </w:rPr>
              <w:t>Tons</w:t>
            </w:r>
          </w:p>
        </w:tc>
        <w:tc>
          <w:tcPr>
            <w:tcW w:w="874" w:type="pct"/>
            <w:tcBorders>
              <w:top w:val="single" w:sz="4" w:space="0" w:color="auto"/>
              <w:bottom w:val="single" w:sz="4" w:space="0" w:color="auto"/>
              <w:right w:val="single" w:sz="4" w:space="0" w:color="auto"/>
            </w:tcBorders>
            <w:shd w:val="clear" w:color="000000" w:fill="FFFFFF"/>
            <w:vAlign w:val="center"/>
            <w:hideMark/>
          </w:tcPr>
          <w:p w14:paraId="39809F95" w14:textId="77777777" w:rsidR="00874916" w:rsidRPr="002C524B" w:rsidRDefault="00874916" w:rsidP="00EA28C4">
            <w:pPr>
              <w:jc w:val="center"/>
              <w:rPr>
                <w:sz w:val="18"/>
                <w:szCs w:val="18"/>
              </w:rPr>
            </w:pPr>
            <w:r w:rsidRPr="002C524B">
              <w:rPr>
                <w:sz w:val="18"/>
                <w:szCs w:val="18"/>
              </w:rPr>
              <w:t>Percent</w:t>
            </w:r>
          </w:p>
        </w:tc>
        <w:tc>
          <w:tcPr>
            <w:tcW w:w="812" w:type="pct"/>
            <w:tcBorders>
              <w:top w:val="single" w:sz="4" w:space="0" w:color="auto"/>
              <w:left w:val="single" w:sz="4" w:space="0" w:color="auto"/>
              <w:bottom w:val="single" w:sz="4" w:space="0" w:color="auto"/>
            </w:tcBorders>
            <w:shd w:val="clear" w:color="000000" w:fill="FFFFFF"/>
            <w:vAlign w:val="center"/>
            <w:hideMark/>
          </w:tcPr>
          <w:p w14:paraId="1676DACB" w14:textId="77777777" w:rsidR="00874916" w:rsidRPr="002C524B" w:rsidRDefault="00874916" w:rsidP="00EA28C4">
            <w:pPr>
              <w:jc w:val="center"/>
              <w:rPr>
                <w:sz w:val="18"/>
                <w:szCs w:val="18"/>
              </w:rPr>
            </w:pPr>
            <w:r w:rsidRPr="002C524B">
              <w:rPr>
                <w:sz w:val="18"/>
                <w:szCs w:val="18"/>
              </w:rPr>
              <w:t>Importers</w:t>
            </w:r>
          </w:p>
        </w:tc>
        <w:tc>
          <w:tcPr>
            <w:tcW w:w="815" w:type="pct"/>
            <w:tcBorders>
              <w:top w:val="single" w:sz="4" w:space="0" w:color="auto"/>
              <w:bottom w:val="single" w:sz="4" w:space="0" w:color="auto"/>
            </w:tcBorders>
            <w:shd w:val="clear" w:color="000000" w:fill="FFFFFF"/>
            <w:vAlign w:val="center"/>
            <w:hideMark/>
          </w:tcPr>
          <w:p w14:paraId="68B4520B" w14:textId="77777777" w:rsidR="00874916" w:rsidRPr="002C524B" w:rsidRDefault="00874916" w:rsidP="00EA28C4">
            <w:pPr>
              <w:jc w:val="center"/>
              <w:rPr>
                <w:sz w:val="18"/>
                <w:szCs w:val="18"/>
              </w:rPr>
            </w:pPr>
            <w:r w:rsidRPr="002C524B">
              <w:rPr>
                <w:sz w:val="18"/>
                <w:szCs w:val="18"/>
              </w:rPr>
              <w:t>Thousand</w:t>
            </w:r>
          </w:p>
          <w:p w14:paraId="68BC67F4" w14:textId="77777777" w:rsidR="00874916" w:rsidRPr="002C524B" w:rsidRDefault="00874916" w:rsidP="00EA28C4">
            <w:pPr>
              <w:jc w:val="center"/>
              <w:rPr>
                <w:sz w:val="18"/>
                <w:szCs w:val="18"/>
              </w:rPr>
            </w:pPr>
            <w:r>
              <w:rPr>
                <w:sz w:val="18"/>
                <w:szCs w:val="18"/>
              </w:rPr>
              <w:t>Tons</w:t>
            </w:r>
          </w:p>
        </w:tc>
        <w:tc>
          <w:tcPr>
            <w:tcW w:w="872" w:type="pct"/>
            <w:tcBorders>
              <w:top w:val="single" w:sz="4" w:space="0" w:color="auto"/>
              <w:bottom w:val="single" w:sz="4" w:space="0" w:color="auto"/>
            </w:tcBorders>
            <w:shd w:val="clear" w:color="000000" w:fill="FFFFFF"/>
            <w:vAlign w:val="center"/>
            <w:hideMark/>
          </w:tcPr>
          <w:p w14:paraId="1EECF46D" w14:textId="77777777" w:rsidR="00874916" w:rsidRPr="002C524B" w:rsidRDefault="00874916" w:rsidP="00EA28C4">
            <w:pPr>
              <w:jc w:val="center"/>
              <w:rPr>
                <w:sz w:val="18"/>
                <w:szCs w:val="18"/>
              </w:rPr>
            </w:pPr>
            <w:r w:rsidRPr="002C524B">
              <w:rPr>
                <w:sz w:val="18"/>
                <w:szCs w:val="18"/>
              </w:rPr>
              <w:t>Percent</w:t>
            </w:r>
          </w:p>
        </w:tc>
      </w:tr>
      <w:tr w:rsidR="00874916" w:rsidRPr="002C524B" w14:paraId="5E2F85B7" w14:textId="77777777" w:rsidTr="00EA28C4">
        <w:trPr>
          <w:trHeight w:val="420"/>
        </w:trPr>
        <w:tc>
          <w:tcPr>
            <w:tcW w:w="812" w:type="pct"/>
            <w:tcBorders>
              <w:top w:val="single" w:sz="4" w:space="0" w:color="auto"/>
              <w:bottom w:val="nil"/>
            </w:tcBorders>
            <w:shd w:val="clear" w:color="000000" w:fill="FFFFFF"/>
            <w:vAlign w:val="center"/>
            <w:hideMark/>
          </w:tcPr>
          <w:p w14:paraId="0CC1CE4C" w14:textId="77777777" w:rsidR="00874916" w:rsidRPr="002C524B" w:rsidRDefault="00874916" w:rsidP="00EA28C4">
            <w:pPr>
              <w:jc w:val="center"/>
              <w:rPr>
                <w:sz w:val="18"/>
                <w:szCs w:val="18"/>
              </w:rPr>
            </w:pPr>
            <w:r w:rsidRPr="002C524B">
              <w:rPr>
                <w:sz w:val="18"/>
                <w:szCs w:val="18"/>
              </w:rPr>
              <w:t>Iraq</w:t>
            </w:r>
          </w:p>
        </w:tc>
        <w:tc>
          <w:tcPr>
            <w:tcW w:w="815" w:type="pct"/>
            <w:tcBorders>
              <w:top w:val="single" w:sz="4" w:space="0" w:color="auto"/>
              <w:bottom w:val="nil"/>
            </w:tcBorders>
            <w:shd w:val="clear" w:color="000000" w:fill="FFFFFF"/>
            <w:vAlign w:val="center"/>
            <w:hideMark/>
          </w:tcPr>
          <w:p w14:paraId="0213E2C0" w14:textId="77777777" w:rsidR="00874916" w:rsidRPr="002C524B" w:rsidRDefault="00874916" w:rsidP="00EA28C4">
            <w:pPr>
              <w:jc w:val="center"/>
              <w:rPr>
                <w:sz w:val="18"/>
                <w:szCs w:val="18"/>
              </w:rPr>
            </w:pPr>
            <w:r w:rsidRPr="002C524B">
              <w:rPr>
                <w:sz w:val="18"/>
                <w:szCs w:val="18"/>
              </w:rPr>
              <w:t>221.34</w:t>
            </w:r>
          </w:p>
        </w:tc>
        <w:tc>
          <w:tcPr>
            <w:tcW w:w="874" w:type="pct"/>
            <w:tcBorders>
              <w:top w:val="single" w:sz="4" w:space="0" w:color="auto"/>
              <w:bottom w:val="nil"/>
              <w:right w:val="single" w:sz="4" w:space="0" w:color="auto"/>
            </w:tcBorders>
            <w:shd w:val="clear" w:color="000000" w:fill="FFFFFF"/>
            <w:vAlign w:val="center"/>
            <w:hideMark/>
          </w:tcPr>
          <w:p w14:paraId="4FEE8883" w14:textId="77777777" w:rsidR="00874916" w:rsidRPr="002C524B" w:rsidRDefault="00874916" w:rsidP="00EA28C4">
            <w:pPr>
              <w:jc w:val="center"/>
              <w:rPr>
                <w:sz w:val="18"/>
                <w:szCs w:val="18"/>
              </w:rPr>
            </w:pPr>
            <w:r w:rsidRPr="002C524B">
              <w:rPr>
                <w:sz w:val="18"/>
                <w:szCs w:val="18"/>
              </w:rPr>
              <w:t>10.24%</w:t>
            </w:r>
          </w:p>
        </w:tc>
        <w:tc>
          <w:tcPr>
            <w:tcW w:w="812" w:type="pct"/>
            <w:tcBorders>
              <w:top w:val="single" w:sz="4" w:space="0" w:color="auto"/>
              <w:left w:val="single" w:sz="4" w:space="0" w:color="auto"/>
              <w:bottom w:val="nil"/>
            </w:tcBorders>
            <w:shd w:val="clear" w:color="000000" w:fill="FFFFFF"/>
            <w:vAlign w:val="center"/>
            <w:hideMark/>
          </w:tcPr>
          <w:p w14:paraId="0CF7DC3E" w14:textId="77777777" w:rsidR="00874916" w:rsidRPr="002C524B" w:rsidRDefault="00874916" w:rsidP="00EA28C4">
            <w:pPr>
              <w:jc w:val="center"/>
              <w:rPr>
                <w:sz w:val="18"/>
                <w:szCs w:val="18"/>
              </w:rPr>
            </w:pPr>
            <w:r w:rsidRPr="002C524B">
              <w:rPr>
                <w:sz w:val="18"/>
                <w:szCs w:val="18"/>
              </w:rPr>
              <w:t>Russian Federation</w:t>
            </w:r>
          </w:p>
        </w:tc>
        <w:tc>
          <w:tcPr>
            <w:tcW w:w="815" w:type="pct"/>
            <w:tcBorders>
              <w:top w:val="single" w:sz="4" w:space="0" w:color="auto"/>
              <w:bottom w:val="nil"/>
            </w:tcBorders>
            <w:shd w:val="clear" w:color="000000" w:fill="FFFFFF"/>
            <w:vAlign w:val="center"/>
            <w:hideMark/>
          </w:tcPr>
          <w:p w14:paraId="1BC8E80E" w14:textId="77777777" w:rsidR="00874916" w:rsidRPr="002C524B" w:rsidRDefault="00874916" w:rsidP="00EA28C4">
            <w:pPr>
              <w:jc w:val="center"/>
              <w:rPr>
                <w:sz w:val="18"/>
                <w:szCs w:val="18"/>
              </w:rPr>
            </w:pPr>
            <w:r w:rsidRPr="002C524B">
              <w:rPr>
                <w:sz w:val="18"/>
                <w:szCs w:val="18"/>
              </w:rPr>
              <w:t>173.07</w:t>
            </w:r>
          </w:p>
        </w:tc>
        <w:tc>
          <w:tcPr>
            <w:tcW w:w="872" w:type="pct"/>
            <w:tcBorders>
              <w:top w:val="single" w:sz="4" w:space="0" w:color="auto"/>
              <w:bottom w:val="nil"/>
            </w:tcBorders>
            <w:shd w:val="clear" w:color="000000" w:fill="FFFFFF"/>
            <w:vAlign w:val="center"/>
            <w:hideMark/>
          </w:tcPr>
          <w:p w14:paraId="057B170A" w14:textId="77777777" w:rsidR="00874916" w:rsidRPr="002C524B" w:rsidRDefault="00874916" w:rsidP="00EA28C4">
            <w:pPr>
              <w:jc w:val="center"/>
              <w:rPr>
                <w:sz w:val="18"/>
                <w:szCs w:val="18"/>
              </w:rPr>
            </w:pPr>
            <w:r w:rsidRPr="002C524B">
              <w:rPr>
                <w:sz w:val="18"/>
                <w:szCs w:val="18"/>
              </w:rPr>
              <w:t>8.76%</w:t>
            </w:r>
          </w:p>
        </w:tc>
      </w:tr>
      <w:tr w:rsidR="00874916" w:rsidRPr="002C524B" w14:paraId="73D5D251" w14:textId="77777777" w:rsidTr="00EA28C4">
        <w:trPr>
          <w:trHeight w:val="420"/>
        </w:trPr>
        <w:tc>
          <w:tcPr>
            <w:tcW w:w="812" w:type="pct"/>
            <w:tcBorders>
              <w:top w:val="nil"/>
            </w:tcBorders>
            <w:shd w:val="clear" w:color="000000" w:fill="FFFFFF"/>
            <w:vAlign w:val="center"/>
            <w:hideMark/>
          </w:tcPr>
          <w:p w14:paraId="6029A854" w14:textId="77777777" w:rsidR="00874916" w:rsidRPr="002C524B" w:rsidRDefault="00874916" w:rsidP="00EA28C4">
            <w:pPr>
              <w:jc w:val="center"/>
              <w:rPr>
                <w:sz w:val="18"/>
                <w:szCs w:val="18"/>
              </w:rPr>
            </w:pPr>
            <w:r w:rsidRPr="002C524B">
              <w:rPr>
                <w:sz w:val="18"/>
                <w:szCs w:val="18"/>
              </w:rPr>
              <w:t>Russian Federation</w:t>
            </w:r>
          </w:p>
        </w:tc>
        <w:tc>
          <w:tcPr>
            <w:tcW w:w="815" w:type="pct"/>
            <w:tcBorders>
              <w:top w:val="nil"/>
            </w:tcBorders>
            <w:shd w:val="clear" w:color="000000" w:fill="FFFFFF"/>
            <w:vAlign w:val="center"/>
            <w:hideMark/>
          </w:tcPr>
          <w:p w14:paraId="392B791B" w14:textId="77777777" w:rsidR="00874916" w:rsidRPr="002C524B" w:rsidRDefault="00874916" w:rsidP="00EA28C4">
            <w:pPr>
              <w:jc w:val="center"/>
              <w:rPr>
                <w:sz w:val="18"/>
                <w:szCs w:val="18"/>
              </w:rPr>
            </w:pPr>
            <w:r w:rsidRPr="002C524B">
              <w:rPr>
                <w:sz w:val="18"/>
                <w:szCs w:val="18"/>
              </w:rPr>
              <w:t>172.61</w:t>
            </w:r>
          </w:p>
        </w:tc>
        <w:tc>
          <w:tcPr>
            <w:tcW w:w="874" w:type="pct"/>
            <w:tcBorders>
              <w:top w:val="nil"/>
              <w:bottom w:val="nil"/>
              <w:right w:val="single" w:sz="4" w:space="0" w:color="auto"/>
            </w:tcBorders>
            <w:shd w:val="clear" w:color="000000" w:fill="FFFFFF"/>
            <w:vAlign w:val="center"/>
            <w:hideMark/>
          </w:tcPr>
          <w:p w14:paraId="53D1CB70" w14:textId="77777777" w:rsidR="00874916" w:rsidRPr="002C524B" w:rsidRDefault="00874916" w:rsidP="00EA28C4">
            <w:pPr>
              <w:jc w:val="center"/>
              <w:rPr>
                <w:sz w:val="18"/>
                <w:szCs w:val="18"/>
              </w:rPr>
            </w:pPr>
            <w:r w:rsidRPr="002C524B">
              <w:rPr>
                <w:sz w:val="18"/>
                <w:szCs w:val="18"/>
              </w:rPr>
              <w:t>7.99%</w:t>
            </w:r>
          </w:p>
        </w:tc>
        <w:tc>
          <w:tcPr>
            <w:tcW w:w="812" w:type="pct"/>
            <w:tcBorders>
              <w:top w:val="nil"/>
              <w:left w:val="single" w:sz="4" w:space="0" w:color="auto"/>
            </w:tcBorders>
            <w:shd w:val="clear" w:color="000000" w:fill="FFFFFF"/>
            <w:vAlign w:val="center"/>
            <w:hideMark/>
          </w:tcPr>
          <w:p w14:paraId="32765E3B" w14:textId="77777777" w:rsidR="00874916" w:rsidRPr="002C524B" w:rsidRDefault="00874916" w:rsidP="00EA28C4">
            <w:pPr>
              <w:jc w:val="center"/>
              <w:rPr>
                <w:sz w:val="18"/>
                <w:szCs w:val="18"/>
              </w:rPr>
            </w:pPr>
            <w:r w:rsidRPr="002C524B">
              <w:rPr>
                <w:sz w:val="18"/>
                <w:szCs w:val="18"/>
              </w:rPr>
              <w:t>Pakistan</w:t>
            </w:r>
          </w:p>
        </w:tc>
        <w:tc>
          <w:tcPr>
            <w:tcW w:w="815" w:type="pct"/>
            <w:tcBorders>
              <w:top w:val="nil"/>
            </w:tcBorders>
            <w:shd w:val="clear" w:color="000000" w:fill="FFFFFF"/>
            <w:vAlign w:val="center"/>
            <w:hideMark/>
          </w:tcPr>
          <w:p w14:paraId="0209CF69" w14:textId="77777777" w:rsidR="00874916" w:rsidRPr="002C524B" w:rsidRDefault="00874916" w:rsidP="00EA28C4">
            <w:pPr>
              <w:jc w:val="center"/>
              <w:rPr>
                <w:sz w:val="18"/>
                <w:szCs w:val="18"/>
              </w:rPr>
            </w:pPr>
            <w:r w:rsidRPr="002C524B">
              <w:rPr>
                <w:sz w:val="18"/>
                <w:szCs w:val="18"/>
              </w:rPr>
              <w:t>164.64</w:t>
            </w:r>
          </w:p>
        </w:tc>
        <w:tc>
          <w:tcPr>
            <w:tcW w:w="872" w:type="pct"/>
            <w:tcBorders>
              <w:top w:val="nil"/>
            </w:tcBorders>
            <w:shd w:val="clear" w:color="000000" w:fill="FFFFFF"/>
            <w:vAlign w:val="center"/>
            <w:hideMark/>
          </w:tcPr>
          <w:p w14:paraId="4D6697AE" w14:textId="77777777" w:rsidR="00874916" w:rsidRPr="002C524B" w:rsidRDefault="00874916" w:rsidP="00EA28C4">
            <w:pPr>
              <w:jc w:val="center"/>
              <w:rPr>
                <w:sz w:val="18"/>
                <w:szCs w:val="18"/>
              </w:rPr>
            </w:pPr>
            <w:r w:rsidRPr="002C524B">
              <w:rPr>
                <w:sz w:val="18"/>
                <w:szCs w:val="18"/>
              </w:rPr>
              <w:t>8.34%</w:t>
            </w:r>
          </w:p>
        </w:tc>
      </w:tr>
      <w:tr w:rsidR="00874916" w:rsidRPr="002C524B" w14:paraId="4B68F08A" w14:textId="77777777" w:rsidTr="00EA28C4">
        <w:trPr>
          <w:trHeight w:val="568"/>
        </w:trPr>
        <w:tc>
          <w:tcPr>
            <w:tcW w:w="812" w:type="pct"/>
            <w:shd w:val="clear" w:color="000000" w:fill="FFFFFF"/>
            <w:vAlign w:val="center"/>
            <w:hideMark/>
          </w:tcPr>
          <w:p w14:paraId="6CF251AD" w14:textId="77777777" w:rsidR="00874916" w:rsidRPr="002C524B" w:rsidRDefault="00874916" w:rsidP="00EA28C4">
            <w:pPr>
              <w:jc w:val="center"/>
              <w:rPr>
                <w:sz w:val="18"/>
                <w:szCs w:val="18"/>
              </w:rPr>
            </w:pPr>
            <w:r w:rsidRPr="002C524B">
              <w:rPr>
                <w:sz w:val="18"/>
                <w:szCs w:val="18"/>
              </w:rPr>
              <w:t>Pakistan</w:t>
            </w:r>
          </w:p>
        </w:tc>
        <w:tc>
          <w:tcPr>
            <w:tcW w:w="815" w:type="pct"/>
            <w:shd w:val="clear" w:color="000000" w:fill="FFFFFF"/>
            <w:vAlign w:val="center"/>
            <w:hideMark/>
          </w:tcPr>
          <w:p w14:paraId="27345B8D" w14:textId="77777777" w:rsidR="00874916" w:rsidRPr="002C524B" w:rsidRDefault="00874916" w:rsidP="00EA28C4">
            <w:pPr>
              <w:jc w:val="center"/>
              <w:rPr>
                <w:sz w:val="18"/>
                <w:szCs w:val="18"/>
              </w:rPr>
            </w:pPr>
            <w:r w:rsidRPr="002C524B">
              <w:rPr>
                <w:sz w:val="18"/>
                <w:szCs w:val="18"/>
              </w:rPr>
              <w:t>150.95</w:t>
            </w:r>
          </w:p>
        </w:tc>
        <w:tc>
          <w:tcPr>
            <w:tcW w:w="874" w:type="pct"/>
            <w:tcBorders>
              <w:top w:val="nil"/>
              <w:bottom w:val="nil"/>
              <w:right w:val="single" w:sz="4" w:space="0" w:color="auto"/>
            </w:tcBorders>
            <w:shd w:val="clear" w:color="000000" w:fill="FFFFFF"/>
            <w:vAlign w:val="center"/>
            <w:hideMark/>
          </w:tcPr>
          <w:p w14:paraId="1EA8F3E3" w14:textId="77777777" w:rsidR="00874916" w:rsidRPr="002C524B" w:rsidRDefault="00874916" w:rsidP="00EA28C4">
            <w:pPr>
              <w:jc w:val="center"/>
              <w:rPr>
                <w:sz w:val="18"/>
                <w:szCs w:val="18"/>
              </w:rPr>
            </w:pPr>
            <w:r w:rsidRPr="002C524B">
              <w:rPr>
                <w:sz w:val="18"/>
                <w:szCs w:val="18"/>
              </w:rPr>
              <w:t>6.99%</w:t>
            </w:r>
          </w:p>
        </w:tc>
        <w:tc>
          <w:tcPr>
            <w:tcW w:w="812" w:type="pct"/>
            <w:tcBorders>
              <w:left w:val="single" w:sz="4" w:space="0" w:color="auto"/>
            </w:tcBorders>
            <w:shd w:val="clear" w:color="000000" w:fill="FFFFFF"/>
            <w:vAlign w:val="center"/>
            <w:hideMark/>
          </w:tcPr>
          <w:p w14:paraId="52A0FFC4" w14:textId="77777777" w:rsidR="00874916" w:rsidRPr="002C524B" w:rsidRDefault="00874916" w:rsidP="00EA28C4">
            <w:pPr>
              <w:jc w:val="center"/>
              <w:rPr>
                <w:sz w:val="18"/>
                <w:szCs w:val="18"/>
              </w:rPr>
            </w:pPr>
            <w:r w:rsidRPr="002C524B">
              <w:rPr>
                <w:sz w:val="18"/>
                <w:szCs w:val="18"/>
              </w:rPr>
              <w:t>United Kingdom</w:t>
            </w:r>
          </w:p>
        </w:tc>
        <w:tc>
          <w:tcPr>
            <w:tcW w:w="815" w:type="pct"/>
            <w:shd w:val="clear" w:color="000000" w:fill="FFFFFF"/>
            <w:vAlign w:val="center"/>
            <w:hideMark/>
          </w:tcPr>
          <w:p w14:paraId="0580D3CE" w14:textId="77777777" w:rsidR="00874916" w:rsidRPr="002C524B" w:rsidRDefault="00874916" w:rsidP="00EA28C4">
            <w:pPr>
              <w:jc w:val="center"/>
              <w:rPr>
                <w:sz w:val="18"/>
                <w:szCs w:val="18"/>
              </w:rPr>
            </w:pPr>
            <w:r w:rsidRPr="002C524B">
              <w:rPr>
                <w:sz w:val="18"/>
                <w:szCs w:val="18"/>
              </w:rPr>
              <w:t>135.23</w:t>
            </w:r>
          </w:p>
        </w:tc>
        <w:tc>
          <w:tcPr>
            <w:tcW w:w="872" w:type="pct"/>
            <w:shd w:val="clear" w:color="000000" w:fill="FFFFFF"/>
            <w:vAlign w:val="center"/>
            <w:hideMark/>
          </w:tcPr>
          <w:p w14:paraId="3A4A31E5" w14:textId="77777777" w:rsidR="00874916" w:rsidRPr="002C524B" w:rsidRDefault="00874916" w:rsidP="00EA28C4">
            <w:pPr>
              <w:jc w:val="center"/>
              <w:rPr>
                <w:sz w:val="18"/>
                <w:szCs w:val="18"/>
              </w:rPr>
            </w:pPr>
            <w:r w:rsidRPr="002C524B">
              <w:rPr>
                <w:sz w:val="18"/>
                <w:szCs w:val="18"/>
              </w:rPr>
              <w:t>6.85%</w:t>
            </w:r>
          </w:p>
        </w:tc>
      </w:tr>
      <w:tr w:rsidR="00874916" w:rsidRPr="002C524B" w14:paraId="67F771C0" w14:textId="77777777" w:rsidTr="00EA28C4">
        <w:trPr>
          <w:trHeight w:val="464"/>
        </w:trPr>
        <w:tc>
          <w:tcPr>
            <w:tcW w:w="812" w:type="pct"/>
            <w:shd w:val="clear" w:color="000000" w:fill="FFFFFF"/>
            <w:vAlign w:val="center"/>
            <w:hideMark/>
          </w:tcPr>
          <w:p w14:paraId="13E0A984" w14:textId="77777777" w:rsidR="00874916" w:rsidRPr="002C524B" w:rsidRDefault="00874916" w:rsidP="00EA28C4">
            <w:pPr>
              <w:jc w:val="center"/>
              <w:rPr>
                <w:sz w:val="18"/>
                <w:szCs w:val="18"/>
              </w:rPr>
            </w:pPr>
            <w:r w:rsidRPr="002C524B">
              <w:rPr>
                <w:sz w:val="18"/>
                <w:szCs w:val="18"/>
              </w:rPr>
              <w:t>United Arab Emirates</w:t>
            </w:r>
          </w:p>
        </w:tc>
        <w:tc>
          <w:tcPr>
            <w:tcW w:w="815" w:type="pct"/>
            <w:shd w:val="clear" w:color="000000" w:fill="FFFFFF"/>
            <w:vAlign w:val="center"/>
            <w:hideMark/>
          </w:tcPr>
          <w:p w14:paraId="2CD3D617" w14:textId="77777777" w:rsidR="00874916" w:rsidRPr="002C524B" w:rsidRDefault="00874916" w:rsidP="00EA28C4">
            <w:pPr>
              <w:jc w:val="center"/>
              <w:rPr>
                <w:sz w:val="18"/>
                <w:szCs w:val="18"/>
              </w:rPr>
            </w:pPr>
            <w:r w:rsidRPr="002C524B">
              <w:rPr>
                <w:sz w:val="18"/>
                <w:szCs w:val="18"/>
              </w:rPr>
              <w:t>149.15</w:t>
            </w:r>
          </w:p>
        </w:tc>
        <w:tc>
          <w:tcPr>
            <w:tcW w:w="874" w:type="pct"/>
            <w:tcBorders>
              <w:top w:val="nil"/>
              <w:bottom w:val="nil"/>
              <w:right w:val="single" w:sz="4" w:space="0" w:color="auto"/>
            </w:tcBorders>
            <w:shd w:val="clear" w:color="000000" w:fill="FFFFFF"/>
            <w:vAlign w:val="center"/>
            <w:hideMark/>
          </w:tcPr>
          <w:p w14:paraId="55C8FF7B" w14:textId="77777777" w:rsidR="00874916" w:rsidRPr="002C524B" w:rsidRDefault="00874916" w:rsidP="00EA28C4">
            <w:pPr>
              <w:jc w:val="center"/>
              <w:rPr>
                <w:sz w:val="18"/>
                <w:szCs w:val="18"/>
              </w:rPr>
            </w:pPr>
            <w:r w:rsidRPr="002C524B">
              <w:rPr>
                <w:sz w:val="18"/>
                <w:szCs w:val="18"/>
              </w:rPr>
              <w:t>6.90%</w:t>
            </w:r>
          </w:p>
        </w:tc>
        <w:tc>
          <w:tcPr>
            <w:tcW w:w="812" w:type="pct"/>
            <w:tcBorders>
              <w:left w:val="single" w:sz="4" w:space="0" w:color="auto"/>
            </w:tcBorders>
            <w:shd w:val="clear" w:color="000000" w:fill="FFFFFF"/>
            <w:vAlign w:val="center"/>
            <w:hideMark/>
          </w:tcPr>
          <w:p w14:paraId="1AFDE455" w14:textId="77777777" w:rsidR="00874916" w:rsidRPr="002C524B" w:rsidRDefault="00874916" w:rsidP="00EA28C4">
            <w:pPr>
              <w:jc w:val="center"/>
              <w:rPr>
                <w:sz w:val="18"/>
                <w:szCs w:val="18"/>
              </w:rPr>
            </w:pPr>
            <w:r w:rsidRPr="002C524B">
              <w:rPr>
                <w:sz w:val="18"/>
                <w:szCs w:val="18"/>
              </w:rPr>
              <w:t>United States of America</w:t>
            </w:r>
          </w:p>
        </w:tc>
        <w:tc>
          <w:tcPr>
            <w:tcW w:w="815" w:type="pct"/>
            <w:shd w:val="clear" w:color="000000" w:fill="FFFFFF"/>
            <w:vAlign w:val="center"/>
            <w:hideMark/>
          </w:tcPr>
          <w:p w14:paraId="192D51C5" w14:textId="77777777" w:rsidR="00874916" w:rsidRPr="002C524B" w:rsidRDefault="00874916" w:rsidP="00EA28C4">
            <w:pPr>
              <w:jc w:val="center"/>
              <w:rPr>
                <w:sz w:val="18"/>
                <w:szCs w:val="18"/>
              </w:rPr>
            </w:pPr>
            <w:r w:rsidRPr="002C524B">
              <w:rPr>
                <w:sz w:val="18"/>
                <w:szCs w:val="18"/>
              </w:rPr>
              <w:t>129.71</w:t>
            </w:r>
          </w:p>
        </w:tc>
        <w:tc>
          <w:tcPr>
            <w:tcW w:w="872" w:type="pct"/>
            <w:shd w:val="clear" w:color="000000" w:fill="FFFFFF"/>
            <w:vAlign w:val="center"/>
            <w:hideMark/>
          </w:tcPr>
          <w:p w14:paraId="7AA6B194" w14:textId="77777777" w:rsidR="00874916" w:rsidRPr="002C524B" w:rsidRDefault="00874916" w:rsidP="00EA28C4">
            <w:pPr>
              <w:jc w:val="center"/>
              <w:rPr>
                <w:sz w:val="18"/>
                <w:szCs w:val="18"/>
              </w:rPr>
            </w:pPr>
            <w:r w:rsidRPr="002C524B">
              <w:rPr>
                <w:sz w:val="18"/>
                <w:szCs w:val="18"/>
              </w:rPr>
              <w:t>6.57%</w:t>
            </w:r>
          </w:p>
        </w:tc>
      </w:tr>
      <w:tr w:rsidR="00874916" w:rsidRPr="002C524B" w14:paraId="63AA9614" w14:textId="77777777" w:rsidTr="00EA28C4">
        <w:trPr>
          <w:trHeight w:val="630"/>
        </w:trPr>
        <w:tc>
          <w:tcPr>
            <w:tcW w:w="812" w:type="pct"/>
            <w:shd w:val="clear" w:color="000000" w:fill="FFFFFF"/>
            <w:vAlign w:val="center"/>
            <w:hideMark/>
          </w:tcPr>
          <w:p w14:paraId="1AD3BDAD" w14:textId="77777777" w:rsidR="00874916" w:rsidRPr="002C524B" w:rsidRDefault="00874916" w:rsidP="00EA28C4">
            <w:pPr>
              <w:jc w:val="center"/>
              <w:rPr>
                <w:sz w:val="18"/>
                <w:szCs w:val="18"/>
              </w:rPr>
            </w:pPr>
            <w:r w:rsidRPr="002C524B">
              <w:rPr>
                <w:sz w:val="18"/>
                <w:szCs w:val="18"/>
              </w:rPr>
              <w:t>United States of America</w:t>
            </w:r>
          </w:p>
        </w:tc>
        <w:tc>
          <w:tcPr>
            <w:tcW w:w="815" w:type="pct"/>
            <w:shd w:val="clear" w:color="000000" w:fill="FFFFFF"/>
            <w:vAlign w:val="center"/>
            <w:hideMark/>
          </w:tcPr>
          <w:p w14:paraId="4820510A" w14:textId="77777777" w:rsidR="00874916" w:rsidRPr="002C524B" w:rsidRDefault="00874916" w:rsidP="00EA28C4">
            <w:pPr>
              <w:jc w:val="center"/>
              <w:rPr>
                <w:sz w:val="18"/>
                <w:szCs w:val="18"/>
              </w:rPr>
            </w:pPr>
            <w:r w:rsidRPr="002C524B">
              <w:rPr>
                <w:sz w:val="18"/>
                <w:szCs w:val="18"/>
              </w:rPr>
              <w:t>129.25</w:t>
            </w:r>
          </w:p>
        </w:tc>
        <w:tc>
          <w:tcPr>
            <w:tcW w:w="874" w:type="pct"/>
            <w:tcBorders>
              <w:top w:val="nil"/>
              <w:bottom w:val="nil"/>
              <w:right w:val="single" w:sz="4" w:space="0" w:color="auto"/>
            </w:tcBorders>
            <w:shd w:val="clear" w:color="000000" w:fill="FFFFFF"/>
            <w:vAlign w:val="center"/>
            <w:hideMark/>
          </w:tcPr>
          <w:p w14:paraId="1AD1D982" w14:textId="77777777" w:rsidR="00874916" w:rsidRPr="002C524B" w:rsidRDefault="00874916" w:rsidP="00EA28C4">
            <w:pPr>
              <w:jc w:val="center"/>
              <w:rPr>
                <w:sz w:val="18"/>
                <w:szCs w:val="18"/>
              </w:rPr>
            </w:pPr>
            <w:r w:rsidRPr="002C524B">
              <w:rPr>
                <w:sz w:val="18"/>
                <w:szCs w:val="18"/>
              </w:rPr>
              <w:t>5.98%</w:t>
            </w:r>
          </w:p>
        </w:tc>
        <w:tc>
          <w:tcPr>
            <w:tcW w:w="812" w:type="pct"/>
            <w:tcBorders>
              <w:left w:val="single" w:sz="4" w:space="0" w:color="auto"/>
            </w:tcBorders>
            <w:shd w:val="clear" w:color="000000" w:fill="FFFFFF"/>
            <w:vAlign w:val="center"/>
            <w:hideMark/>
          </w:tcPr>
          <w:p w14:paraId="7F9200C7" w14:textId="77777777" w:rsidR="00874916" w:rsidRPr="002C524B" w:rsidRDefault="00874916" w:rsidP="00EA28C4">
            <w:pPr>
              <w:jc w:val="center"/>
              <w:rPr>
                <w:sz w:val="18"/>
                <w:szCs w:val="18"/>
              </w:rPr>
            </w:pPr>
            <w:r w:rsidRPr="002C524B">
              <w:rPr>
                <w:sz w:val="18"/>
                <w:szCs w:val="18"/>
              </w:rPr>
              <w:t>United Arab Emirates</w:t>
            </w:r>
          </w:p>
        </w:tc>
        <w:tc>
          <w:tcPr>
            <w:tcW w:w="815" w:type="pct"/>
            <w:shd w:val="clear" w:color="000000" w:fill="FFFFFF"/>
            <w:vAlign w:val="center"/>
            <w:hideMark/>
          </w:tcPr>
          <w:p w14:paraId="1F34C71C" w14:textId="77777777" w:rsidR="00874916" w:rsidRPr="002C524B" w:rsidRDefault="00874916" w:rsidP="00EA28C4">
            <w:pPr>
              <w:jc w:val="center"/>
              <w:rPr>
                <w:sz w:val="18"/>
                <w:szCs w:val="18"/>
              </w:rPr>
            </w:pPr>
            <w:r w:rsidRPr="002C524B">
              <w:rPr>
                <w:sz w:val="18"/>
                <w:szCs w:val="18"/>
              </w:rPr>
              <w:t>104.21</w:t>
            </w:r>
          </w:p>
        </w:tc>
        <w:tc>
          <w:tcPr>
            <w:tcW w:w="872" w:type="pct"/>
            <w:shd w:val="clear" w:color="000000" w:fill="FFFFFF"/>
            <w:vAlign w:val="center"/>
            <w:hideMark/>
          </w:tcPr>
          <w:p w14:paraId="46C7378A" w14:textId="77777777" w:rsidR="00874916" w:rsidRPr="002C524B" w:rsidRDefault="00874916" w:rsidP="00EA28C4">
            <w:pPr>
              <w:jc w:val="center"/>
              <w:rPr>
                <w:sz w:val="18"/>
                <w:szCs w:val="18"/>
              </w:rPr>
            </w:pPr>
            <w:r w:rsidRPr="002C524B">
              <w:rPr>
                <w:sz w:val="18"/>
                <w:szCs w:val="18"/>
              </w:rPr>
              <w:t>5.28%</w:t>
            </w:r>
          </w:p>
        </w:tc>
      </w:tr>
      <w:tr w:rsidR="00874916" w:rsidRPr="002C524B" w14:paraId="47750239" w14:textId="77777777" w:rsidTr="00EA28C4">
        <w:trPr>
          <w:trHeight w:val="420"/>
        </w:trPr>
        <w:tc>
          <w:tcPr>
            <w:tcW w:w="812" w:type="pct"/>
            <w:shd w:val="clear" w:color="000000" w:fill="FFFFFF"/>
            <w:vAlign w:val="center"/>
            <w:hideMark/>
          </w:tcPr>
          <w:p w14:paraId="224C5B27" w14:textId="77777777" w:rsidR="00874916" w:rsidRPr="002C524B" w:rsidRDefault="00874916" w:rsidP="00EA28C4">
            <w:pPr>
              <w:jc w:val="center"/>
              <w:rPr>
                <w:sz w:val="18"/>
                <w:szCs w:val="18"/>
              </w:rPr>
            </w:pPr>
            <w:r w:rsidRPr="002C524B">
              <w:rPr>
                <w:sz w:val="18"/>
                <w:szCs w:val="18"/>
              </w:rPr>
              <w:t>United Kingdom</w:t>
            </w:r>
          </w:p>
        </w:tc>
        <w:tc>
          <w:tcPr>
            <w:tcW w:w="815" w:type="pct"/>
            <w:shd w:val="clear" w:color="000000" w:fill="FFFFFF"/>
            <w:vAlign w:val="center"/>
            <w:hideMark/>
          </w:tcPr>
          <w:p w14:paraId="6651B17F" w14:textId="77777777" w:rsidR="00874916" w:rsidRPr="002C524B" w:rsidRDefault="00874916" w:rsidP="00EA28C4">
            <w:pPr>
              <w:jc w:val="center"/>
              <w:rPr>
                <w:sz w:val="18"/>
                <w:szCs w:val="18"/>
              </w:rPr>
            </w:pPr>
            <w:r w:rsidRPr="002C524B">
              <w:rPr>
                <w:sz w:val="18"/>
                <w:szCs w:val="18"/>
              </w:rPr>
              <w:t>128.12</w:t>
            </w:r>
          </w:p>
        </w:tc>
        <w:tc>
          <w:tcPr>
            <w:tcW w:w="874" w:type="pct"/>
            <w:tcBorders>
              <w:top w:val="nil"/>
              <w:bottom w:val="nil"/>
              <w:right w:val="single" w:sz="4" w:space="0" w:color="auto"/>
            </w:tcBorders>
            <w:shd w:val="clear" w:color="000000" w:fill="FFFFFF"/>
            <w:vAlign w:val="center"/>
            <w:hideMark/>
          </w:tcPr>
          <w:p w14:paraId="6713362B" w14:textId="77777777" w:rsidR="00874916" w:rsidRPr="002C524B" w:rsidRDefault="00874916" w:rsidP="00EA28C4">
            <w:pPr>
              <w:jc w:val="center"/>
              <w:rPr>
                <w:sz w:val="18"/>
                <w:szCs w:val="18"/>
              </w:rPr>
            </w:pPr>
            <w:r w:rsidRPr="002C524B">
              <w:rPr>
                <w:sz w:val="18"/>
                <w:szCs w:val="18"/>
              </w:rPr>
              <w:t>5.93%</w:t>
            </w:r>
          </w:p>
        </w:tc>
        <w:tc>
          <w:tcPr>
            <w:tcW w:w="812" w:type="pct"/>
            <w:tcBorders>
              <w:left w:val="single" w:sz="4" w:space="0" w:color="auto"/>
            </w:tcBorders>
            <w:shd w:val="clear" w:color="000000" w:fill="FFFFFF"/>
            <w:vAlign w:val="center"/>
            <w:hideMark/>
          </w:tcPr>
          <w:p w14:paraId="6711F213" w14:textId="77777777" w:rsidR="00874916" w:rsidRPr="002C524B" w:rsidRDefault="00874916" w:rsidP="00EA28C4">
            <w:pPr>
              <w:jc w:val="center"/>
              <w:rPr>
                <w:sz w:val="18"/>
                <w:szCs w:val="18"/>
              </w:rPr>
            </w:pPr>
            <w:r w:rsidRPr="002C524B">
              <w:rPr>
                <w:sz w:val="18"/>
                <w:szCs w:val="18"/>
              </w:rPr>
              <w:t>Kenya</w:t>
            </w:r>
          </w:p>
        </w:tc>
        <w:tc>
          <w:tcPr>
            <w:tcW w:w="815" w:type="pct"/>
            <w:shd w:val="clear" w:color="000000" w:fill="FFFFFF"/>
            <w:vAlign w:val="center"/>
            <w:hideMark/>
          </w:tcPr>
          <w:p w14:paraId="3680B6AB" w14:textId="77777777" w:rsidR="00874916" w:rsidRPr="002C524B" w:rsidRDefault="00874916" w:rsidP="00EA28C4">
            <w:pPr>
              <w:jc w:val="center"/>
              <w:rPr>
                <w:sz w:val="18"/>
                <w:szCs w:val="18"/>
              </w:rPr>
            </w:pPr>
            <w:r w:rsidRPr="002C524B">
              <w:rPr>
                <w:sz w:val="18"/>
                <w:szCs w:val="18"/>
              </w:rPr>
              <w:t>97.01</w:t>
            </w:r>
          </w:p>
        </w:tc>
        <w:tc>
          <w:tcPr>
            <w:tcW w:w="872" w:type="pct"/>
            <w:shd w:val="clear" w:color="000000" w:fill="FFFFFF"/>
            <w:vAlign w:val="center"/>
            <w:hideMark/>
          </w:tcPr>
          <w:p w14:paraId="02EC89F4" w14:textId="77777777" w:rsidR="00874916" w:rsidRPr="002C524B" w:rsidRDefault="00874916" w:rsidP="00EA28C4">
            <w:pPr>
              <w:jc w:val="center"/>
              <w:rPr>
                <w:sz w:val="18"/>
                <w:szCs w:val="18"/>
              </w:rPr>
            </w:pPr>
            <w:r w:rsidRPr="002C524B">
              <w:rPr>
                <w:sz w:val="18"/>
                <w:szCs w:val="18"/>
              </w:rPr>
              <w:t>4.91%</w:t>
            </w:r>
          </w:p>
        </w:tc>
      </w:tr>
      <w:tr w:rsidR="00874916" w:rsidRPr="002C524B" w14:paraId="0A5D2618" w14:textId="77777777" w:rsidTr="00EA28C4">
        <w:trPr>
          <w:trHeight w:val="270"/>
        </w:trPr>
        <w:tc>
          <w:tcPr>
            <w:tcW w:w="812" w:type="pct"/>
            <w:shd w:val="clear" w:color="000000" w:fill="FFFFFF"/>
            <w:vAlign w:val="center"/>
            <w:hideMark/>
          </w:tcPr>
          <w:p w14:paraId="6EE32178" w14:textId="77777777" w:rsidR="00874916" w:rsidRPr="002C524B" w:rsidRDefault="00874916" w:rsidP="00EA28C4">
            <w:pPr>
              <w:jc w:val="center"/>
              <w:rPr>
                <w:sz w:val="18"/>
                <w:szCs w:val="18"/>
              </w:rPr>
            </w:pPr>
            <w:r w:rsidRPr="002C524B">
              <w:rPr>
                <w:sz w:val="18"/>
                <w:szCs w:val="18"/>
              </w:rPr>
              <w:t>Egypt</w:t>
            </w:r>
          </w:p>
        </w:tc>
        <w:tc>
          <w:tcPr>
            <w:tcW w:w="815" w:type="pct"/>
            <w:shd w:val="clear" w:color="000000" w:fill="FFFFFF"/>
            <w:vAlign w:val="center"/>
            <w:hideMark/>
          </w:tcPr>
          <w:p w14:paraId="1A87E47E" w14:textId="77777777" w:rsidR="00874916" w:rsidRPr="002C524B" w:rsidRDefault="00874916" w:rsidP="00EA28C4">
            <w:pPr>
              <w:jc w:val="center"/>
              <w:rPr>
                <w:sz w:val="18"/>
                <w:szCs w:val="18"/>
              </w:rPr>
            </w:pPr>
            <w:r w:rsidRPr="002C524B">
              <w:rPr>
                <w:sz w:val="18"/>
                <w:szCs w:val="18"/>
              </w:rPr>
              <w:t>103.25</w:t>
            </w:r>
          </w:p>
        </w:tc>
        <w:tc>
          <w:tcPr>
            <w:tcW w:w="874" w:type="pct"/>
            <w:tcBorders>
              <w:top w:val="nil"/>
              <w:bottom w:val="nil"/>
              <w:right w:val="single" w:sz="4" w:space="0" w:color="auto"/>
            </w:tcBorders>
            <w:shd w:val="clear" w:color="000000" w:fill="FFFFFF"/>
            <w:vAlign w:val="center"/>
            <w:hideMark/>
          </w:tcPr>
          <w:p w14:paraId="6A557ED4" w14:textId="77777777" w:rsidR="00874916" w:rsidRPr="002C524B" w:rsidRDefault="00874916" w:rsidP="00EA28C4">
            <w:pPr>
              <w:jc w:val="center"/>
              <w:rPr>
                <w:sz w:val="18"/>
                <w:szCs w:val="18"/>
              </w:rPr>
            </w:pPr>
            <w:r w:rsidRPr="002C524B">
              <w:rPr>
                <w:sz w:val="18"/>
                <w:szCs w:val="18"/>
              </w:rPr>
              <w:t>4.78%</w:t>
            </w:r>
          </w:p>
        </w:tc>
        <w:tc>
          <w:tcPr>
            <w:tcW w:w="812" w:type="pct"/>
            <w:tcBorders>
              <w:left w:val="single" w:sz="4" w:space="0" w:color="auto"/>
            </w:tcBorders>
            <w:shd w:val="clear" w:color="000000" w:fill="FFFFFF"/>
            <w:vAlign w:val="center"/>
            <w:hideMark/>
          </w:tcPr>
          <w:p w14:paraId="6CEF68AC" w14:textId="77777777" w:rsidR="00874916" w:rsidRPr="002C524B" w:rsidRDefault="00874916" w:rsidP="00EA28C4">
            <w:pPr>
              <w:jc w:val="center"/>
              <w:rPr>
                <w:sz w:val="18"/>
                <w:szCs w:val="18"/>
              </w:rPr>
            </w:pPr>
            <w:r w:rsidRPr="002C524B">
              <w:rPr>
                <w:sz w:val="18"/>
                <w:szCs w:val="18"/>
              </w:rPr>
              <w:t>Egypt</w:t>
            </w:r>
          </w:p>
        </w:tc>
        <w:tc>
          <w:tcPr>
            <w:tcW w:w="815" w:type="pct"/>
            <w:shd w:val="clear" w:color="000000" w:fill="FFFFFF"/>
            <w:vAlign w:val="center"/>
            <w:hideMark/>
          </w:tcPr>
          <w:p w14:paraId="378F90A3" w14:textId="77777777" w:rsidR="00874916" w:rsidRPr="002C524B" w:rsidRDefault="00874916" w:rsidP="00EA28C4">
            <w:pPr>
              <w:jc w:val="center"/>
              <w:rPr>
                <w:sz w:val="18"/>
                <w:szCs w:val="18"/>
              </w:rPr>
            </w:pPr>
            <w:r w:rsidRPr="002C524B">
              <w:rPr>
                <w:sz w:val="18"/>
                <w:szCs w:val="18"/>
              </w:rPr>
              <w:t>87.95</w:t>
            </w:r>
          </w:p>
        </w:tc>
        <w:tc>
          <w:tcPr>
            <w:tcW w:w="872" w:type="pct"/>
            <w:shd w:val="clear" w:color="000000" w:fill="FFFFFF"/>
            <w:vAlign w:val="center"/>
            <w:hideMark/>
          </w:tcPr>
          <w:p w14:paraId="19AC8453" w14:textId="77777777" w:rsidR="00874916" w:rsidRPr="002C524B" w:rsidRDefault="00874916" w:rsidP="00EA28C4">
            <w:pPr>
              <w:jc w:val="center"/>
              <w:rPr>
                <w:sz w:val="18"/>
                <w:szCs w:val="18"/>
              </w:rPr>
            </w:pPr>
            <w:r w:rsidRPr="002C524B">
              <w:rPr>
                <w:sz w:val="18"/>
                <w:szCs w:val="18"/>
              </w:rPr>
              <w:t>4.45%</w:t>
            </w:r>
          </w:p>
        </w:tc>
      </w:tr>
      <w:tr w:rsidR="00874916" w:rsidRPr="002C524B" w14:paraId="1E2F2AC6" w14:textId="77777777" w:rsidTr="00EA28C4">
        <w:trPr>
          <w:trHeight w:val="363"/>
        </w:trPr>
        <w:tc>
          <w:tcPr>
            <w:tcW w:w="812" w:type="pct"/>
            <w:shd w:val="clear" w:color="000000" w:fill="FFFFFF"/>
            <w:vAlign w:val="center"/>
            <w:hideMark/>
          </w:tcPr>
          <w:p w14:paraId="328B1434" w14:textId="77777777" w:rsidR="00874916" w:rsidRPr="002C524B" w:rsidRDefault="00874916" w:rsidP="00EA28C4">
            <w:pPr>
              <w:jc w:val="center"/>
              <w:rPr>
                <w:sz w:val="18"/>
                <w:szCs w:val="18"/>
              </w:rPr>
            </w:pPr>
            <w:r w:rsidRPr="002C524B">
              <w:rPr>
                <w:sz w:val="18"/>
                <w:szCs w:val="18"/>
              </w:rPr>
              <w:t>Afghanistan</w:t>
            </w:r>
          </w:p>
        </w:tc>
        <w:tc>
          <w:tcPr>
            <w:tcW w:w="815" w:type="pct"/>
            <w:shd w:val="clear" w:color="000000" w:fill="FFFFFF"/>
            <w:vAlign w:val="center"/>
            <w:hideMark/>
          </w:tcPr>
          <w:p w14:paraId="1C92CC2F" w14:textId="77777777" w:rsidR="00874916" w:rsidRPr="002C524B" w:rsidRDefault="00874916" w:rsidP="00EA28C4">
            <w:pPr>
              <w:jc w:val="center"/>
              <w:rPr>
                <w:sz w:val="18"/>
                <w:szCs w:val="18"/>
              </w:rPr>
            </w:pPr>
            <w:r w:rsidRPr="002C524B">
              <w:rPr>
                <w:sz w:val="18"/>
                <w:szCs w:val="18"/>
              </w:rPr>
              <w:t>85.08</w:t>
            </w:r>
          </w:p>
        </w:tc>
        <w:tc>
          <w:tcPr>
            <w:tcW w:w="874" w:type="pct"/>
            <w:tcBorders>
              <w:top w:val="nil"/>
              <w:bottom w:val="nil"/>
              <w:right w:val="single" w:sz="4" w:space="0" w:color="auto"/>
            </w:tcBorders>
            <w:shd w:val="clear" w:color="000000" w:fill="FFFFFF"/>
            <w:vAlign w:val="center"/>
            <w:hideMark/>
          </w:tcPr>
          <w:p w14:paraId="46AFF0E1" w14:textId="77777777" w:rsidR="00874916" w:rsidRPr="002C524B" w:rsidRDefault="00874916" w:rsidP="00EA28C4">
            <w:pPr>
              <w:jc w:val="center"/>
              <w:rPr>
                <w:sz w:val="18"/>
                <w:szCs w:val="18"/>
              </w:rPr>
            </w:pPr>
            <w:r w:rsidRPr="002C524B">
              <w:rPr>
                <w:sz w:val="18"/>
                <w:szCs w:val="18"/>
              </w:rPr>
              <w:t>3.94%</w:t>
            </w:r>
          </w:p>
        </w:tc>
        <w:tc>
          <w:tcPr>
            <w:tcW w:w="812" w:type="pct"/>
            <w:tcBorders>
              <w:left w:val="single" w:sz="4" w:space="0" w:color="auto"/>
            </w:tcBorders>
            <w:shd w:val="clear" w:color="000000" w:fill="FFFFFF"/>
            <w:vAlign w:val="center"/>
            <w:hideMark/>
          </w:tcPr>
          <w:p w14:paraId="66B8BE5A" w14:textId="77777777" w:rsidR="00874916" w:rsidRPr="002C524B" w:rsidRDefault="00874916" w:rsidP="00EA28C4">
            <w:pPr>
              <w:jc w:val="center"/>
              <w:rPr>
                <w:sz w:val="18"/>
                <w:szCs w:val="18"/>
              </w:rPr>
            </w:pPr>
            <w:r w:rsidRPr="002C524B">
              <w:rPr>
                <w:sz w:val="18"/>
                <w:szCs w:val="18"/>
              </w:rPr>
              <w:t>Afghanistan</w:t>
            </w:r>
          </w:p>
        </w:tc>
        <w:tc>
          <w:tcPr>
            <w:tcW w:w="815" w:type="pct"/>
            <w:shd w:val="clear" w:color="000000" w:fill="FFFFFF"/>
            <w:vAlign w:val="center"/>
            <w:hideMark/>
          </w:tcPr>
          <w:p w14:paraId="586B81FF" w14:textId="77777777" w:rsidR="00874916" w:rsidRPr="002C524B" w:rsidRDefault="00874916" w:rsidP="00EA28C4">
            <w:pPr>
              <w:jc w:val="center"/>
              <w:rPr>
                <w:sz w:val="18"/>
                <w:szCs w:val="18"/>
              </w:rPr>
            </w:pPr>
            <w:r w:rsidRPr="002C524B">
              <w:rPr>
                <w:sz w:val="18"/>
                <w:szCs w:val="18"/>
              </w:rPr>
              <w:t>72.36</w:t>
            </w:r>
          </w:p>
        </w:tc>
        <w:tc>
          <w:tcPr>
            <w:tcW w:w="872" w:type="pct"/>
            <w:shd w:val="clear" w:color="000000" w:fill="FFFFFF"/>
            <w:vAlign w:val="center"/>
            <w:hideMark/>
          </w:tcPr>
          <w:p w14:paraId="2F6704C8" w14:textId="77777777" w:rsidR="00874916" w:rsidRPr="002C524B" w:rsidRDefault="00874916" w:rsidP="00EA28C4">
            <w:pPr>
              <w:jc w:val="center"/>
              <w:rPr>
                <w:sz w:val="18"/>
                <w:szCs w:val="18"/>
              </w:rPr>
            </w:pPr>
            <w:r w:rsidRPr="002C524B">
              <w:rPr>
                <w:sz w:val="18"/>
                <w:szCs w:val="18"/>
              </w:rPr>
              <w:t>3.66%</w:t>
            </w:r>
          </w:p>
        </w:tc>
      </w:tr>
      <w:tr w:rsidR="00874916" w:rsidRPr="002C524B" w14:paraId="046A3948" w14:textId="77777777" w:rsidTr="00EA28C4">
        <w:trPr>
          <w:trHeight w:val="630"/>
        </w:trPr>
        <w:tc>
          <w:tcPr>
            <w:tcW w:w="812" w:type="pct"/>
            <w:shd w:val="clear" w:color="000000" w:fill="FFFFFF"/>
            <w:vAlign w:val="center"/>
            <w:hideMark/>
          </w:tcPr>
          <w:p w14:paraId="1288B7AA" w14:textId="77777777" w:rsidR="00874916" w:rsidRPr="002C524B" w:rsidRDefault="00874916" w:rsidP="00EA28C4">
            <w:pPr>
              <w:jc w:val="center"/>
              <w:rPr>
                <w:sz w:val="18"/>
                <w:szCs w:val="18"/>
              </w:rPr>
            </w:pPr>
            <w:r w:rsidRPr="002C524B">
              <w:rPr>
                <w:sz w:val="18"/>
                <w:szCs w:val="18"/>
              </w:rPr>
              <w:t>Iran, Islamic Republic of</w:t>
            </w:r>
          </w:p>
        </w:tc>
        <w:tc>
          <w:tcPr>
            <w:tcW w:w="815" w:type="pct"/>
            <w:shd w:val="clear" w:color="000000" w:fill="FFFFFF"/>
            <w:vAlign w:val="center"/>
            <w:hideMark/>
          </w:tcPr>
          <w:p w14:paraId="21FA9E0C" w14:textId="77777777" w:rsidR="00874916" w:rsidRPr="002C524B" w:rsidRDefault="00874916" w:rsidP="00EA28C4">
            <w:pPr>
              <w:jc w:val="center"/>
              <w:rPr>
                <w:sz w:val="18"/>
                <w:szCs w:val="18"/>
              </w:rPr>
            </w:pPr>
            <w:r w:rsidRPr="002C524B">
              <w:rPr>
                <w:sz w:val="18"/>
                <w:szCs w:val="18"/>
              </w:rPr>
              <w:t>73.38</w:t>
            </w:r>
          </w:p>
        </w:tc>
        <w:tc>
          <w:tcPr>
            <w:tcW w:w="874" w:type="pct"/>
            <w:tcBorders>
              <w:top w:val="nil"/>
              <w:bottom w:val="nil"/>
              <w:right w:val="single" w:sz="4" w:space="0" w:color="auto"/>
            </w:tcBorders>
            <w:shd w:val="clear" w:color="000000" w:fill="FFFFFF"/>
            <w:vAlign w:val="center"/>
            <w:hideMark/>
          </w:tcPr>
          <w:p w14:paraId="268DE90F" w14:textId="77777777" w:rsidR="00874916" w:rsidRPr="002C524B" w:rsidRDefault="00874916" w:rsidP="00EA28C4">
            <w:pPr>
              <w:jc w:val="center"/>
              <w:rPr>
                <w:sz w:val="18"/>
                <w:szCs w:val="18"/>
              </w:rPr>
            </w:pPr>
            <w:r w:rsidRPr="002C524B">
              <w:rPr>
                <w:sz w:val="18"/>
                <w:szCs w:val="18"/>
              </w:rPr>
              <w:t>3.40%</w:t>
            </w:r>
          </w:p>
        </w:tc>
        <w:tc>
          <w:tcPr>
            <w:tcW w:w="812" w:type="pct"/>
            <w:tcBorders>
              <w:left w:val="single" w:sz="4" w:space="0" w:color="auto"/>
            </w:tcBorders>
            <w:shd w:val="clear" w:color="000000" w:fill="FFFFFF"/>
            <w:vAlign w:val="center"/>
            <w:hideMark/>
          </w:tcPr>
          <w:p w14:paraId="2D32AEDB" w14:textId="77777777" w:rsidR="00874916" w:rsidRPr="002C524B" w:rsidRDefault="00874916" w:rsidP="00EA28C4">
            <w:pPr>
              <w:jc w:val="center"/>
              <w:rPr>
                <w:sz w:val="18"/>
                <w:szCs w:val="18"/>
              </w:rPr>
            </w:pPr>
            <w:r w:rsidRPr="002C524B">
              <w:rPr>
                <w:sz w:val="18"/>
                <w:szCs w:val="18"/>
              </w:rPr>
              <w:t>Iran, Islamic Republic of</w:t>
            </w:r>
          </w:p>
        </w:tc>
        <w:tc>
          <w:tcPr>
            <w:tcW w:w="815" w:type="pct"/>
            <w:shd w:val="clear" w:color="000000" w:fill="FFFFFF"/>
            <w:vAlign w:val="center"/>
            <w:hideMark/>
          </w:tcPr>
          <w:p w14:paraId="0C6AC933" w14:textId="77777777" w:rsidR="00874916" w:rsidRPr="002C524B" w:rsidRDefault="00874916" w:rsidP="00EA28C4">
            <w:pPr>
              <w:jc w:val="center"/>
              <w:rPr>
                <w:sz w:val="18"/>
                <w:szCs w:val="18"/>
              </w:rPr>
            </w:pPr>
            <w:r w:rsidRPr="002C524B">
              <w:rPr>
                <w:sz w:val="18"/>
                <w:szCs w:val="18"/>
              </w:rPr>
              <w:t>70.25</w:t>
            </w:r>
          </w:p>
        </w:tc>
        <w:tc>
          <w:tcPr>
            <w:tcW w:w="872" w:type="pct"/>
            <w:shd w:val="clear" w:color="000000" w:fill="FFFFFF"/>
            <w:vAlign w:val="center"/>
            <w:hideMark/>
          </w:tcPr>
          <w:p w14:paraId="77B5617F" w14:textId="77777777" w:rsidR="00874916" w:rsidRPr="002C524B" w:rsidRDefault="00874916" w:rsidP="00EA28C4">
            <w:pPr>
              <w:jc w:val="center"/>
              <w:rPr>
                <w:sz w:val="18"/>
                <w:szCs w:val="18"/>
              </w:rPr>
            </w:pPr>
            <w:r w:rsidRPr="002C524B">
              <w:rPr>
                <w:sz w:val="18"/>
                <w:szCs w:val="18"/>
              </w:rPr>
              <w:t>3.56%</w:t>
            </w:r>
          </w:p>
        </w:tc>
      </w:tr>
      <w:tr w:rsidR="00874916" w:rsidRPr="002C524B" w14:paraId="47A9F8C0" w14:textId="77777777" w:rsidTr="00EA28C4">
        <w:trPr>
          <w:trHeight w:val="270"/>
        </w:trPr>
        <w:tc>
          <w:tcPr>
            <w:tcW w:w="812" w:type="pct"/>
            <w:tcBorders>
              <w:bottom w:val="single" w:sz="4" w:space="0" w:color="auto"/>
            </w:tcBorders>
            <w:shd w:val="clear" w:color="000000" w:fill="FFFFFF"/>
            <w:vAlign w:val="center"/>
            <w:hideMark/>
          </w:tcPr>
          <w:p w14:paraId="7A24213F" w14:textId="77777777" w:rsidR="00874916" w:rsidRPr="002C524B" w:rsidRDefault="00874916" w:rsidP="00EA28C4">
            <w:pPr>
              <w:jc w:val="center"/>
              <w:rPr>
                <w:sz w:val="18"/>
                <w:szCs w:val="18"/>
              </w:rPr>
            </w:pPr>
            <w:r w:rsidRPr="002C524B">
              <w:rPr>
                <w:sz w:val="18"/>
                <w:szCs w:val="18"/>
              </w:rPr>
              <w:t>Morocco</w:t>
            </w:r>
          </w:p>
        </w:tc>
        <w:tc>
          <w:tcPr>
            <w:tcW w:w="815" w:type="pct"/>
            <w:tcBorders>
              <w:bottom w:val="single" w:sz="4" w:space="0" w:color="auto"/>
            </w:tcBorders>
            <w:shd w:val="clear" w:color="000000" w:fill="FFFFFF"/>
            <w:vAlign w:val="center"/>
            <w:hideMark/>
          </w:tcPr>
          <w:p w14:paraId="571C6087" w14:textId="77777777" w:rsidR="00874916" w:rsidRPr="002C524B" w:rsidRDefault="00874916" w:rsidP="00EA28C4">
            <w:pPr>
              <w:jc w:val="center"/>
              <w:rPr>
                <w:sz w:val="18"/>
                <w:szCs w:val="18"/>
              </w:rPr>
            </w:pPr>
            <w:r w:rsidRPr="002C524B">
              <w:rPr>
                <w:sz w:val="18"/>
                <w:szCs w:val="18"/>
              </w:rPr>
              <w:t>59.00</w:t>
            </w:r>
          </w:p>
        </w:tc>
        <w:tc>
          <w:tcPr>
            <w:tcW w:w="874" w:type="pct"/>
            <w:tcBorders>
              <w:top w:val="nil"/>
              <w:bottom w:val="single" w:sz="4" w:space="0" w:color="auto"/>
              <w:right w:val="single" w:sz="4" w:space="0" w:color="auto"/>
            </w:tcBorders>
            <w:shd w:val="clear" w:color="000000" w:fill="FFFFFF"/>
            <w:vAlign w:val="center"/>
            <w:hideMark/>
          </w:tcPr>
          <w:p w14:paraId="76AFF195" w14:textId="77777777" w:rsidR="00874916" w:rsidRPr="002C524B" w:rsidRDefault="00874916" w:rsidP="00EA28C4">
            <w:pPr>
              <w:jc w:val="center"/>
              <w:rPr>
                <w:sz w:val="18"/>
                <w:szCs w:val="18"/>
              </w:rPr>
            </w:pPr>
            <w:r w:rsidRPr="002C524B">
              <w:rPr>
                <w:sz w:val="18"/>
                <w:szCs w:val="18"/>
              </w:rPr>
              <w:t>2.73%</w:t>
            </w:r>
          </w:p>
        </w:tc>
        <w:tc>
          <w:tcPr>
            <w:tcW w:w="812" w:type="pct"/>
            <w:tcBorders>
              <w:left w:val="single" w:sz="4" w:space="0" w:color="auto"/>
              <w:bottom w:val="single" w:sz="4" w:space="0" w:color="auto"/>
            </w:tcBorders>
            <w:shd w:val="clear" w:color="000000" w:fill="FFFFFF"/>
            <w:vAlign w:val="center"/>
            <w:hideMark/>
          </w:tcPr>
          <w:p w14:paraId="56D3D976" w14:textId="77777777" w:rsidR="00874916" w:rsidRPr="002C524B" w:rsidRDefault="00874916" w:rsidP="00EA28C4">
            <w:pPr>
              <w:jc w:val="center"/>
              <w:rPr>
                <w:sz w:val="18"/>
                <w:szCs w:val="18"/>
              </w:rPr>
            </w:pPr>
            <w:r w:rsidRPr="002C524B">
              <w:rPr>
                <w:sz w:val="18"/>
                <w:szCs w:val="18"/>
              </w:rPr>
              <w:t>Morocco</w:t>
            </w:r>
          </w:p>
        </w:tc>
        <w:tc>
          <w:tcPr>
            <w:tcW w:w="815" w:type="pct"/>
            <w:tcBorders>
              <w:bottom w:val="single" w:sz="4" w:space="0" w:color="auto"/>
            </w:tcBorders>
            <w:shd w:val="clear" w:color="000000" w:fill="FFFFFF"/>
            <w:vAlign w:val="center"/>
            <w:hideMark/>
          </w:tcPr>
          <w:p w14:paraId="184A7948" w14:textId="77777777" w:rsidR="00874916" w:rsidRPr="002C524B" w:rsidRDefault="00874916" w:rsidP="00EA28C4">
            <w:pPr>
              <w:jc w:val="center"/>
              <w:rPr>
                <w:sz w:val="18"/>
                <w:szCs w:val="18"/>
              </w:rPr>
            </w:pPr>
            <w:r w:rsidRPr="002C524B">
              <w:rPr>
                <w:sz w:val="18"/>
                <w:szCs w:val="18"/>
              </w:rPr>
              <w:t>64.44</w:t>
            </w:r>
          </w:p>
        </w:tc>
        <w:tc>
          <w:tcPr>
            <w:tcW w:w="872" w:type="pct"/>
            <w:tcBorders>
              <w:bottom w:val="single" w:sz="4" w:space="0" w:color="auto"/>
            </w:tcBorders>
            <w:shd w:val="clear" w:color="000000" w:fill="FFFFFF"/>
            <w:vAlign w:val="center"/>
            <w:hideMark/>
          </w:tcPr>
          <w:p w14:paraId="7C1B8AD5" w14:textId="77777777" w:rsidR="00874916" w:rsidRPr="002C524B" w:rsidRDefault="00874916" w:rsidP="00EA28C4">
            <w:pPr>
              <w:jc w:val="center"/>
              <w:rPr>
                <w:sz w:val="18"/>
                <w:szCs w:val="18"/>
              </w:rPr>
            </w:pPr>
            <w:r w:rsidRPr="002C524B">
              <w:rPr>
                <w:sz w:val="18"/>
                <w:szCs w:val="18"/>
              </w:rPr>
              <w:t>3.26%</w:t>
            </w:r>
          </w:p>
        </w:tc>
      </w:tr>
      <w:tr w:rsidR="00874916" w:rsidRPr="002C524B" w14:paraId="57EF8D5D" w14:textId="77777777" w:rsidTr="00EA28C4">
        <w:trPr>
          <w:trHeight w:val="270"/>
        </w:trPr>
        <w:tc>
          <w:tcPr>
            <w:tcW w:w="812" w:type="pct"/>
            <w:tcBorders>
              <w:top w:val="single" w:sz="4" w:space="0" w:color="auto"/>
              <w:bottom w:val="single" w:sz="4" w:space="0" w:color="auto"/>
            </w:tcBorders>
            <w:shd w:val="clear" w:color="000000" w:fill="FFFFFF"/>
            <w:vAlign w:val="center"/>
            <w:hideMark/>
          </w:tcPr>
          <w:p w14:paraId="5EB8C2D4" w14:textId="77777777" w:rsidR="00874916" w:rsidRPr="002C524B" w:rsidRDefault="00874916" w:rsidP="00EA28C4">
            <w:pPr>
              <w:jc w:val="center"/>
              <w:rPr>
                <w:sz w:val="18"/>
                <w:szCs w:val="18"/>
              </w:rPr>
            </w:pPr>
            <w:r w:rsidRPr="002C524B">
              <w:rPr>
                <w:sz w:val="18"/>
                <w:szCs w:val="18"/>
              </w:rPr>
              <w:t>World</w:t>
            </w:r>
          </w:p>
        </w:tc>
        <w:tc>
          <w:tcPr>
            <w:tcW w:w="815" w:type="pct"/>
            <w:tcBorders>
              <w:top w:val="single" w:sz="4" w:space="0" w:color="auto"/>
              <w:bottom w:val="single" w:sz="4" w:space="0" w:color="auto"/>
            </w:tcBorders>
            <w:shd w:val="clear" w:color="000000" w:fill="FFFFFF"/>
            <w:vAlign w:val="center"/>
            <w:hideMark/>
          </w:tcPr>
          <w:p w14:paraId="71171A20" w14:textId="77777777" w:rsidR="00874916" w:rsidRPr="002C524B" w:rsidRDefault="00874916" w:rsidP="00EA28C4">
            <w:pPr>
              <w:jc w:val="center"/>
              <w:rPr>
                <w:sz w:val="18"/>
                <w:szCs w:val="18"/>
              </w:rPr>
            </w:pPr>
            <w:r w:rsidRPr="002C524B">
              <w:rPr>
                <w:sz w:val="18"/>
                <w:szCs w:val="18"/>
              </w:rPr>
              <w:t>2160.52</w:t>
            </w:r>
          </w:p>
        </w:tc>
        <w:tc>
          <w:tcPr>
            <w:tcW w:w="874" w:type="pct"/>
            <w:tcBorders>
              <w:top w:val="single" w:sz="4" w:space="0" w:color="auto"/>
              <w:bottom w:val="single" w:sz="4" w:space="0" w:color="auto"/>
              <w:right w:val="single" w:sz="4" w:space="0" w:color="auto"/>
            </w:tcBorders>
            <w:shd w:val="clear" w:color="000000" w:fill="FFFFFF"/>
            <w:vAlign w:val="center"/>
            <w:hideMark/>
          </w:tcPr>
          <w:p w14:paraId="1E523909" w14:textId="77777777" w:rsidR="00874916" w:rsidRPr="002C524B" w:rsidRDefault="00874916" w:rsidP="00EA28C4">
            <w:pPr>
              <w:jc w:val="center"/>
              <w:rPr>
                <w:sz w:val="18"/>
                <w:szCs w:val="18"/>
              </w:rPr>
            </w:pPr>
            <w:r w:rsidRPr="002C524B">
              <w:rPr>
                <w:sz w:val="18"/>
                <w:szCs w:val="18"/>
              </w:rPr>
              <w:t>—</w:t>
            </w:r>
          </w:p>
        </w:tc>
        <w:tc>
          <w:tcPr>
            <w:tcW w:w="812" w:type="pct"/>
            <w:tcBorders>
              <w:top w:val="single" w:sz="4" w:space="0" w:color="auto"/>
              <w:left w:val="single" w:sz="4" w:space="0" w:color="auto"/>
              <w:bottom w:val="single" w:sz="4" w:space="0" w:color="auto"/>
            </w:tcBorders>
            <w:shd w:val="clear" w:color="000000" w:fill="FFFFFF"/>
            <w:vAlign w:val="center"/>
            <w:hideMark/>
          </w:tcPr>
          <w:p w14:paraId="5362C80A" w14:textId="77777777" w:rsidR="00874916" w:rsidRPr="002C524B" w:rsidRDefault="00874916" w:rsidP="00EA28C4">
            <w:pPr>
              <w:jc w:val="center"/>
              <w:rPr>
                <w:sz w:val="18"/>
                <w:szCs w:val="18"/>
              </w:rPr>
            </w:pPr>
            <w:r w:rsidRPr="002C524B">
              <w:rPr>
                <w:sz w:val="18"/>
                <w:szCs w:val="18"/>
              </w:rPr>
              <w:t>World</w:t>
            </w:r>
          </w:p>
        </w:tc>
        <w:tc>
          <w:tcPr>
            <w:tcW w:w="815" w:type="pct"/>
            <w:tcBorders>
              <w:top w:val="single" w:sz="4" w:space="0" w:color="auto"/>
              <w:bottom w:val="single" w:sz="4" w:space="0" w:color="auto"/>
            </w:tcBorders>
            <w:shd w:val="clear" w:color="000000" w:fill="FFFFFF"/>
            <w:vAlign w:val="center"/>
            <w:hideMark/>
          </w:tcPr>
          <w:p w14:paraId="0FA10333" w14:textId="77777777" w:rsidR="00874916" w:rsidRPr="002C524B" w:rsidRDefault="00874916" w:rsidP="00EA28C4">
            <w:pPr>
              <w:jc w:val="center"/>
              <w:rPr>
                <w:sz w:val="18"/>
                <w:szCs w:val="18"/>
              </w:rPr>
            </w:pPr>
            <w:r w:rsidRPr="002C524B">
              <w:rPr>
                <w:sz w:val="18"/>
                <w:szCs w:val="18"/>
              </w:rPr>
              <w:t>1974.92</w:t>
            </w:r>
          </w:p>
        </w:tc>
        <w:tc>
          <w:tcPr>
            <w:tcW w:w="872" w:type="pct"/>
            <w:tcBorders>
              <w:top w:val="single" w:sz="4" w:space="0" w:color="auto"/>
              <w:bottom w:val="single" w:sz="4" w:space="0" w:color="auto"/>
            </w:tcBorders>
            <w:shd w:val="clear" w:color="000000" w:fill="FFFFFF"/>
            <w:vAlign w:val="center"/>
            <w:hideMark/>
          </w:tcPr>
          <w:p w14:paraId="2F046DA8" w14:textId="77777777" w:rsidR="00874916" w:rsidRPr="002C524B" w:rsidRDefault="00874916" w:rsidP="00EA28C4">
            <w:pPr>
              <w:jc w:val="center"/>
              <w:rPr>
                <w:sz w:val="18"/>
                <w:szCs w:val="18"/>
              </w:rPr>
            </w:pPr>
            <w:r w:rsidRPr="002C524B">
              <w:rPr>
                <w:sz w:val="18"/>
                <w:szCs w:val="18"/>
              </w:rPr>
              <w:t>—</w:t>
            </w:r>
          </w:p>
        </w:tc>
      </w:tr>
      <w:tr w:rsidR="00874916" w:rsidRPr="002C524B" w14:paraId="3D4E43B1" w14:textId="77777777" w:rsidTr="00EA28C4">
        <w:trPr>
          <w:trHeight w:val="270"/>
        </w:trPr>
        <w:tc>
          <w:tcPr>
            <w:tcW w:w="812" w:type="pct"/>
            <w:tcBorders>
              <w:top w:val="single" w:sz="4" w:space="0" w:color="auto"/>
            </w:tcBorders>
            <w:shd w:val="clear" w:color="auto" w:fill="auto"/>
            <w:noWrap/>
            <w:vAlign w:val="center"/>
            <w:hideMark/>
          </w:tcPr>
          <w:p w14:paraId="1C0EFFA1" w14:textId="77777777" w:rsidR="00874916" w:rsidRPr="002C524B" w:rsidRDefault="00874916" w:rsidP="00EA28C4">
            <w:pPr>
              <w:jc w:val="center"/>
              <w:rPr>
                <w:sz w:val="18"/>
                <w:szCs w:val="18"/>
              </w:rPr>
            </w:pPr>
            <w:r w:rsidRPr="002C524B">
              <w:rPr>
                <w:sz w:val="18"/>
                <w:szCs w:val="18"/>
              </w:rPr>
              <w:t>Total</w:t>
            </w:r>
          </w:p>
        </w:tc>
        <w:tc>
          <w:tcPr>
            <w:tcW w:w="815" w:type="pct"/>
            <w:tcBorders>
              <w:top w:val="single" w:sz="4" w:space="0" w:color="auto"/>
            </w:tcBorders>
            <w:shd w:val="clear" w:color="auto" w:fill="auto"/>
            <w:noWrap/>
            <w:vAlign w:val="center"/>
            <w:hideMark/>
          </w:tcPr>
          <w:p w14:paraId="06718AF9" w14:textId="77777777" w:rsidR="00874916" w:rsidRPr="002C524B" w:rsidRDefault="00874916" w:rsidP="00EA28C4">
            <w:pPr>
              <w:jc w:val="center"/>
              <w:rPr>
                <w:sz w:val="18"/>
                <w:szCs w:val="18"/>
              </w:rPr>
            </w:pPr>
            <w:r w:rsidRPr="002C524B">
              <w:rPr>
                <w:sz w:val="18"/>
                <w:szCs w:val="18"/>
              </w:rPr>
              <w:t>—</w:t>
            </w:r>
          </w:p>
        </w:tc>
        <w:tc>
          <w:tcPr>
            <w:tcW w:w="874" w:type="pct"/>
            <w:tcBorders>
              <w:top w:val="single" w:sz="4" w:space="0" w:color="auto"/>
              <w:bottom w:val="single" w:sz="12" w:space="0" w:color="auto"/>
              <w:right w:val="single" w:sz="4" w:space="0" w:color="auto"/>
            </w:tcBorders>
            <w:shd w:val="clear" w:color="auto" w:fill="auto"/>
            <w:noWrap/>
            <w:vAlign w:val="center"/>
            <w:hideMark/>
          </w:tcPr>
          <w:p w14:paraId="4CED30DF" w14:textId="77777777" w:rsidR="00874916" w:rsidRPr="002C524B" w:rsidRDefault="00874916" w:rsidP="00EA28C4">
            <w:pPr>
              <w:jc w:val="center"/>
              <w:rPr>
                <w:sz w:val="18"/>
                <w:szCs w:val="18"/>
              </w:rPr>
            </w:pPr>
            <w:r w:rsidRPr="002C524B">
              <w:rPr>
                <w:sz w:val="18"/>
                <w:szCs w:val="18"/>
              </w:rPr>
              <w:t>58.88%</w:t>
            </w:r>
          </w:p>
        </w:tc>
        <w:tc>
          <w:tcPr>
            <w:tcW w:w="812" w:type="pct"/>
            <w:tcBorders>
              <w:top w:val="single" w:sz="4" w:space="0" w:color="auto"/>
              <w:left w:val="single" w:sz="4" w:space="0" w:color="auto"/>
            </w:tcBorders>
            <w:shd w:val="clear" w:color="auto" w:fill="auto"/>
            <w:noWrap/>
            <w:vAlign w:val="center"/>
            <w:hideMark/>
          </w:tcPr>
          <w:p w14:paraId="4278C09D" w14:textId="77777777" w:rsidR="00874916" w:rsidRPr="002C524B" w:rsidRDefault="00874916" w:rsidP="00EA28C4">
            <w:pPr>
              <w:jc w:val="center"/>
              <w:rPr>
                <w:sz w:val="18"/>
                <w:szCs w:val="18"/>
              </w:rPr>
            </w:pPr>
            <w:r w:rsidRPr="002C524B">
              <w:rPr>
                <w:sz w:val="18"/>
                <w:szCs w:val="18"/>
              </w:rPr>
              <w:t>Total</w:t>
            </w:r>
          </w:p>
        </w:tc>
        <w:tc>
          <w:tcPr>
            <w:tcW w:w="815" w:type="pct"/>
            <w:tcBorders>
              <w:top w:val="single" w:sz="4" w:space="0" w:color="auto"/>
            </w:tcBorders>
            <w:shd w:val="clear" w:color="auto" w:fill="auto"/>
            <w:noWrap/>
            <w:vAlign w:val="center"/>
            <w:hideMark/>
          </w:tcPr>
          <w:p w14:paraId="2D822C90" w14:textId="77777777" w:rsidR="00874916" w:rsidRPr="002C524B" w:rsidRDefault="00874916" w:rsidP="00EA28C4">
            <w:pPr>
              <w:jc w:val="center"/>
              <w:rPr>
                <w:sz w:val="18"/>
                <w:szCs w:val="18"/>
              </w:rPr>
            </w:pPr>
            <w:r w:rsidRPr="002C524B">
              <w:rPr>
                <w:sz w:val="18"/>
                <w:szCs w:val="18"/>
              </w:rPr>
              <w:t>—</w:t>
            </w:r>
          </w:p>
        </w:tc>
        <w:tc>
          <w:tcPr>
            <w:tcW w:w="872" w:type="pct"/>
            <w:tcBorders>
              <w:top w:val="single" w:sz="4" w:space="0" w:color="auto"/>
            </w:tcBorders>
            <w:shd w:val="clear" w:color="auto" w:fill="auto"/>
            <w:noWrap/>
            <w:vAlign w:val="center"/>
            <w:hideMark/>
          </w:tcPr>
          <w:p w14:paraId="75F46EDE" w14:textId="77777777" w:rsidR="00874916" w:rsidRPr="002C524B" w:rsidRDefault="00874916" w:rsidP="00EA28C4">
            <w:pPr>
              <w:jc w:val="center"/>
              <w:rPr>
                <w:sz w:val="18"/>
                <w:szCs w:val="18"/>
              </w:rPr>
            </w:pPr>
            <w:r w:rsidRPr="002C524B">
              <w:rPr>
                <w:sz w:val="18"/>
                <w:szCs w:val="18"/>
              </w:rPr>
              <w:t>55.64%</w:t>
            </w:r>
          </w:p>
        </w:tc>
      </w:tr>
    </w:tbl>
    <w:p w14:paraId="7E87BFAE" w14:textId="77777777" w:rsidR="00874916" w:rsidRPr="003B4565" w:rsidRDefault="00874916" w:rsidP="00874916">
      <w:pPr>
        <w:autoSpaceDE w:val="0"/>
        <w:autoSpaceDN w:val="0"/>
        <w:adjustRightInd w:val="0"/>
        <w:spacing w:afterLines="100" w:after="240"/>
        <w:rPr>
          <w:sz w:val="18"/>
          <w:szCs w:val="18"/>
        </w:rPr>
      </w:pPr>
      <w:r w:rsidRPr="003B4565">
        <w:rPr>
          <w:b/>
          <w:sz w:val="18"/>
          <w:szCs w:val="18"/>
        </w:rPr>
        <w:t>Source:</w:t>
      </w:r>
      <w:r w:rsidRPr="003B4565">
        <w:rPr>
          <w:sz w:val="18"/>
          <w:szCs w:val="18"/>
        </w:rPr>
        <w:t xml:space="preserve"> International trade committee</w:t>
      </w:r>
    </w:p>
    <w:p w14:paraId="38D16302" w14:textId="77777777" w:rsidR="00874916" w:rsidRPr="002C524B" w:rsidRDefault="00874916" w:rsidP="00874916">
      <w:pPr>
        <w:pStyle w:val="2"/>
        <w:numPr>
          <w:ilvl w:val="0"/>
          <w:numId w:val="0"/>
        </w:numPr>
        <w:spacing w:before="100" w:beforeAutospacing="1" w:afterLines="0" w:after="0" w:line="240" w:lineRule="auto"/>
        <w:ind w:left="420" w:hanging="420"/>
        <w:rPr>
          <w:rFonts w:cs="Times New Roman"/>
        </w:rPr>
      </w:pPr>
      <w:r>
        <w:rPr>
          <w:rFonts w:cs="Times New Roman" w:hint="eastAsia"/>
        </w:rPr>
        <w:lastRenderedPageBreak/>
        <w:t xml:space="preserve">2. </w:t>
      </w:r>
      <w:r w:rsidRPr="002C524B">
        <w:rPr>
          <w:rFonts w:cs="Times New Roman"/>
        </w:rPr>
        <w:t>World tea export market structure</w:t>
      </w:r>
    </w:p>
    <w:p w14:paraId="1CEA628E" w14:textId="6CAB181C" w:rsidR="001F0BEC" w:rsidRPr="002C524B" w:rsidRDefault="001F0BEC" w:rsidP="001F0BEC">
      <w:pPr>
        <w:pStyle w:val="2"/>
        <w:numPr>
          <w:ilvl w:val="0"/>
          <w:numId w:val="0"/>
        </w:numPr>
        <w:spacing w:before="100" w:beforeAutospacing="1" w:afterLines="0" w:after="0" w:line="240" w:lineRule="auto"/>
        <w:ind w:left="420" w:hanging="420"/>
        <w:rPr>
          <w:rFonts w:cs="Times New Roman"/>
        </w:rPr>
      </w:pPr>
      <w:r>
        <w:rPr>
          <w:rFonts w:cs="Times New Roman"/>
        </w:rPr>
        <w:t xml:space="preserve">2.1 </w:t>
      </w:r>
      <w:r w:rsidR="00874916" w:rsidRPr="002C524B">
        <w:rPr>
          <w:rFonts w:cs="Times New Roman"/>
        </w:rPr>
        <w:t>Kenya tea export</w:t>
      </w:r>
    </w:p>
    <w:p w14:paraId="708FA66A" w14:textId="37BF7EFD" w:rsidR="00874916" w:rsidRPr="00C14FBF" w:rsidRDefault="001F0BEC" w:rsidP="003B4565">
      <w:pPr>
        <w:spacing w:after="100" w:afterAutospacing="1"/>
      </w:pPr>
      <w:r>
        <w:br/>
      </w:r>
      <w:r w:rsidR="00874916" w:rsidRPr="00C14FBF">
        <w:t>Kenya mainly export</w:t>
      </w:r>
      <w:r w:rsidR="00874916" w:rsidRPr="00C14FBF">
        <w:rPr>
          <w:rFonts w:hint="eastAsia"/>
        </w:rPr>
        <w:t>s tea</w:t>
      </w:r>
      <w:r w:rsidR="00874916" w:rsidRPr="00C14FBF">
        <w:t xml:space="preserve"> to Egypt, Pakistan, </w:t>
      </w:r>
      <w:r w:rsidR="00874916" w:rsidRPr="00C14FBF">
        <w:rPr>
          <w:rFonts w:hint="eastAsia"/>
        </w:rPr>
        <w:t>UK</w:t>
      </w:r>
      <w:r w:rsidR="00874916" w:rsidRPr="00C14FBF">
        <w:t xml:space="preserve">, Afghanistan and Sudan, the five countries accounted for about </w:t>
      </w:r>
      <w:r w:rsidR="00874916" w:rsidRPr="00C14FBF">
        <w:rPr>
          <w:rFonts w:hint="eastAsia"/>
        </w:rPr>
        <w:t>7</w:t>
      </w:r>
      <w:r w:rsidR="00874916" w:rsidRPr="00C14FBF">
        <w:t>0</w:t>
      </w:r>
      <w:r>
        <w:t xml:space="preserve"> percent </w:t>
      </w:r>
      <w:r w:rsidR="00874916" w:rsidRPr="00C14FBF">
        <w:t>of Kenya's total tea exports.</w:t>
      </w:r>
    </w:p>
    <w:tbl>
      <w:tblPr>
        <w:tblW w:w="5000" w:type="pct"/>
        <w:tblBorders>
          <w:top w:val="single" w:sz="12" w:space="0" w:color="auto"/>
          <w:bottom w:val="single" w:sz="12" w:space="0" w:color="auto"/>
        </w:tblBorders>
        <w:tblLayout w:type="fixed"/>
        <w:tblLook w:val="04A0" w:firstRow="1" w:lastRow="0" w:firstColumn="1" w:lastColumn="0" w:noHBand="0" w:noVBand="1"/>
      </w:tblPr>
      <w:tblGrid>
        <w:gridCol w:w="1074"/>
        <w:gridCol w:w="968"/>
        <w:gridCol w:w="836"/>
        <w:gridCol w:w="1102"/>
        <w:gridCol w:w="973"/>
        <w:gridCol w:w="814"/>
        <w:gridCol w:w="1260"/>
        <w:gridCol w:w="828"/>
        <w:gridCol w:w="785"/>
      </w:tblGrid>
      <w:tr w:rsidR="00874916" w:rsidRPr="002C524B" w14:paraId="603E0722" w14:textId="77777777" w:rsidTr="00EA28C4">
        <w:trPr>
          <w:trHeight w:val="270"/>
        </w:trPr>
        <w:tc>
          <w:tcPr>
            <w:tcW w:w="622" w:type="pct"/>
            <w:tcBorders>
              <w:bottom w:val="single" w:sz="4" w:space="0" w:color="auto"/>
            </w:tcBorders>
            <w:shd w:val="clear" w:color="auto" w:fill="auto"/>
            <w:noWrap/>
            <w:vAlign w:val="center"/>
            <w:hideMark/>
          </w:tcPr>
          <w:p w14:paraId="51F03727" w14:textId="77777777" w:rsidR="00874916" w:rsidRPr="002C524B" w:rsidRDefault="00874916" w:rsidP="00EA28C4">
            <w:pPr>
              <w:jc w:val="center"/>
              <w:rPr>
                <w:rFonts w:eastAsia="Arial Unicode MS"/>
                <w:sz w:val="18"/>
                <w:szCs w:val="18"/>
              </w:rPr>
            </w:pPr>
          </w:p>
        </w:tc>
        <w:tc>
          <w:tcPr>
            <w:tcW w:w="560" w:type="pct"/>
            <w:tcBorders>
              <w:bottom w:val="single" w:sz="4" w:space="0" w:color="auto"/>
            </w:tcBorders>
            <w:shd w:val="clear" w:color="auto" w:fill="auto"/>
            <w:noWrap/>
            <w:vAlign w:val="center"/>
            <w:hideMark/>
          </w:tcPr>
          <w:p w14:paraId="0780BCBF" w14:textId="77777777" w:rsidR="00874916" w:rsidRPr="002C524B" w:rsidRDefault="00874916" w:rsidP="00EA28C4">
            <w:pPr>
              <w:jc w:val="center"/>
              <w:rPr>
                <w:rFonts w:eastAsia="Arial Unicode MS"/>
                <w:sz w:val="18"/>
                <w:szCs w:val="18"/>
              </w:rPr>
            </w:pPr>
            <w:r w:rsidRPr="002C524B">
              <w:rPr>
                <w:rFonts w:eastAsia="Arial Unicode MS"/>
                <w:sz w:val="18"/>
                <w:szCs w:val="18"/>
              </w:rPr>
              <w:t>2010</w:t>
            </w:r>
          </w:p>
        </w:tc>
        <w:tc>
          <w:tcPr>
            <w:tcW w:w="484" w:type="pct"/>
            <w:tcBorders>
              <w:bottom w:val="single" w:sz="4" w:space="0" w:color="auto"/>
            </w:tcBorders>
            <w:shd w:val="clear" w:color="auto" w:fill="auto"/>
            <w:noWrap/>
            <w:vAlign w:val="center"/>
            <w:hideMark/>
          </w:tcPr>
          <w:p w14:paraId="70D59C3D" w14:textId="77777777" w:rsidR="00874916" w:rsidRPr="002C524B" w:rsidRDefault="00874916" w:rsidP="00EA28C4">
            <w:pPr>
              <w:jc w:val="center"/>
              <w:rPr>
                <w:rFonts w:eastAsia="Arial Unicode MS"/>
                <w:sz w:val="18"/>
                <w:szCs w:val="18"/>
              </w:rPr>
            </w:pPr>
          </w:p>
        </w:tc>
        <w:tc>
          <w:tcPr>
            <w:tcW w:w="638" w:type="pct"/>
            <w:tcBorders>
              <w:bottom w:val="single" w:sz="4" w:space="0" w:color="auto"/>
            </w:tcBorders>
            <w:shd w:val="clear" w:color="auto" w:fill="auto"/>
            <w:noWrap/>
            <w:vAlign w:val="center"/>
            <w:hideMark/>
          </w:tcPr>
          <w:p w14:paraId="4DD7BA7C" w14:textId="77777777" w:rsidR="00874916" w:rsidRPr="002C524B" w:rsidRDefault="00874916" w:rsidP="00EA28C4">
            <w:pPr>
              <w:jc w:val="center"/>
              <w:rPr>
                <w:rFonts w:eastAsia="Arial Unicode MS"/>
                <w:sz w:val="18"/>
                <w:szCs w:val="18"/>
              </w:rPr>
            </w:pPr>
          </w:p>
        </w:tc>
        <w:tc>
          <w:tcPr>
            <w:tcW w:w="563" w:type="pct"/>
            <w:tcBorders>
              <w:bottom w:val="single" w:sz="4" w:space="0" w:color="auto"/>
            </w:tcBorders>
            <w:shd w:val="clear" w:color="auto" w:fill="auto"/>
            <w:noWrap/>
            <w:vAlign w:val="center"/>
            <w:hideMark/>
          </w:tcPr>
          <w:p w14:paraId="6819F74B" w14:textId="77777777" w:rsidR="00874916" w:rsidRPr="002C524B" w:rsidRDefault="00874916" w:rsidP="00EA28C4">
            <w:pPr>
              <w:jc w:val="center"/>
              <w:rPr>
                <w:rFonts w:eastAsia="Arial Unicode MS"/>
                <w:sz w:val="18"/>
                <w:szCs w:val="18"/>
              </w:rPr>
            </w:pPr>
            <w:r w:rsidRPr="002C524B">
              <w:rPr>
                <w:rFonts w:eastAsia="Arial Unicode MS"/>
                <w:sz w:val="18"/>
                <w:szCs w:val="18"/>
              </w:rPr>
              <w:t>2011</w:t>
            </w:r>
          </w:p>
        </w:tc>
        <w:tc>
          <w:tcPr>
            <w:tcW w:w="471" w:type="pct"/>
            <w:tcBorders>
              <w:bottom w:val="single" w:sz="4" w:space="0" w:color="auto"/>
            </w:tcBorders>
            <w:shd w:val="clear" w:color="auto" w:fill="auto"/>
            <w:noWrap/>
            <w:vAlign w:val="center"/>
            <w:hideMark/>
          </w:tcPr>
          <w:p w14:paraId="4730E6B1" w14:textId="77777777" w:rsidR="00874916" w:rsidRPr="002C524B" w:rsidRDefault="00874916" w:rsidP="00EA28C4">
            <w:pPr>
              <w:jc w:val="center"/>
              <w:rPr>
                <w:rFonts w:eastAsia="Arial Unicode MS"/>
                <w:sz w:val="18"/>
                <w:szCs w:val="18"/>
              </w:rPr>
            </w:pPr>
          </w:p>
        </w:tc>
        <w:tc>
          <w:tcPr>
            <w:tcW w:w="729" w:type="pct"/>
            <w:tcBorders>
              <w:bottom w:val="single" w:sz="4" w:space="0" w:color="auto"/>
            </w:tcBorders>
            <w:shd w:val="clear" w:color="auto" w:fill="auto"/>
            <w:noWrap/>
            <w:vAlign w:val="center"/>
            <w:hideMark/>
          </w:tcPr>
          <w:p w14:paraId="3A0EE41A" w14:textId="77777777" w:rsidR="00874916" w:rsidRPr="002C524B" w:rsidRDefault="00874916" w:rsidP="00EA28C4">
            <w:pPr>
              <w:jc w:val="center"/>
              <w:rPr>
                <w:rFonts w:eastAsia="Arial Unicode MS"/>
                <w:sz w:val="18"/>
                <w:szCs w:val="18"/>
              </w:rPr>
            </w:pPr>
          </w:p>
        </w:tc>
        <w:tc>
          <w:tcPr>
            <w:tcW w:w="479" w:type="pct"/>
            <w:tcBorders>
              <w:bottom w:val="single" w:sz="4" w:space="0" w:color="auto"/>
            </w:tcBorders>
            <w:shd w:val="clear" w:color="auto" w:fill="auto"/>
            <w:noWrap/>
            <w:vAlign w:val="center"/>
            <w:hideMark/>
          </w:tcPr>
          <w:p w14:paraId="68517E14" w14:textId="77777777" w:rsidR="00874916" w:rsidRPr="002C524B" w:rsidRDefault="00874916" w:rsidP="00EA28C4">
            <w:pPr>
              <w:jc w:val="center"/>
              <w:rPr>
                <w:rFonts w:eastAsia="Arial Unicode MS"/>
                <w:sz w:val="18"/>
                <w:szCs w:val="18"/>
              </w:rPr>
            </w:pPr>
            <w:r w:rsidRPr="002C524B">
              <w:rPr>
                <w:rFonts w:eastAsia="Arial Unicode MS"/>
                <w:sz w:val="18"/>
                <w:szCs w:val="18"/>
              </w:rPr>
              <w:t>2012</w:t>
            </w:r>
          </w:p>
        </w:tc>
        <w:tc>
          <w:tcPr>
            <w:tcW w:w="455" w:type="pct"/>
            <w:tcBorders>
              <w:bottom w:val="single" w:sz="4" w:space="0" w:color="auto"/>
            </w:tcBorders>
            <w:shd w:val="clear" w:color="auto" w:fill="auto"/>
            <w:noWrap/>
            <w:vAlign w:val="center"/>
            <w:hideMark/>
          </w:tcPr>
          <w:p w14:paraId="195EADCB" w14:textId="77777777" w:rsidR="00874916" w:rsidRPr="002C524B" w:rsidRDefault="00874916" w:rsidP="00EA28C4">
            <w:pPr>
              <w:jc w:val="center"/>
              <w:rPr>
                <w:rFonts w:eastAsia="Arial Unicode MS"/>
                <w:sz w:val="18"/>
                <w:szCs w:val="18"/>
              </w:rPr>
            </w:pPr>
          </w:p>
        </w:tc>
      </w:tr>
      <w:tr w:rsidR="00874916" w:rsidRPr="002C524B" w14:paraId="4819F58C" w14:textId="77777777" w:rsidTr="00EA28C4">
        <w:trPr>
          <w:trHeight w:val="270"/>
        </w:trPr>
        <w:tc>
          <w:tcPr>
            <w:tcW w:w="622" w:type="pct"/>
            <w:tcBorders>
              <w:top w:val="single" w:sz="4" w:space="0" w:color="auto"/>
              <w:bottom w:val="single" w:sz="4" w:space="0" w:color="auto"/>
            </w:tcBorders>
            <w:shd w:val="clear" w:color="auto" w:fill="auto"/>
            <w:noWrap/>
            <w:vAlign w:val="center"/>
            <w:hideMark/>
          </w:tcPr>
          <w:p w14:paraId="46A47AA5" w14:textId="77777777" w:rsidR="00874916" w:rsidRPr="002C524B" w:rsidRDefault="00874916" w:rsidP="00EA28C4">
            <w:pPr>
              <w:jc w:val="center"/>
              <w:rPr>
                <w:rFonts w:eastAsia="Arial Unicode MS"/>
                <w:sz w:val="18"/>
                <w:szCs w:val="18"/>
              </w:rPr>
            </w:pPr>
            <w:r w:rsidRPr="002C524B">
              <w:rPr>
                <w:rFonts w:eastAsia="Arial Unicode MS"/>
                <w:sz w:val="18"/>
                <w:szCs w:val="18"/>
              </w:rPr>
              <w:t>Importer</w:t>
            </w:r>
          </w:p>
        </w:tc>
        <w:tc>
          <w:tcPr>
            <w:tcW w:w="560" w:type="pct"/>
            <w:tcBorders>
              <w:top w:val="single" w:sz="4" w:space="0" w:color="auto"/>
              <w:bottom w:val="single" w:sz="4" w:space="0" w:color="auto"/>
            </w:tcBorders>
            <w:shd w:val="clear" w:color="auto" w:fill="auto"/>
            <w:noWrap/>
            <w:vAlign w:val="center"/>
            <w:hideMark/>
          </w:tcPr>
          <w:p w14:paraId="2F01D6DF" w14:textId="77777777" w:rsidR="00874916" w:rsidRPr="002C524B" w:rsidRDefault="00874916" w:rsidP="00EA28C4">
            <w:pPr>
              <w:jc w:val="center"/>
              <w:rPr>
                <w:rFonts w:eastAsia="Arial Unicode MS"/>
                <w:sz w:val="18"/>
                <w:szCs w:val="18"/>
              </w:rPr>
            </w:pPr>
            <w:r w:rsidRPr="002C524B">
              <w:rPr>
                <w:rFonts w:eastAsia="Arial Unicode MS"/>
                <w:sz w:val="18"/>
                <w:szCs w:val="18"/>
              </w:rPr>
              <w:t xml:space="preserve">Thousand </w:t>
            </w:r>
            <w:r>
              <w:rPr>
                <w:rFonts w:eastAsia="Arial Unicode MS"/>
                <w:sz w:val="18"/>
                <w:szCs w:val="18"/>
              </w:rPr>
              <w:t>Tons</w:t>
            </w:r>
          </w:p>
        </w:tc>
        <w:tc>
          <w:tcPr>
            <w:tcW w:w="484" w:type="pct"/>
            <w:tcBorders>
              <w:top w:val="single" w:sz="4" w:space="0" w:color="auto"/>
              <w:bottom w:val="single" w:sz="4" w:space="0" w:color="auto"/>
            </w:tcBorders>
            <w:shd w:val="clear" w:color="auto" w:fill="auto"/>
            <w:noWrap/>
            <w:vAlign w:val="center"/>
            <w:hideMark/>
          </w:tcPr>
          <w:p w14:paraId="749CF510" w14:textId="77777777" w:rsidR="00874916" w:rsidRPr="002C524B" w:rsidRDefault="00874916" w:rsidP="00EA28C4">
            <w:pPr>
              <w:jc w:val="center"/>
              <w:rPr>
                <w:rFonts w:eastAsia="Arial Unicode MS"/>
                <w:sz w:val="18"/>
                <w:szCs w:val="18"/>
              </w:rPr>
            </w:pPr>
            <w:r w:rsidRPr="002C524B">
              <w:rPr>
                <w:rFonts w:eastAsia="Arial Unicode MS"/>
                <w:sz w:val="18"/>
                <w:szCs w:val="18"/>
              </w:rPr>
              <w:t>Percent</w:t>
            </w:r>
          </w:p>
        </w:tc>
        <w:tc>
          <w:tcPr>
            <w:tcW w:w="638" w:type="pct"/>
            <w:tcBorders>
              <w:top w:val="single" w:sz="4" w:space="0" w:color="auto"/>
              <w:bottom w:val="single" w:sz="4" w:space="0" w:color="auto"/>
            </w:tcBorders>
            <w:shd w:val="clear" w:color="auto" w:fill="auto"/>
            <w:noWrap/>
            <w:vAlign w:val="center"/>
            <w:hideMark/>
          </w:tcPr>
          <w:p w14:paraId="44724EAA" w14:textId="77777777" w:rsidR="00874916" w:rsidRPr="002C524B" w:rsidRDefault="00874916" w:rsidP="00EA28C4">
            <w:pPr>
              <w:jc w:val="center"/>
              <w:rPr>
                <w:rFonts w:eastAsia="Arial Unicode MS"/>
                <w:sz w:val="18"/>
                <w:szCs w:val="18"/>
              </w:rPr>
            </w:pPr>
            <w:r w:rsidRPr="002C524B">
              <w:rPr>
                <w:rFonts w:eastAsia="Arial Unicode MS"/>
                <w:sz w:val="18"/>
                <w:szCs w:val="18"/>
              </w:rPr>
              <w:t>Importer</w:t>
            </w:r>
          </w:p>
        </w:tc>
        <w:tc>
          <w:tcPr>
            <w:tcW w:w="563" w:type="pct"/>
            <w:tcBorders>
              <w:top w:val="single" w:sz="4" w:space="0" w:color="auto"/>
              <w:bottom w:val="single" w:sz="4" w:space="0" w:color="auto"/>
            </w:tcBorders>
            <w:shd w:val="clear" w:color="auto" w:fill="auto"/>
            <w:noWrap/>
            <w:vAlign w:val="center"/>
            <w:hideMark/>
          </w:tcPr>
          <w:p w14:paraId="7040A04E" w14:textId="77777777" w:rsidR="00874916" w:rsidRPr="002C524B" w:rsidRDefault="00874916" w:rsidP="00EA28C4">
            <w:pPr>
              <w:jc w:val="center"/>
              <w:rPr>
                <w:rFonts w:eastAsia="Arial Unicode MS"/>
                <w:sz w:val="18"/>
                <w:szCs w:val="18"/>
              </w:rPr>
            </w:pPr>
            <w:r w:rsidRPr="002C524B">
              <w:rPr>
                <w:rFonts w:eastAsia="Arial Unicode MS"/>
                <w:sz w:val="18"/>
                <w:szCs w:val="18"/>
              </w:rPr>
              <w:t xml:space="preserve">Thousand </w:t>
            </w:r>
            <w:r>
              <w:rPr>
                <w:rFonts w:eastAsia="Arial Unicode MS"/>
                <w:sz w:val="18"/>
                <w:szCs w:val="18"/>
              </w:rPr>
              <w:t>Tons</w:t>
            </w:r>
          </w:p>
        </w:tc>
        <w:tc>
          <w:tcPr>
            <w:tcW w:w="471" w:type="pct"/>
            <w:tcBorders>
              <w:top w:val="single" w:sz="4" w:space="0" w:color="auto"/>
              <w:bottom w:val="single" w:sz="4" w:space="0" w:color="auto"/>
            </w:tcBorders>
            <w:shd w:val="clear" w:color="auto" w:fill="auto"/>
            <w:noWrap/>
            <w:vAlign w:val="center"/>
            <w:hideMark/>
          </w:tcPr>
          <w:p w14:paraId="7A52B449" w14:textId="77777777" w:rsidR="00874916" w:rsidRPr="002C524B" w:rsidRDefault="00874916" w:rsidP="00EA28C4">
            <w:pPr>
              <w:jc w:val="center"/>
              <w:rPr>
                <w:rFonts w:eastAsia="Arial Unicode MS"/>
                <w:sz w:val="18"/>
                <w:szCs w:val="18"/>
              </w:rPr>
            </w:pPr>
            <w:r w:rsidRPr="002C524B">
              <w:rPr>
                <w:rFonts w:eastAsia="Arial Unicode MS"/>
                <w:sz w:val="18"/>
                <w:szCs w:val="18"/>
              </w:rPr>
              <w:t>Percent</w:t>
            </w:r>
          </w:p>
        </w:tc>
        <w:tc>
          <w:tcPr>
            <w:tcW w:w="729" w:type="pct"/>
            <w:tcBorders>
              <w:top w:val="single" w:sz="4" w:space="0" w:color="auto"/>
              <w:bottom w:val="single" w:sz="4" w:space="0" w:color="auto"/>
            </w:tcBorders>
            <w:shd w:val="clear" w:color="auto" w:fill="auto"/>
            <w:noWrap/>
            <w:vAlign w:val="center"/>
            <w:hideMark/>
          </w:tcPr>
          <w:p w14:paraId="51DB60B6" w14:textId="77777777" w:rsidR="00874916" w:rsidRPr="002C524B" w:rsidRDefault="00874916" w:rsidP="00EA28C4">
            <w:pPr>
              <w:jc w:val="center"/>
              <w:rPr>
                <w:rFonts w:eastAsia="Arial Unicode MS"/>
                <w:sz w:val="18"/>
                <w:szCs w:val="18"/>
              </w:rPr>
            </w:pPr>
            <w:r w:rsidRPr="002C524B">
              <w:rPr>
                <w:rFonts w:eastAsia="Arial Unicode MS"/>
                <w:sz w:val="18"/>
                <w:szCs w:val="18"/>
              </w:rPr>
              <w:t>Importer</w:t>
            </w:r>
          </w:p>
        </w:tc>
        <w:tc>
          <w:tcPr>
            <w:tcW w:w="479" w:type="pct"/>
            <w:tcBorders>
              <w:top w:val="single" w:sz="4" w:space="0" w:color="auto"/>
              <w:bottom w:val="single" w:sz="4" w:space="0" w:color="auto"/>
            </w:tcBorders>
            <w:shd w:val="clear" w:color="auto" w:fill="auto"/>
            <w:noWrap/>
            <w:vAlign w:val="center"/>
            <w:hideMark/>
          </w:tcPr>
          <w:p w14:paraId="6819FA42" w14:textId="77777777" w:rsidR="00874916" w:rsidRPr="002C524B" w:rsidRDefault="00874916" w:rsidP="00EA28C4">
            <w:pPr>
              <w:jc w:val="center"/>
              <w:rPr>
                <w:rFonts w:eastAsia="Arial Unicode MS"/>
                <w:sz w:val="18"/>
                <w:szCs w:val="18"/>
              </w:rPr>
            </w:pPr>
            <w:r w:rsidRPr="002C524B">
              <w:rPr>
                <w:rFonts w:eastAsia="Arial Unicode MS"/>
                <w:sz w:val="18"/>
                <w:szCs w:val="18"/>
              </w:rPr>
              <w:t xml:space="preserve">Thousand </w:t>
            </w:r>
            <w:r>
              <w:rPr>
                <w:rFonts w:eastAsia="Arial Unicode MS"/>
                <w:sz w:val="18"/>
                <w:szCs w:val="18"/>
              </w:rPr>
              <w:t>Tons</w:t>
            </w:r>
          </w:p>
        </w:tc>
        <w:tc>
          <w:tcPr>
            <w:tcW w:w="455" w:type="pct"/>
            <w:tcBorders>
              <w:top w:val="single" w:sz="4" w:space="0" w:color="auto"/>
              <w:bottom w:val="single" w:sz="4" w:space="0" w:color="auto"/>
            </w:tcBorders>
            <w:shd w:val="clear" w:color="auto" w:fill="auto"/>
            <w:noWrap/>
            <w:vAlign w:val="center"/>
            <w:hideMark/>
          </w:tcPr>
          <w:p w14:paraId="47A2B581" w14:textId="77777777" w:rsidR="00874916" w:rsidRPr="002C524B" w:rsidRDefault="00874916" w:rsidP="00EA28C4">
            <w:pPr>
              <w:jc w:val="center"/>
              <w:rPr>
                <w:rFonts w:eastAsia="Arial Unicode MS"/>
                <w:sz w:val="18"/>
                <w:szCs w:val="18"/>
              </w:rPr>
            </w:pPr>
            <w:r w:rsidRPr="002C524B">
              <w:rPr>
                <w:rFonts w:eastAsia="Arial Unicode MS"/>
                <w:sz w:val="18"/>
                <w:szCs w:val="18"/>
              </w:rPr>
              <w:t>Percent</w:t>
            </w:r>
          </w:p>
        </w:tc>
      </w:tr>
      <w:tr w:rsidR="00874916" w:rsidRPr="002C524B" w14:paraId="7E539624" w14:textId="77777777" w:rsidTr="00EA28C4">
        <w:trPr>
          <w:trHeight w:val="480"/>
        </w:trPr>
        <w:tc>
          <w:tcPr>
            <w:tcW w:w="622" w:type="pct"/>
            <w:tcBorders>
              <w:top w:val="single" w:sz="4" w:space="0" w:color="auto"/>
            </w:tcBorders>
            <w:shd w:val="clear" w:color="auto" w:fill="auto"/>
            <w:vAlign w:val="center"/>
            <w:hideMark/>
          </w:tcPr>
          <w:p w14:paraId="26EDD3FA" w14:textId="77777777" w:rsidR="00874916" w:rsidRPr="002C524B" w:rsidRDefault="00874916" w:rsidP="00EA28C4">
            <w:pPr>
              <w:jc w:val="center"/>
              <w:rPr>
                <w:rFonts w:eastAsia="Arial Unicode MS"/>
                <w:sz w:val="18"/>
                <w:szCs w:val="18"/>
              </w:rPr>
            </w:pPr>
            <w:r w:rsidRPr="002C524B">
              <w:rPr>
                <w:rFonts w:eastAsia="Arial Unicode MS"/>
                <w:sz w:val="18"/>
                <w:szCs w:val="18"/>
              </w:rPr>
              <w:t>Egypt</w:t>
            </w:r>
          </w:p>
        </w:tc>
        <w:tc>
          <w:tcPr>
            <w:tcW w:w="560" w:type="pct"/>
            <w:tcBorders>
              <w:top w:val="single" w:sz="4" w:space="0" w:color="auto"/>
            </w:tcBorders>
            <w:shd w:val="clear" w:color="auto" w:fill="auto"/>
            <w:vAlign w:val="center"/>
            <w:hideMark/>
          </w:tcPr>
          <w:p w14:paraId="0CE9E8AD" w14:textId="77777777" w:rsidR="00874916" w:rsidRPr="002C524B" w:rsidRDefault="00874916" w:rsidP="00EA28C4">
            <w:pPr>
              <w:jc w:val="center"/>
              <w:rPr>
                <w:rFonts w:eastAsia="Arial Unicode MS"/>
                <w:sz w:val="18"/>
                <w:szCs w:val="18"/>
              </w:rPr>
            </w:pPr>
            <w:r w:rsidRPr="002C524B">
              <w:rPr>
                <w:rFonts w:eastAsia="Arial Unicode MS"/>
                <w:sz w:val="18"/>
                <w:szCs w:val="18"/>
              </w:rPr>
              <w:t>77.00</w:t>
            </w:r>
          </w:p>
        </w:tc>
        <w:tc>
          <w:tcPr>
            <w:tcW w:w="484" w:type="pct"/>
            <w:tcBorders>
              <w:top w:val="single" w:sz="4" w:space="0" w:color="auto"/>
            </w:tcBorders>
            <w:shd w:val="clear" w:color="auto" w:fill="auto"/>
            <w:noWrap/>
            <w:vAlign w:val="center"/>
            <w:hideMark/>
          </w:tcPr>
          <w:p w14:paraId="048FF9EF" w14:textId="77777777" w:rsidR="00874916" w:rsidRPr="002C524B" w:rsidRDefault="00874916" w:rsidP="00EA28C4">
            <w:pPr>
              <w:jc w:val="center"/>
              <w:rPr>
                <w:rFonts w:eastAsia="Arial Unicode MS"/>
                <w:sz w:val="18"/>
                <w:szCs w:val="18"/>
              </w:rPr>
            </w:pPr>
            <w:r w:rsidRPr="002C524B">
              <w:rPr>
                <w:rFonts w:eastAsia="Arial Unicode MS"/>
                <w:sz w:val="18"/>
                <w:szCs w:val="18"/>
              </w:rPr>
              <w:t>18.44%</w:t>
            </w:r>
          </w:p>
        </w:tc>
        <w:tc>
          <w:tcPr>
            <w:tcW w:w="638" w:type="pct"/>
            <w:tcBorders>
              <w:top w:val="single" w:sz="4" w:space="0" w:color="auto"/>
            </w:tcBorders>
            <w:shd w:val="clear" w:color="auto" w:fill="auto"/>
            <w:vAlign w:val="center"/>
            <w:hideMark/>
          </w:tcPr>
          <w:p w14:paraId="22740B6F" w14:textId="77777777" w:rsidR="00874916" w:rsidRPr="002C524B" w:rsidRDefault="00874916" w:rsidP="00EA28C4">
            <w:pPr>
              <w:jc w:val="center"/>
              <w:rPr>
                <w:rFonts w:eastAsia="Arial Unicode MS"/>
                <w:sz w:val="18"/>
                <w:szCs w:val="18"/>
              </w:rPr>
            </w:pPr>
            <w:r w:rsidRPr="002C524B">
              <w:rPr>
                <w:rFonts w:eastAsia="Arial Unicode MS"/>
                <w:sz w:val="18"/>
                <w:szCs w:val="18"/>
              </w:rPr>
              <w:t>United Kingdom</w:t>
            </w:r>
          </w:p>
        </w:tc>
        <w:tc>
          <w:tcPr>
            <w:tcW w:w="563" w:type="pct"/>
            <w:tcBorders>
              <w:top w:val="single" w:sz="4" w:space="0" w:color="auto"/>
            </w:tcBorders>
            <w:shd w:val="clear" w:color="auto" w:fill="auto"/>
            <w:vAlign w:val="center"/>
            <w:hideMark/>
          </w:tcPr>
          <w:p w14:paraId="58E77159" w14:textId="77777777" w:rsidR="00874916" w:rsidRPr="002C524B" w:rsidRDefault="00874916" w:rsidP="00EA28C4">
            <w:pPr>
              <w:jc w:val="center"/>
              <w:rPr>
                <w:rFonts w:eastAsia="Arial Unicode MS"/>
                <w:sz w:val="18"/>
                <w:szCs w:val="18"/>
              </w:rPr>
            </w:pPr>
            <w:r w:rsidRPr="002C524B">
              <w:rPr>
                <w:rFonts w:eastAsia="Arial Unicode MS"/>
                <w:sz w:val="18"/>
                <w:szCs w:val="18"/>
              </w:rPr>
              <w:t>72.04</w:t>
            </w:r>
          </w:p>
        </w:tc>
        <w:tc>
          <w:tcPr>
            <w:tcW w:w="471" w:type="pct"/>
            <w:tcBorders>
              <w:top w:val="single" w:sz="4" w:space="0" w:color="auto"/>
            </w:tcBorders>
            <w:shd w:val="clear" w:color="auto" w:fill="auto"/>
            <w:noWrap/>
            <w:vAlign w:val="center"/>
            <w:hideMark/>
          </w:tcPr>
          <w:p w14:paraId="41F43CDF" w14:textId="77777777" w:rsidR="00874916" w:rsidRPr="002C524B" w:rsidRDefault="00874916" w:rsidP="00EA28C4">
            <w:pPr>
              <w:jc w:val="center"/>
              <w:rPr>
                <w:rFonts w:eastAsia="Arial Unicode MS"/>
                <w:sz w:val="18"/>
                <w:szCs w:val="18"/>
              </w:rPr>
            </w:pPr>
            <w:r w:rsidRPr="002C524B">
              <w:rPr>
                <w:rFonts w:eastAsia="Arial Unicode MS"/>
                <w:sz w:val="18"/>
                <w:szCs w:val="18"/>
              </w:rPr>
              <w:t>18.55%</w:t>
            </w:r>
          </w:p>
        </w:tc>
        <w:tc>
          <w:tcPr>
            <w:tcW w:w="729" w:type="pct"/>
            <w:tcBorders>
              <w:top w:val="single" w:sz="4" w:space="0" w:color="auto"/>
            </w:tcBorders>
            <w:shd w:val="clear" w:color="auto" w:fill="auto"/>
            <w:vAlign w:val="center"/>
            <w:hideMark/>
          </w:tcPr>
          <w:p w14:paraId="51D0132C" w14:textId="77777777" w:rsidR="00874916" w:rsidRPr="002C524B" w:rsidRDefault="00874916" w:rsidP="00EA28C4">
            <w:pPr>
              <w:jc w:val="center"/>
              <w:rPr>
                <w:rFonts w:eastAsia="Arial Unicode MS"/>
                <w:sz w:val="18"/>
                <w:szCs w:val="18"/>
              </w:rPr>
            </w:pPr>
            <w:r w:rsidRPr="002C524B">
              <w:rPr>
                <w:rFonts w:eastAsia="Arial Unicode MS"/>
                <w:sz w:val="18"/>
                <w:szCs w:val="18"/>
              </w:rPr>
              <w:t>Pakistan</w:t>
            </w:r>
          </w:p>
        </w:tc>
        <w:tc>
          <w:tcPr>
            <w:tcW w:w="479" w:type="pct"/>
            <w:tcBorders>
              <w:top w:val="single" w:sz="4" w:space="0" w:color="auto"/>
            </w:tcBorders>
            <w:shd w:val="clear" w:color="auto" w:fill="auto"/>
            <w:vAlign w:val="center"/>
            <w:hideMark/>
          </w:tcPr>
          <w:p w14:paraId="367C68DC" w14:textId="77777777" w:rsidR="00874916" w:rsidRPr="002C524B" w:rsidRDefault="00874916" w:rsidP="00EA28C4">
            <w:pPr>
              <w:jc w:val="center"/>
              <w:rPr>
                <w:rFonts w:eastAsia="Arial Unicode MS"/>
                <w:sz w:val="18"/>
                <w:szCs w:val="18"/>
              </w:rPr>
            </w:pPr>
            <w:r w:rsidRPr="002C524B">
              <w:rPr>
                <w:rFonts w:eastAsia="Arial Unicode MS"/>
                <w:sz w:val="18"/>
                <w:szCs w:val="18"/>
              </w:rPr>
              <w:t>79.33</w:t>
            </w:r>
          </w:p>
        </w:tc>
        <w:tc>
          <w:tcPr>
            <w:tcW w:w="455" w:type="pct"/>
            <w:tcBorders>
              <w:top w:val="single" w:sz="4" w:space="0" w:color="auto"/>
            </w:tcBorders>
            <w:shd w:val="clear" w:color="auto" w:fill="auto"/>
            <w:noWrap/>
            <w:vAlign w:val="center"/>
            <w:hideMark/>
          </w:tcPr>
          <w:p w14:paraId="5DCF8CA6" w14:textId="77777777" w:rsidR="00874916" w:rsidRPr="002C524B" w:rsidRDefault="00874916" w:rsidP="00EA28C4">
            <w:pPr>
              <w:jc w:val="center"/>
              <w:rPr>
                <w:rFonts w:eastAsia="Arial Unicode MS"/>
                <w:sz w:val="18"/>
                <w:szCs w:val="18"/>
              </w:rPr>
            </w:pPr>
            <w:r w:rsidRPr="002C524B">
              <w:rPr>
                <w:rFonts w:eastAsia="Arial Unicode MS"/>
                <w:sz w:val="18"/>
                <w:szCs w:val="18"/>
              </w:rPr>
              <w:t>20.86%</w:t>
            </w:r>
          </w:p>
        </w:tc>
      </w:tr>
      <w:tr w:rsidR="00874916" w:rsidRPr="002C524B" w14:paraId="444C4AEB" w14:textId="77777777" w:rsidTr="00EA28C4">
        <w:trPr>
          <w:trHeight w:val="270"/>
        </w:trPr>
        <w:tc>
          <w:tcPr>
            <w:tcW w:w="622" w:type="pct"/>
            <w:shd w:val="clear" w:color="auto" w:fill="auto"/>
            <w:vAlign w:val="center"/>
            <w:hideMark/>
          </w:tcPr>
          <w:p w14:paraId="67B3DB1C" w14:textId="77777777" w:rsidR="00874916" w:rsidRPr="002C524B" w:rsidRDefault="00874916" w:rsidP="00EA28C4">
            <w:pPr>
              <w:jc w:val="center"/>
              <w:rPr>
                <w:rFonts w:eastAsia="Arial Unicode MS"/>
                <w:sz w:val="18"/>
                <w:szCs w:val="18"/>
              </w:rPr>
            </w:pPr>
            <w:r w:rsidRPr="002C524B">
              <w:rPr>
                <w:rFonts w:eastAsia="Arial Unicode MS"/>
                <w:sz w:val="18"/>
                <w:szCs w:val="18"/>
              </w:rPr>
              <w:t>Pakistan</w:t>
            </w:r>
          </w:p>
        </w:tc>
        <w:tc>
          <w:tcPr>
            <w:tcW w:w="560" w:type="pct"/>
            <w:shd w:val="clear" w:color="auto" w:fill="auto"/>
            <w:vAlign w:val="center"/>
            <w:hideMark/>
          </w:tcPr>
          <w:p w14:paraId="79E9C112" w14:textId="77777777" w:rsidR="00874916" w:rsidRPr="002C524B" w:rsidRDefault="00874916" w:rsidP="00EA28C4">
            <w:pPr>
              <w:jc w:val="center"/>
              <w:rPr>
                <w:rFonts w:eastAsia="Arial Unicode MS"/>
                <w:sz w:val="18"/>
                <w:szCs w:val="18"/>
              </w:rPr>
            </w:pPr>
            <w:r w:rsidRPr="002C524B">
              <w:rPr>
                <w:rFonts w:eastAsia="Arial Unicode MS"/>
                <w:sz w:val="18"/>
                <w:szCs w:val="18"/>
              </w:rPr>
              <w:t>73.96</w:t>
            </w:r>
          </w:p>
        </w:tc>
        <w:tc>
          <w:tcPr>
            <w:tcW w:w="484" w:type="pct"/>
            <w:shd w:val="clear" w:color="auto" w:fill="auto"/>
            <w:noWrap/>
            <w:vAlign w:val="center"/>
            <w:hideMark/>
          </w:tcPr>
          <w:p w14:paraId="17A0D211" w14:textId="77777777" w:rsidR="00874916" w:rsidRPr="002C524B" w:rsidRDefault="00874916" w:rsidP="00EA28C4">
            <w:pPr>
              <w:jc w:val="center"/>
              <w:rPr>
                <w:rFonts w:eastAsia="Arial Unicode MS"/>
                <w:sz w:val="18"/>
                <w:szCs w:val="18"/>
              </w:rPr>
            </w:pPr>
            <w:r w:rsidRPr="002C524B">
              <w:rPr>
                <w:rFonts w:eastAsia="Arial Unicode MS"/>
                <w:sz w:val="18"/>
                <w:szCs w:val="18"/>
              </w:rPr>
              <w:t>17.71%</w:t>
            </w:r>
          </w:p>
        </w:tc>
        <w:tc>
          <w:tcPr>
            <w:tcW w:w="638" w:type="pct"/>
            <w:shd w:val="clear" w:color="auto" w:fill="auto"/>
            <w:vAlign w:val="center"/>
            <w:hideMark/>
          </w:tcPr>
          <w:p w14:paraId="0FA799D7" w14:textId="77777777" w:rsidR="00874916" w:rsidRPr="002C524B" w:rsidRDefault="00874916" w:rsidP="00EA28C4">
            <w:pPr>
              <w:jc w:val="center"/>
              <w:rPr>
                <w:rFonts w:eastAsia="Arial Unicode MS"/>
                <w:sz w:val="18"/>
                <w:szCs w:val="18"/>
              </w:rPr>
            </w:pPr>
            <w:r w:rsidRPr="002C524B">
              <w:rPr>
                <w:rFonts w:eastAsia="Arial Unicode MS"/>
                <w:sz w:val="18"/>
                <w:szCs w:val="18"/>
              </w:rPr>
              <w:t>Pakistan</w:t>
            </w:r>
          </w:p>
        </w:tc>
        <w:tc>
          <w:tcPr>
            <w:tcW w:w="563" w:type="pct"/>
            <w:shd w:val="clear" w:color="auto" w:fill="auto"/>
            <w:vAlign w:val="center"/>
            <w:hideMark/>
          </w:tcPr>
          <w:p w14:paraId="2BC58168" w14:textId="77777777" w:rsidR="00874916" w:rsidRPr="002C524B" w:rsidRDefault="00874916" w:rsidP="00EA28C4">
            <w:pPr>
              <w:jc w:val="center"/>
              <w:rPr>
                <w:rFonts w:eastAsia="Arial Unicode MS"/>
                <w:sz w:val="18"/>
                <w:szCs w:val="18"/>
              </w:rPr>
            </w:pPr>
            <w:r w:rsidRPr="002C524B">
              <w:rPr>
                <w:rFonts w:eastAsia="Arial Unicode MS"/>
                <w:sz w:val="18"/>
                <w:szCs w:val="18"/>
              </w:rPr>
              <w:t>69.75</w:t>
            </w:r>
          </w:p>
        </w:tc>
        <w:tc>
          <w:tcPr>
            <w:tcW w:w="471" w:type="pct"/>
            <w:shd w:val="clear" w:color="auto" w:fill="auto"/>
            <w:noWrap/>
            <w:vAlign w:val="center"/>
            <w:hideMark/>
          </w:tcPr>
          <w:p w14:paraId="53024461" w14:textId="77777777" w:rsidR="00874916" w:rsidRPr="002C524B" w:rsidRDefault="00874916" w:rsidP="00EA28C4">
            <w:pPr>
              <w:jc w:val="center"/>
              <w:rPr>
                <w:rFonts w:eastAsia="Arial Unicode MS"/>
                <w:sz w:val="18"/>
                <w:szCs w:val="18"/>
              </w:rPr>
            </w:pPr>
            <w:r w:rsidRPr="002C524B">
              <w:rPr>
                <w:rFonts w:eastAsia="Arial Unicode MS"/>
                <w:sz w:val="18"/>
                <w:szCs w:val="18"/>
              </w:rPr>
              <w:t>17.96%</w:t>
            </w:r>
          </w:p>
        </w:tc>
        <w:tc>
          <w:tcPr>
            <w:tcW w:w="729" w:type="pct"/>
            <w:shd w:val="clear" w:color="auto" w:fill="auto"/>
            <w:vAlign w:val="center"/>
            <w:hideMark/>
          </w:tcPr>
          <w:p w14:paraId="19060FA9" w14:textId="77777777" w:rsidR="00874916" w:rsidRPr="002C524B" w:rsidRDefault="00874916" w:rsidP="00EA28C4">
            <w:pPr>
              <w:jc w:val="center"/>
              <w:rPr>
                <w:rFonts w:eastAsia="Arial Unicode MS"/>
                <w:sz w:val="18"/>
                <w:szCs w:val="18"/>
              </w:rPr>
            </w:pPr>
            <w:r w:rsidRPr="002C524B">
              <w:rPr>
                <w:rFonts w:eastAsia="Arial Unicode MS"/>
                <w:sz w:val="18"/>
                <w:szCs w:val="18"/>
              </w:rPr>
              <w:t>Egypt</w:t>
            </w:r>
          </w:p>
        </w:tc>
        <w:tc>
          <w:tcPr>
            <w:tcW w:w="479" w:type="pct"/>
            <w:shd w:val="clear" w:color="auto" w:fill="auto"/>
            <w:vAlign w:val="center"/>
            <w:hideMark/>
          </w:tcPr>
          <w:p w14:paraId="189398BE" w14:textId="77777777" w:rsidR="00874916" w:rsidRPr="002C524B" w:rsidRDefault="00874916" w:rsidP="00EA28C4">
            <w:pPr>
              <w:jc w:val="center"/>
              <w:rPr>
                <w:rFonts w:eastAsia="Arial Unicode MS"/>
                <w:sz w:val="18"/>
                <w:szCs w:val="18"/>
              </w:rPr>
            </w:pPr>
            <w:r w:rsidRPr="002C524B">
              <w:rPr>
                <w:rFonts w:eastAsia="Arial Unicode MS"/>
                <w:sz w:val="18"/>
                <w:szCs w:val="18"/>
              </w:rPr>
              <w:t>66.52</w:t>
            </w:r>
          </w:p>
        </w:tc>
        <w:tc>
          <w:tcPr>
            <w:tcW w:w="455" w:type="pct"/>
            <w:shd w:val="clear" w:color="auto" w:fill="auto"/>
            <w:noWrap/>
            <w:vAlign w:val="center"/>
            <w:hideMark/>
          </w:tcPr>
          <w:p w14:paraId="71577C66" w14:textId="77777777" w:rsidR="00874916" w:rsidRPr="002C524B" w:rsidRDefault="00874916" w:rsidP="00EA28C4">
            <w:pPr>
              <w:jc w:val="center"/>
              <w:rPr>
                <w:rFonts w:eastAsia="Arial Unicode MS"/>
                <w:sz w:val="18"/>
                <w:szCs w:val="18"/>
              </w:rPr>
            </w:pPr>
            <w:r w:rsidRPr="002C524B">
              <w:rPr>
                <w:rFonts w:eastAsia="Arial Unicode MS"/>
                <w:sz w:val="18"/>
                <w:szCs w:val="18"/>
              </w:rPr>
              <w:t>17.49%</w:t>
            </w:r>
          </w:p>
        </w:tc>
      </w:tr>
      <w:tr w:rsidR="00874916" w:rsidRPr="002C524B" w14:paraId="18C1E8C9" w14:textId="77777777" w:rsidTr="00EA28C4">
        <w:trPr>
          <w:trHeight w:val="480"/>
        </w:trPr>
        <w:tc>
          <w:tcPr>
            <w:tcW w:w="622" w:type="pct"/>
            <w:shd w:val="clear" w:color="auto" w:fill="auto"/>
            <w:vAlign w:val="center"/>
            <w:hideMark/>
          </w:tcPr>
          <w:p w14:paraId="3DE2E892" w14:textId="77777777" w:rsidR="00874916" w:rsidRPr="002C524B" w:rsidRDefault="00874916" w:rsidP="00EA28C4">
            <w:pPr>
              <w:jc w:val="center"/>
              <w:rPr>
                <w:rFonts w:eastAsia="Arial Unicode MS"/>
                <w:sz w:val="18"/>
                <w:szCs w:val="18"/>
              </w:rPr>
            </w:pPr>
            <w:r w:rsidRPr="002C524B">
              <w:rPr>
                <w:rFonts w:eastAsia="Arial Unicode MS"/>
                <w:sz w:val="18"/>
                <w:szCs w:val="18"/>
              </w:rPr>
              <w:t>United Kingdom</w:t>
            </w:r>
          </w:p>
        </w:tc>
        <w:tc>
          <w:tcPr>
            <w:tcW w:w="560" w:type="pct"/>
            <w:shd w:val="clear" w:color="auto" w:fill="auto"/>
            <w:vAlign w:val="center"/>
            <w:hideMark/>
          </w:tcPr>
          <w:p w14:paraId="450102A7" w14:textId="77777777" w:rsidR="00874916" w:rsidRPr="002C524B" w:rsidRDefault="00874916" w:rsidP="00EA28C4">
            <w:pPr>
              <w:jc w:val="center"/>
              <w:rPr>
                <w:rFonts w:eastAsia="Arial Unicode MS"/>
                <w:sz w:val="18"/>
                <w:szCs w:val="18"/>
              </w:rPr>
            </w:pPr>
            <w:r w:rsidRPr="002C524B">
              <w:rPr>
                <w:rFonts w:eastAsia="Arial Unicode MS"/>
                <w:sz w:val="18"/>
                <w:szCs w:val="18"/>
              </w:rPr>
              <w:t>69.22</w:t>
            </w:r>
          </w:p>
        </w:tc>
        <w:tc>
          <w:tcPr>
            <w:tcW w:w="484" w:type="pct"/>
            <w:shd w:val="clear" w:color="auto" w:fill="auto"/>
            <w:noWrap/>
            <w:vAlign w:val="center"/>
            <w:hideMark/>
          </w:tcPr>
          <w:p w14:paraId="52CFA3CC" w14:textId="77777777" w:rsidR="00874916" w:rsidRPr="002C524B" w:rsidRDefault="00874916" w:rsidP="00EA28C4">
            <w:pPr>
              <w:jc w:val="center"/>
              <w:rPr>
                <w:rFonts w:eastAsia="Arial Unicode MS"/>
                <w:sz w:val="18"/>
                <w:szCs w:val="18"/>
              </w:rPr>
            </w:pPr>
            <w:r w:rsidRPr="002C524B">
              <w:rPr>
                <w:rFonts w:eastAsia="Arial Unicode MS"/>
                <w:sz w:val="18"/>
                <w:szCs w:val="18"/>
              </w:rPr>
              <w:t>16.57%</w:t>
            </w:r>
          </w:p>
        </w:tc>
        <w:tc>
          <w:tcPr>
            <w:tcW w:w="638" w:type="pct"/>
            <w:shd w:val="clear" w:color="auto" w:fill="auto"/>
            <w:vAlign w:val="center"/>
            <w:hideMark/>
          </w:tcPr>
          <w:p w14:paraId="02CBAEDE" w14:textId="77777777" w:rsidR="00874916" w:rsidRPr="002C524B" w:rsidRDefault="00874916" w:rsidP="00EA28C4">
            <w:pPr>
              <w:jc w:val="center"/>
              <w:rPr>
                <w:rFonts w:eastAsia="Arial Unicode MS"/>
                <w:sz w:val="18"/>
                <w:szCs w:val="18"/>
              </w:rPr>
            </w:pPr>
            <w:r w:rsidRPr="002C524B">
              <w:rPr>
                <w:rFonts w:eastAsia="Arial Unicode MS"/>
                <w:sz w:val="18"/>
                <w:szCs w:val="18"/>
              </w:rPr>
              <w:t>Egypt</w:t>
            </w:r>
          </w:p>
        </w:tc>
        <w:tc>
          <w:tcPr>
            <w:tcW w:w="563" w:type="pct"/>
            <w:shd w:val="clear" w:color="auto" w:fill="auto"/>
            <w:vAlign w:val="center"/>
            <w:hideMark/>
          </w:tcPr>
          <w:p w14:paraId="5B002163" w14:textId="77777777" w:rsidR="00874916" w:rsidRPr="002C524B" w:rsidRDefault="00874916" w:rsidP="00EA28C4">
            <w:pPr>
              <w:jc w:val="center"/>
              <w:rPr>
                <w:rFonts w:eastAsia="Arial Unicode MS"/>
                <w:sz w:val="18"/>
                <w:szCs w:val="18"/>
              </w:rPr>
            </w:pPr>
            <w:r w:rsidRPr="002C524B">
              <w:rPr>
                <w:rFonts w:eastAsia="Arial Unicode MS"/>
                <w:sz w:val="18"/>
                <w:szCs w:val="18"/>
              </w:rPr>
              <w:t>67.51</w:t>
            </w:r>
          </w:p>
        </w:tc>
        <w:tc>
          <w:tcPr>
            <w:tcW w:w="471" w:type="pct"/>
            <w:shd w:val="clear" w:color="auto" w:fill="auto"/>
            <w:noWrap/>
            <w:vAlign w:val="center"/>
            <w:hideMark/>
          </w:tcPr>
          <w:p w14:paraId="2F0DA949" w14:textId="77777777" w:rsidR="00874916" w:rsidRPr="002C524B" w:rsidRDefault="00874916" w:rsidP="00EA28C4">
            <w:pPr>
              <w:jc w:val="center"/>
              <w:rPr>
                <w:rFonts w:eastAsia="Arial Unicode MS"/>
                <w:sz w:val="18"/>
                <w:szCs w:val="18"/>
              </w:rPr>
            </w:pPr>
            <w:r w:rsidRPr="002C524B">
              <w:rPr>
                <w:rFonts w:eastAsia="Arial Unicode MS"/>
                <w:sz w:val="18"/>
                <w:szCs w:val="18"/>
              </w:rPr>
              <w:t>17.39%</w:t>
            </w:r>
          </w:p>
        </w:tc>
        <w:tc>
          <w:tcPr>
            <w:tcW w:w="729" w:type="pct"/>
            <w:shd w:val="clear" w:color="auto" w:fill="auto"/>
            <w:vAlign w:val="center"/>
            <w:hideMark/>
          </w:tcPr>
          <w:p w14:paraId="3A242997" w14:textId="77777777" w:rsidR="00874916" w:rsidRPr="002C524B" w:rsidRDefault="00874916" w:rsidP="00EA28C4">
            <w:pPr>
              <w:jc w:val="center"/>
              <w:rPr>
                <w:rFonts w:eastAsia="Arial Unicode MS"/>
                <w:sz w:val="18"/>
                <w:szCs w:val="18"/>
              </w:rPr>
            </w:pPr>
            <w:r w:rsidRPr="002C524B">
              <w:rPr>
                <w:rFonts w:eastAsia="Arial Unicode MS"/>
                <w:sz w:val="18"/>
                <w:szCs w:val="18"/>
              </w:rPr>
              <w:t>United Kingdom</w:t>
            </w:r>
          </w:p>
        </w:tc>
        <w:tc>
          <w:tcPr>
            <w:tcW w:w="479" w:type="pct"/>
            <w:shd w:val="clear" w:color="auto" w:fill="auto"/>
            <w:vAlign w:val="center"/>
            <w:hideMark/>
          </w:tcPr>
          <w:p w14:paraId="185C580E" w14:textId="77777777" w:rsidR="00874916" w:rsidRPr="002C524B" w:rsidRDefault="00874916" w:rsidP="00EA28C4">
            <w:pPr>
              <w:jc w:val="center"/>
              <w:rPr>
                <w:rFonts w:eastAsia="Arial Unicode MS"/>
                <w:sz w:val="18"/>
                <w:szCs w:val="18"/>
              </w:rPr>
            </w:pPr>
            <w:r w:rsidRPr="002C524B">
              <w:rPr>
                <w:rFonts w:eastAsia="Arial Unicode MS"/>
                <w:sz w:val="18"/>
                <w:szCs w:val="18"/>
              </w:rPr>
              <w:t>57.42</w:t>
            </w:r>
          </w:p>
        </w:tc>
        <w:tc>
          <w:tcPr>
            <w:tcW w:w="455" w:type="pct"/>
            <w:shd w:val="clear" w:color="auto" w:fill="auto"/>
            <w:noWrap/>
            <w:vAlign w:val="center"/>
            <w:hideMark/>
          </w:tcPr>
          <w:p w14:paraId="29AACE87" w14:textId="77777777" w:rsidR="00874916" w:rsidRPr="002C524B" w:rsidRDefault="00874916" w:rsidP="00EA28C4">
            <w:pPr>
              <w:jc w:val="center"/>
              <w:rPr>
                <w:rFonts w:eastAsia="Arial Unicode MS"/>
                <w:sz w:val="18"/>
                <w:szCs w:val="18"/>
              </w:rPr>
            </w:pPr>
            <w:r w:rsidRPr="002C524B">
              <w:rPr>
                <w:rFonts w:eastAsia="Arial Unicode MS"/>
                <w:sz w:val="18"/>
                <w:szCs w:val="18"/>
              </w:rPr>
              <w:t>15.10%</w:t>
            </w:r>
          </w:p>
        </w:tc>
      </w:tr>
      <w:tr w:rsidR="00874916" w:rsidRPr="002C524B" w14:paraId="50B36B82" w14:textId="77777777" w:rsidTr="00EA28C4">
        <w:trPr>
          <w:trHeight w:val="349"/>
        </w:trPr>
        <w:tc>
          <w:tcPr>
            <w:tcW w:w="622" w:type="pct"/>
            <w:shd w:val="clear" w:color="auto" w:fill="auto"/>
            <w:vAlign w:val="center"/>
            <w:hideMark/>
          </w:tcPr>
          <w:p w14:paraId="620C3565" w14:textId="77777777" w:rsidR="00874916" w:rsidRPr="002C524B" w:rsidRDefault="00874916" w:rsidP="00EA28C4">
            <w:pPr>
              <w:jc w:val="center"/>
              <w:rPr>
                <w:rFonts w:eastAsia="Arial Unicode MS"/>
                <w:sz w:val="18"/>
                <w:szCs w:val="18"/>
              </w:rPr>
            </w:pPr>
            <w:r w:rsidRPr="002C524B">
              <w:rPr>
                <w:rFonts w:eastAsia="Arial Unicode MS"/>
                <w:sz w:val="18"/>
                <w:szCs w:val="18"/>
              </w:rPr>
              <w:t>Afghanistan</w:t>
            </w:r>
          </w:p>
        </w:tc>
        <w:tc>
          <w:tcPr>
            <w:tcW w:w="560" w:type="pct"/>
            <w:shd w:val="clear" w:color="auto" w:fill="auto"/>
            <w:vAlign w:val="center"/>
            <w:hideMark/>
          </w:tcPr>
          <w:p w14:paraId="09693D62" w14:textId="77777777" w:rsidR="00874916" w:rsidRPr="002C524B" w:rsidRDefault="00874916" w:rsidP="00EA28C4">
            <w:pPr>
              <w:jc w:val="center"/>
              <w:rPr>
                <w:rFonts w:eastAsia="Arial Unicode MS"/>
                <w:sz w:val="18"/>
                <w:szCs w:val="18"/>
              </w:rPr>
            </w:pPr>
            <w:r w:rsidRPr="002C524B">
              <w:rPr>
                <w:rFonts w:eastAsia="Arial Unicode MS"/>
                <w:sz w:val="18"/>
                <w:szCs w:val="18"/>
              </w:rPr>
              <w:t>49.05</w:t>
            </w:r>
          </w:p>
        </w:tc>
        <w:tc>
          <w:tcPr>
            <w:tcW w:w="484" w:type="pct"/>
            <w:shd w:val="clear" w:color="auto" w:fill="auto"/>
            <w:noWrap/>
            <w:vAlign w:val="center"/>
            <w:hideMark/>
          </w:tcPr>
          <w:p w14:paraId="25649C57" w14:textId="77777777" w:rsidR="00874916" w:rsidRPr="002C524B" w:rsidRDefault="00874916" w:rsidP="00EA28C4">
            <w:pPr>
              <w:jc w:val="center"/>
              <w:rPr>
                <w:rFonts w:eastAsia="Arial Unicode MS"/>
                <w:sz w:val="18"/>
                <w:szCs w:val="18"/>
              </w:rPr>
            </w:pPr>
            <w:r w:rsidRPr="002C524B">
              <w:rPr>
                <w:rFonts w:eastAsia="Arial Unicode MS"/>
                <w:sz w:val="18"/>
                <w:szCs w:val="18"/>
              </w:rPr>
              <w:t>11.74%</w:t>
            </w:r>
          </w:p>
        </w:tc>
        <w:tc>
          <w:tcPr>
            <w:tcW w:w="638" w:type="pct"/>
            <w:shd w:val="clear" w:color="auto" w:fill="auto"/>
            <w:vAlign w:val="center"/>
            <w:hideMark/>
          </w:tcPr>
          <w:p w14:paraId="1FCE70E0" w14:textId="77777777" w:rsidR="00874916" w:rsidRPr="002C524B" w:rsidRDefault="00874916" w:rsidP="00EA28C4">
            <w:pPr>
              <w:jc w:val="center"/>
              <w:rPr>
                <w:rFonts w:eastAsia="Arial Unicode MS"/>
                <w:sz w:val="18"/>
                <w:szCs w:val="18"/>
              </w:rPr>
            </w:pPr>
            <w:r w:rsidRPr="002C524B">
              <w:rPr>
                <w:rFonts w:eastAsia="Arial Unicode MS"/>
                <w:sz w:val="18"/>
                <w:szCs w:val="18"/>
              </w:rPr>
              <w:t>Afghanistan</w:t>
            </w:r>
          </w:p>
        </w:tc>
        <w:tc>
          <w:tcPr>
            <w:tcW w:w="563" w:type="pct"/>
            <w:shd w:val="clear" w:color="auto" w:fill="auto"/>
            <w:vAlign w:val="center"/>
            <w:hideMark/>
          </w:tcPr>
          <w:p w14:paraId="4DCD0EDA" w14:textId="77777777" w:rsidR="00874916" w:rsidRPr="002C524B" w:rsidRDefault="00874916" w:rsidP="00EA28C4">
            <w:pPr>
              <w:jc w:val="center"/>
              <w:rPr>
                <w:rFonts w:eastAsia="Arial Unicode MS"/>
                <w:sz w:val="18"/>
                <w:szCs w:val="18"/>
              </w:rPr>
            </w:pPr>
            <w:r w:rsidRPr="002C524B">
              <w:rPr>
                <w:rFonts w:eastAsia="Arial Unicode MS"/>
                <w:sz w:val="18"/>
                <w:szCs w:val="18"/>
              </w:rPr>
              <w:t>46.07</w:t>
            </w:r>
          </w:p>
        </w:tc>
        <w:tc>
          <w:tcPr>
            <w:tcW w:w="471" w:type="pct"/>
            <w:shd w:val="clear" w:color="auto" w:fill="auto"/>
            <w:noWrap/>
            <w:vAlign w:val="center"/>
            <w:hideMark/>
          </w:tcPr>
          <w:p w14:paraId="4EBF93FE" w14:textId="77777777" w:rsidR="00874916" w:rsidRPr="002C524B" w:rsidRDefault="00874916" w:rsidP="00EA28C4">
            <w:pPr>
              <w:jc w:val="center"/>
              <w:rPr>
                <w:rFonts w:eastAsia="Arial Unicode MS"/>
                <w:sz w:val="18"/>
                <w:szCs w:val="18"/>
              </w:rPr>
            </w:pPr>
            <w:r w:rsidRPr="002C524B">
              <w:rPr>
                <w:rFonts w:eastAsia="Arial Unicode MS"/>
                <w:sz w:val="18"/>
                <w:szCs w:val="18"/>
              </w:rPr>
              <w:t>11.86%</w:t>
            </w:r>
          </w:p>
        </w:tc>
        <w:tc>
          <w:tcPr>
            <w:tcW w:w="729" w:type="pct"/>
            <w:shd w:val="clear" w:color="auto" w:fill="auto"/>
            <w:vAlign w:val="center"/>
            <w:hideMark/>
          </w:tcPr>
          <w:p w14:paraId="269D461A" w14:textId="77777777" w:rsidR="00874916" w:rsidRPr="002C524B" w:rsidRDefault="00874916" w:rsidP="00EA28C4">
            <w:pPr>
              <w:jc w:val="center"/>
              <w:rPr>
                <w:rFonts w:eastAsia="Arial Unicode MS"/>
                <w:sz w:val="18"/>
                <w:szCs w:val="18"/>
              </w:rPr>
            </w:pPr>
            <w:r w:rsidRPr="002C524B">
              <w:rPr>
                <w:rFonts w:eastAsia="Arial Unicode MS"/>
                <w:sz w:val="18"/>
                <w:szCs w:val="18"/>
              </w:rPr>
              <w:t>Afghanistan</w:t>
            </w:r>
          </w:p>
        </w:tc>
        <w:tc>
          <w:tcPr>
            <w:tcW w:w="479" w:type="pct"/>
            <w:shd w:val="clear" w:color="auto" w:fill="auto"/>
            <w:vAlign w:val="center"/>
            <w:hideMark/>
          </w:tcPr>
          <w:p w14:paraId="7A970A37" w14:textId="77777777" w:rsidR="00874916" w:rsidRPr="002C524B" w:rsidRDefault="00874916" w:rsidP="00EA28C4">
            <w:pPr>
              <w:jc w:val="center"/>
              <w:rPr>
                <w:rFonts w:eastAsia="Arial Unicode MS"/>
                <w:sz w:val="18"/>
                <w:szCs w:val="18"/>
              </w:rPr>
            </w:pPr>
            <w:r w:rsidRPr="002C524B">
              <w:rPr>
                <w:rFonts w:eastAsia="Arial Unicode MS"/>
                <w:sz w:val="18"/>
                <w:szCs w:val="18"/>
              </w:rPr>
              <w:t>41.79</w:t>
            </w:r>
          </w:p>
        </w:tc>
        <w:tc>
          <w:tcPr>
            <w:tcW w:w="455" w:type="pct"/>
            <w:shd w:val="clear" w:color="auto" w:fill="auto"/>
            <w:noWrap/>
            <w:vAlign w:val="center"/>
            <w:hideMark/>
          </w:tcPr>
          <w:p w14:paraId="0F6FD7B8" w14:textId="77777777" w:rsidR="00874916" w:rsidRPr="002C524B" w:rsidRDefault="00874916" w:rsidP="00EA28C4">
            <w:pPr>
              <w:jc w:val="center"/>
              <w:rPr>
                <w:rFonts w:eastAsia="Arial Unicode MS"/>
                <w:sz w:val="18"/>
                <w:szCs w:val="18"/>
              </w:rPr>
            </w:pPr>
            <w:r w:rsidRPr="002C524B">
              <w:rPr>
                <w:rFonts w:eastAsia="Arial Unicode MS"/>
                <w:sz w:val="18"/>
                <w:szCs w:val="18"/>
              </w:rPr>
              <w:t>10.99%</w:t>
            </w:r>
          </w:p>
        </w:tc>
      </w:tr>
      <w:tr w:rsidR="00874916" w:rsidRPr="002C524B" w14:paraId="7591342C" w14:textId="77777777" w:rsidTr="00EA28C4">
        <w:trPr>
          <w:trHeight w:val="720"/>
        </w:trPr>
        <w:tc>
          <w:tcPr>
            <w:tcW w:w="622" w:type="pct"/>
            <w:shd w:val="clear" w:color="auto" w:fill="auto"/>
            <w:vAlign w:val="center"/>
            <w:hideMark/>
          </w:tcPr>
          <w:p w14:paraId="0E3046E0" w14:textId="77777777" w:rsidR="00874916" w:rsidRPr="002C524B" w:rsidRDefault="00874916" w:rsidP="00EA28C4">
            <w:pPr>
              <w:jc w:val="center"/>
              <w:rPr>
                <w:rFonts w:eastAsia="Arial Unicode MS"/>
                <w:sz w:val="18"/>
                <w:szCs w:val="18"/>
              </w:rPr>
            </w:pPr>
            <w:r w:rsidRPr="002C524B">
              <w:rPr>
                <w:rFonts w:eastAsia="Arial Unicode MS"/>
                <w:sz w:val="18"/>
                <w:szCs w:val="18"/>
              </w:rPr>
              <w:t>Sudan (before 2012)</w:t>
            </w:r>
          </w:p>
        </w:tc>
        <w:tc>
          <w:tcPr>
            <w:tcW w:w="560" w:type="pct"/>
            <w:shd w:val="clear" w:color="auto" w:fill="auto"/>
            <w:vAlign w:val="center"/>
            <w:hideMark/>
          </w:tcPr>
          <w:p w14:paraId="6D1BC162" w14:textId="77777777" w:rsidR="00874916" w:rsidRPr="002C524B" w:rsidRDefault="00874916" w:rsidP="00EA28C4">
            <w:pPr>
              <w:jc w:val="center"/>
              <w:rPr>
                <w:rFonts w:eastAsia="Arial Unicode MS"/>
                <w:sz w:val="18"/>
                <w:szCs w:val="18"/>
              </w:rPr>
            </w:pPr>
            <w:r w:rsidRPr="002C524B">
              <w:rPr>
                <w:rFonts w:eastAsia="Arial Unicode MS"/>
                <w:sz w:val="18"/>
                <w:szCs w:val="18"/>
              </w:rPr>
              <w:t>32.51</w:t>
            </w:r>
          </w:p>
        </w:tc>
        <w:tc>
          <w:tcPr>
            <w:tcW w:w="484" w:type="pct"/>
            <w:shd w:val="clear" w:color="auto" w:fill="auto"/>
            <w:noWrap/>
            <w:vAlign w:val="center"/>
            <w:hideMark/>
          </w:tcPr>
          <w:p w14:paraId="5CD6CDC7" w14:textId="77777777" w:rsidR="00874916" w:rsidRPr="002C524B" w:rsidRDefault="00874916" w:rsidP="00EA28C4">
            <w:pPr>
              <w:jc w:val="center"/>
              <w:rPr>
                <w:rFonts w:eastAsia="Arial Unicode MS"/>
                <w:sz w:val="18"/>
                <w:szCs w:val="18"/>
              </w:rPr>
            </w:pPr>
            <w:r w:rsidRPr="002C524B">
              <w:rPr>
                <w:rFonts w:eastAsia="Arial Unicode MS"/>
                <w:sz w:val="18"/>
                <w:szCs w:val="18"/>
              </w:rPr>
              <w:t>7.78%</w:t>
            </w:r>
          </w:p>
        </w:tc>
        <w:tc>
          <w:tcPr>
            <w:tcW w:w="638" w:type="pct"/>
            <w:shd w:val="clear" w:color="auto" w:fill="auto"/>
            <w:vAlign w:val="center"/>
            <w:hideMark/>
          </w:tcPr>
          <w:p w14:paraId="37A12AD4" w14:textId="77777777" w:rsidR="00874916" w:rsidRPr="002C524B" w:rsidRDefault="00874916" w:rsidP="00EA28C4">
            <w:pPr>
              <w:jc w:val="center"/>
              <w:rPr>
                <w:rFonts w:eastAsia="Arial Unicode MS"/>
                <w:sz w:val="18"/>
                <w:szCs w:val="18"/>
              </w:rPr>
            </w:pPr>
            <w:r w:rsidRPr="002C524B">
              <w:rPr>
                <w:rFonts w:eastAsia="Arial Unicode MS"/>
                <w:sz w:val="18"/>
                <w:szCs w:val="18"/>
              </w:rPr>
              <w:t>Sudan (before 2012)</w:t>
            </w:r>
          </w:p>
        </w:tc>
        <w:tc>
          <w:tcPr>
            <w:tcW w:w="563" w:type="pct"/>
            <w:shd w:val="clear" w:color="auto" w:fill="auto"/>
            <w:vAlign w:val="center"/>
            <w:hideMark/>
          </w:tcPr>
          <w:p w14:paraId="3CF4D132" w14:textId="77777777" w:rsidR="00874916" w:rsidRPr="002C524B" w:rsidRDefault="00874916" w:rsidP="00EA28C4">
            <w:pPr>
              <w:jc w:val="center"/>
              <w:rPr>
                <w:rFonts w:eastAsia="Arial Unicode MS"/>
                <w:sz w:val="18"/>
                <w:szCs w:val="18"/>
              </w:rPr>
            </w:pPr>
            <w:r w:rsidRPr="002C524B">
              <w:rPr>
                <w:rFonts w:eastAsia="Arial Unicode MS"/>
                <w:sz w:val="18"/>
                <w:szCs w:val="18"/>
              </w:rPr>
              <w:t>24.75</w:t>
            </w:r>
          </w:p>
        </w:tc>
        <w:tc>
          <w:tcPr>
            <w:tcW w:w="471" w:type="pct"/>
            <w:shd w:val="clear" w:color="auto" w:fill="auto"/>
            <w:noWrap/>
            <w:vAlign w:val="center"/>
            <w:hideMark/>
          </w:tcPr>
          <w:p w14:paraId="170A3E43" w14:textId="77777777" w:rsidR="00874916" w:rsidRPr="002C524B" w:rsidRDefault="00874916" w:rsidP="00EA28C4">
            <w:pPr>
              <w:jc w:val="center"/>
              <w:rPr>
                <w:rFonts w:eastAsia="Arial Unicode MS"/>
                <w:sz w:val="18"/>
                <w:szCs w:val="18"/>
              </w:rPr>
            </w:pPr>
            <w:r w:rsidRPr="002C524B">
              <w:rPr>
                <w:rFonts w:eastAsia="Arial Unicode MS"/>
                <w:sz w:val="18"/>
                <w:szCs w:val="18"/>
              </w:rPr>
              <w:t>6.37%</w:t>
            </w:r>
          </w:p>
        </w:tc>
        <w:tc>
          <w:tcPr>
            <w:tcW w:w="729" w:type="pct"/>
            <w:shd w:val="clear" w:color="auto" w:fill="auto"/>
            <w:vAlign w:val="center"/>
            <w:hideMark/>
          </w:tcPr>
          <w:p w14:paraId="7F0354AC" w14:textId="77777777" w:rsidR="00874916" w:rsidRPr="002C524B" w:rsidRDefault="00874916" w:rsidP="00EA28C4">
            <w:pPr>
              <w:jc w:val="center"/>
              <w:rPr>
                <w:rFonts w:eastAsia="Arial Unicode MS"/>
                <w:sz w:val="18"/>
                <w:szCs w:val="18"/>
              </w:rPr>
            </w:pPr>
            <w:r w:rsidRPr="002C524B">
              <w:rPr>
                <w:rFonts w:eastAsia="Arial Unicode MS"/>
                <w:sz w:val="18"/>
                <w:szCs w:val="18"/>
              </w:rPr>
              <w:t>Sudan</w:t>
            </w:r>
          </w:p>
        </w:tc>
        <w:tc>
          <w:tcPr>
            <w:tcW w:w="479" w:type="pct"/>
            <w:shd w:val="clear" w:color="auto" w:fill="auto"/>
            <w:vAlign w:val="center"/>
            <w:hideMark/>
          </w:tcPr>
          <w:p w14:paraId="3DD43D80" w14:textId="77777777" w:rsidR="00874916" w:rsidRPr="002C524B" w:rsidRDefault="00874916" w:rsidP="00EA28C4">
            <w:pPr>
              <w:jc w:val="center"/>
              <w:rPr>
                <w:rFonts w:eastAsia="Arial Unicode MS"/>
                <w:sz w:val="18"/>
                <w:szCs w:val="18"/>
              </w:rPr>
            </w:pPr>
            <w:r w:rsidRPr="002C524B">
              <w:rPr>
                <w:rFonts w:eastAsia="Arial Unicode MS"/>
                <w:sz w:val="18"/>
                <w:szCs w:val="18"/>
              </w:rPr>
              <w:t>22.97</w:t>
            </w:r>
          </w:p>
        </w:tc>
        <w:tc>
          <w:tcPr>
            <w:tcW w:w="455" w:type="pct"/>
            <w:shd w:val="clear" w:color="auto" w:fill="auto"/>
            <w:noWrap/>
            <w:vAlign w:val="center"/>
            <w:hideMark/>
          </w:tcPr>
          <w:p w14:paraId="12482A73" w14:textId="77777777" w:rsidR="00874916" w:rsidRPr="002C524B" w:rsidRDefault="00874916" w:rsidP="00EA28C4">
            <w:pPr>
              <w:jc w:val="center"/>
              <w:rPr>
                <w:rFonts w:eastAsia="Arial Unicode MS"/>
                <w:sz w:val="18"/>
                <w:szCs w:val="18"/>
              </w:rPr>
            </w:pPr>
            <w:r w:rsidRPr="002C524B">
              <w:rPr>
                <w:rFonts w:eastAsia="Arial Unicode MS"/>
                <w:sz w:val="18"/>
                <w:szCs w:val="18"/>
              </w:rPr>
              <w:t>6.04%</w:t>
            </w:r>
          </w:p>
        </w:tc>
      </w:tr>
      <w:tr w:rsidR="00874916" w:rsidRPr="002C524B" w14:paraId="2DB8A689" w14:textId="77777777" w:rsidTr="00EA28C4">
        <w:trPr>
          <w:trHeight w:val="720"/>
        </w:trPr>
        <w:tc>
          <w:tcPr>
            <w:tcW w:w="622" w:type="pct"/>
            <w:shd w:val="clear" w:color="auto" w:fill="auto"/>
            <w:vAlign w:val="center"/>
            <w:hideMark/>
          </w:tcPr>
          <w:p w14:paraId="5E8B773D" w14:textId="77777777" w:rsidR="00874916" w:rsidRPr="002C524B" w:rsidRDefault="00874916" w:rsidP="00EA28C4">
            <w:pPr>
              <w:jc w:val="center"/>
              <w:rPr>
                <w:rFonts w:eastAsia="Arial Unicode MS"/>
                <w:sz w:val="18"/>
                <w:szCs w:val="18"/>
              </w:rPr>
            </w:pPr>
            <w:r w:rsidRPr="002C524B">
              <w:rPr>
                <w:rFonts w:eastAsia="Arial Unicode MS"/>
                <w:sz w:val="18"/>
                <w:szCs w:val="18"/>
              </w:rPr>
              <w:t>United Arab Emirates</w:t>
            </w:r>
          </w:p>
        </w:tc>
        <w:tc>
          <w:tcPr>
            <w:tcW w:w="560" w:type="pct"/>
            <w:shd w:val="clear" w:color="auto" w:fill="auto"/>
            <w:vAlign w:val="center"/>
            <w:hideMark/>
          </w:tcPr>
          <w:p w14:paraId="276A57B9" w14:textId="77777777" w:rsidR="00874916" w:rsidRPr="002C524B" w:rsidRDefault="00874916" w:rsidP="00EA28C4">
            <w:pPr>
              <w:jc w:val="center"/>
              <w:rPr>
                <w:rFonts w:eastAsia="Arial Unicode MS"/>
                <w:sz w:val="18"/>
                <w:szCs w:val="18"/>
              </w:rPr>
            </w:pPr>
            <w:r w:rsidRPr="002C524B">
              <w:rPr>
                <w:rFonts w:eastAsia="Arial Unicode MS"/>
                <w:sz w:val="18"/>
                <w:szCs w:val="18"/>
              </w:rPr>
              <w:t>21.09</w:t>
            </w:r>
          </w:p>
        </w:tc>
        <w:tc>
          <w:tcPr>
            <w:tcW w:w="484" w:type="pct"/>
            <w:shd w:val="clear" w:color="auto" w:fill="auto"/>
            <w:noWrap/>
            <w:vAlign w:val="center"/>
            <w:hideMark/>
          </w:tcPr>
          <w:p w14:paraId="35B411A6" w14:textId="77777777" w:rsidR="00874916" w:rsidRPr="002C524B" w:rsidRDefault="00874916" w:rsidP="00EA28C4">
            <w:pPr>
              <w:jc w:val="center"/>
              <w:rPr>
                <w:rFonts w:eastAsia="Arial Unicode MS"/>
                <w:sz w:val="18"/>
                <w:szCs w:val="18"/>
              </w:rPr>
            </w:pPr>
            <w:r w:rsidRPr="002C524B">
              <w:rPr>
                <w:rFonts w:eastAsia="Arial Unicode MS"/>
                <w:sz w:val="18"/>
                <w:szCs w:val="18"/>
              </w:rPr>
              <w:t>5.05%</w:t>
            </w:r>
          </w:p>
        </w:tc>
        <w:tc>
          <w:tcPr>
            <w:tcW w:w="638" w:type="pct"/>
            <w:shd w:val="clear" w:color="auto" w:fill="auto"/>
            <w:vAlign w:val="center"/>
            <w:hideMark/>
          </w:tcPr>
          <w:p w14:paraId="5815E50B" w14:textId="77777777" w:rsidR="00874916" w:rsidRPr="002C524B" w:rsidRDefault="00874916" w:rsidP="00EA28C4">
            <w:pPr>
              <w:jc w:val="center"/>
              <w:rPr>
                <w:rFonts w:eastAsia="Arial Unicode MS"/>
                <w:sz w:val="18"/>
                <w:szCs w:val="18"/>
              </w:rPr>
            </w:pPr>
            <w:r w:rsidRPr="002C524B">
              <w:rPr>
                <w:rFonts w:eastAsia="Arial Unicode MS"/>
                <w:sz w:val="18"/>
                <w:szCs w:val="18"/>
              </w:rPr>
              <w:t>United Arab Emirates</w:t>
            </w:r>
          </w:p>
        </w:tc>
        <w:tc>
          <w:tcPr>
            <w:tcW w:w="563" w:type="pct"/>
            <w:shd w:val="clear" w:color="auto" w:fill="auto"/>
            <w:vAlign w:val="center"/>
            <w:hideMark/>
          </w:tcPr>
          <w:p w14:paraId="5B00CBBC" w14:textId="77777777" w:rsidR="00874916" w:rsidRPr="002C524B" w:rsidRDefault="00874916" w:rsidP="00EA28C4">
            <w:pPr>
              <w:jc w:val="center"/>
              <w:rPr>
                <w:rFonts w:eastAsia="Arial Unicode MS"/>
                <w:sz w:val="18"/>
                <w:szCs w:val="18"/>
              </w:rPr>
            </w:pPr>
            <w:r w:rsidRPr="002C524B">
              <w:rPr>
                <w:rFonts w:eastAsia="Arial Unicode MS"/>
                <w:sz w:val="18"/>
                <w:szCs w:val="18"/>
              </w:rPr>
              <w:t>19.99</w:t>
            </w:r>
          </w:p>
        </w:tc>
        <w:tc>
          <w:tcPr>
            <w:tcW w:w="471" w:type="pct"/>
            <w:shd w:val="clear" w:color="auto" w:fill="auto"/>
            <w:noWrap/>
            <w:vAlign w:val="center"/>
            <w:hideMark/>
          </w:tcPr>
          <w:p w14:paraId="4894C4FC" w14:textId="77777777" w:rsidR="00874916" w:rsidRPr="002C524B" w:rsidRDefault="00874916" w:rsidP="00EA28C4">
            <w:pPr>
              <w:jc w:val="center"/>
              <w:rPr>
                <w:rFonts w:eastAsia="Arial Unicode MS"/>
                <w:sz w:val="18"/>
                <w:szCs w:val="18"/>
              </w:rPr>
            </w:pPr>
            <w:r w:rsidRPr="002C524B">
              <w:rPr>
                <w:rFonts w:eastAsia="Arial Unicode MS"/>
                <w:sz w:val="18"/>
                <w:szCs w:val="18"/>
              </w:rPr>
              <w:t>5.15%</w:t>
            </w:r>
          </w:p>
        </w:tc>
        <w:tc>
          <w:tcPr>
            <w:tcW w:w="729" w:type="pct"/>
            <w:shd w:val="clear" w:color="auto" w:fill="auto"/>
            <w:vAlign w:val="center"/>
            <w:hideMark/>
          </w:tcPr>
          <w:p w14:paraId="0E55E1A6" w14:textId="77777777" w:rsidR="00874916" w:rsidRPr="002C524B" w:rsidRDefault="00874916" w:rsidP="00EA28C4">
            <w:pPr>
              <w:jc w:val="center"/>
              <w:rPr>
                <w:rFonts w:eastAsia="Arial Unicode MS"/>
                <w:sz w:val="18"/>
                <w:szCs w:val="18"/>
              </w:rPr>
            </w:pPr>
            <w:r w:rsidRPr="002C524B">
              <w:rPr>
                <w:rFonts w:eastAsia="Arial Unicode MS"/>
                <w:sz w:val="18"/>
                <w:szCs w:val="18"/>
              </w:rPr>
              <w:t>United Arab Emirates</w:t>
            </w:r>
          </w:p>
        </w:tc>
        <w:tc>
          <w:tcPr>
            <w:tcW w:w="479" w:type="pct"/>
            <w:shd w:val="clear" w:color="auto" w:fill="auto"/>
            <w:vAlign w:val="center"/>
            <w:hideMark/>
          </w:tcPr>
          <w:p w14:paraId="0FBE5894" w14:textId="77777777" w:rsidR="00874916" w:rsidRPr="002C524B" w:rsidRDefault="00874916" w:rsidP="00EA28C4">
            <w:pPr>
              <w:jc w:val="center"/>
              <w:rPr>
                <w:rFonts w:eastAsia="Arial Unicode MS"/>
                <w:sz w:val="18"/>
                <w:szCs w:val="18"/>
              </w:rPr>
            </w:pPr>
            <w:r w:rsidRPr="002C524B">
              <w:rPr>
                <w:rFonts w:eastAsia="Arial Unicode MS"/>
                <w:sz w:val="18"/>
                <w:szCs w:val="18"/>
              </w:rPr>
              <w:t>22.46</w:t>
            </w:r>
          </w:p>
        </w:tc>
        <w:tc>
          <w:tcPr>
            <w:tcW w:w="455" w:type="pct"/>
            <w:shd w:val="clear" w:color="auto" w:fill="auto"/>
            <w:noWrap/>
            <w:vAlign w:val="center"/>
            <w:hideMark/>
          </w:tcPr>
          <w:p w14:paraId="1458CCE2" w14:textId="77777777" w:rsidR="00874916" w:rsidRPr="002C524B" w:rsidRDefault="00874916" w:rsidP="00EA28C4">
            <w:pPr>
              <w:jc w:val="center"/>
              <w:rPr>
                <w:rFonts w:eastAsia="Arial Unicode MS"/>
                <w:sz w:val="18"/>
                <w:szCs w:val="18"/>
              </w:rPr>
            </w:pPr>
            <w:r w:rsidRPr="002C524B">
              <w:rPr>
                <w:rFonts w:eastAsia="Arial Unicode MS"/>
                <w:sz w:val="18"/>
                <w:szCs w:val="18"/>
              </w:rPr>
              <w:t>5.91%</w:t>
            </w:r>
          </w:p>
        </w:tc>
      </w:tr>
      <w:tr w:rsidR="00874916" w:rsidRPr="002C524B" w14:paraId="5754CA45" w14:textId="77777777" w:rsidTr="00EA28C4">
        <w:trPr>
          <w:trHeight w:val="720"/>
        </w:trPr>
        <w:tc>
          <w:tcPr>
            <w:tcW w:w="622" w:type="pct"/>
            <w:shd w:val="clear" w:color="auto" w:fill="auto"/>
            <w:vAlign w:val="center"/>
            <w:hideMark/>
          </w:tcPr>
          <w:p w14:paraId="1FD9A499" w14:textId="77777777" w:rsidR="00874916" w:rsidRPr="002C524B" w:rsidRDefault="00874916" w:rsidP="00EA28C4">
            <w:pPr>
              <w:jc w:val="center"/>
              <w:rPr>
                <w:rFonts w:eastAsia="Arial Unicode MS"/>
                <w:sz w:val="18"/>
                <w:szCs w:val="18"/>
              </w:rPr>
            </w:pPr>
            <w:r w:rsidRPr="002C524B">
              <w:rPr>
                <w:rFonts w:eastAsia="Arial Unicode MS"/>
                <w:sz w:val="18"/>
                <w:szCs w:val="18"/>
              </w:rPr>
              <w:t>Yemen</w:t>
            </w:r>
          </w:p>
        </w:tc>
        <w:tc>
          <w:tcPr>
            <w:tcW w:w="560" w:type="pct"/>
            <w:shd w:val="clear" w:color="auto" w:fill="auto"/>
            <w:vAlign w:val="center"/>
            <w:hideMark/>
          </w:tcPr>
          <w:p w14:paraId="7B8C385A" w14:textId="77777777" w:rsidR="00874916" w:rsidRPr="002C524B" w:rsidRDefault="00874916" w:rsidP="00EA28C4">
            <w:pPr>
              <w:jc w:val="center"/>
              <w:rPr>
                <w:rFonts w:eastAsia="Arial Unicode MS"/>
                <w:sz w:val="18"/>
                <w:szCs w:val="18"/>
              </w:rPr>
            </w:pPr>
            <w:r w:rsidRPr="002C524B">
              <w:rPr>
                <w:rFonts w:eastAsia="Arial Unicode MS"/>
                <w:sz w:val="18"/>
                <w:szCs w:val="18"/>
              </w:rPr>
              <w:t>18.18</w:t>
            </w:r>
          </w:p>
        </w:tc>
        <w:tc>
          <w:tcPr>
            <w:tcW w:w="484" w:type="pct"/>
            <w:shd w:val="clear" w:color="auto" w:fill="auto"/>
            <w:noWrap/>
            <w:vAlign w:val="center"/>
            <w:hideMark/>
          </w:tcPr>
          <w:p w14:paraId="4D5ACC6E" w14:textId="77777777" w:rsidR="00874916" w:rsidRPr="002C524B" w:rsidRDefault="00874916" w:rsidP="00EA28C4">
            <w:pPr>
              <w:jc w:val="center"/>
              <w:rPr>
                <w:rFonts w:eastAsia="Arial Unicode MS"/>
                <w:sz w:val="18"/>
                <w:szCs w:val="18"/>
              </w:rPr>
            </w:pPr>
            <w:r w:rsidRPr="002C524B">
              <w:rPr>
                <w:rFonts w:eastAsia="Arial Unicode MS"/>
                <w:sz w:val="18"/>
                <w:szCs w:val="18"/>
              </w:rPr>
              <w:t>4.35%</w:t>
            </w:r>
          </w:p>
        </w:tc>
        <w:tc>
          <w:tcPr>
            <w:tcW w:w="638" w:type="pct"/>
            <w:shd w:val="clear" w:color="auto" w:fill="auto"/>
            <w:vAlign w:val="center"/>
            <w:hideMark/>
          </w:tcPr>
          <w:p w14:paraId="2F617BFE" w14:textId="77777777" w:rsidR="00874916" w:rsidRPr="002C524B" w:rsidRDefault="00874916" w:rsidP="00EA28C4">
            <w:pPr>
              <w:jc w:val="center"/>
              <w:rPr>
                <w:rFonts w:eastAsia="Arial Unicode MS"/>
                <w:sz w:val="18"/>
                <w:szCs w:val="18"/>
              </w:rPr>
            </w:pPr>
            <w:r w:rsidRPr="002C524B">
              <w:rPr>
                <w:rFonts w:eastAsia="Arial Unicode MS"/>
                <w:sz w:val="18"/>
                <w:szCs w:val="18"/>
              </w:rPr>
              <w:t>Russian Federation</w:t>
            </w:r>
          </w:p>
        </w:tc>
        <w:tc>
          <w:tcPr>
            <w:tcW w:w="563" w:type="pct"/>
            <w:shd w:val="clear" w:color="auto" w:fill="auto"/>
            <w:vAlign w:val="center"/>
            <w:hideMark/>
          </w:tcPr>
          <w:p w14:paraId="49DE858E" w14:textId="77777777" w:rsidR="00874916" w:rsidRPr="002C524B" w:rsidRDefault="00874916" w:rsidP="00EA28C4">
            <w:pPr>
              <w:jc w:val="center"/>
              <w:rPr>
                <w:rFonts w:eastAsia="Arial Unicode MS"/>
                <w:sz w:val="18"/>
                <w:szCs w:val="18"/>
              </w:rPr>
            </w:pPr>
            <w:r w:rsidRPr="002C524B">
              <w:rPr>
                <w:rFonts w:eastAsia="Arial Unicode MS"/>
                <w:sz w:val="18"/>
                <w:szCs w:val="18"/>
              </w:rPr>
              <w:t>15.80</w:t>
            </w:r>
          </w:p>
        </w:tc>
        <w:tc>
          <w:tcPr>
            <w:tcW w:w="471" w:type="pct"/>
            <w:shd w:val="clear" w:color="auto" w:fill="auto"/>
            <w:noWrap/>
            <w:vAlign w:val="center"/>
            <w:hideMark/>
          </w:tcPr>
          <w:p w14:paraId="78B680F5" w14:textId="77777777" w:rsidR="00874916" w:rsidRPr="002C524B" w:rsidRDefault="00874916" w:rsidP="00EA28C4">
            <w:pPr>
              <w:jc w:val="center"/>
              <w:rPr>
                <w:rFonts w:eastAsia="Arial Unicode MS"/>
                <w:sz w:val="18"/>
                <w:szCs w:val="18"/>
              </w:rPr>
            </w:pPr>
            <w:r w:rsidRPr="002C524B">
              <w:rPr>
                <w:rFonts w:eastAsia="Arial Unicode MS"/>
                <w:sz w:val="18"/>
                <w:szCs w:val="18"/>
              </w:rPr>
              <w:t>4.07%</w:t>
            </w:r>
          </w:p>
        </w:tc>
        <w:tc>
          <w:tcPr>
            <w:tcW w:w="729" w:type="pct"/>
            <w:shd w:val="clear" w:color="auto" w:fill="auto"/>
            <w:vAlign w:val="center"/>
            <w:hideMark/>
          </w:tcPr>
          <w:p w14:paraId="0C7E382F" w14:textId="77777777" w:rsidR="00874916" w:rsidRPr="002C524B" w:rsidRDefault="00874916" w:rsidP="00EA28C4">
            <w:pPr>
              <w:jc w:val="center"/>
              <w:rPr>
                <w:rFonts w:eastAsia="Arial Unicode MS"/>
                <w:sz w:val="18"/>
                <w:szCs w:val="18"/>
              </w:rPr>
            </w:pPr>
            <w:r w:rsidRPr="002C524B">
              <w:rPr>
                <w:rFonts w:eastAsia="Arial Unicode MS"/>
                <w:sz w:val="18"/>
                <w:szCs w:val="18"/>
              </w:rPr>
              <w:t>Russian Federation</w:t>
            </w:r>
          </w:p>
        </w:tc>
        <w:tc>
          <w:tcPr>
            <w:tcW w:w="479" w:type="pct"/>
            <w:shd w:val="clear" w:color="auto" w:fill="auto"/>
            <w:vAlign w:val="center"/>
            <w:hideMark/>
          </w:tcPr>
          <w:p w14:paraId="613E1C3E" w14:textId="77777777" w:rsidR="00874916" w:rsidRPr="002C524B" w:rsidRDefault="00874916" w:rsidP="00EA28C4">
            <w:pPr>
              <w:jc w:val="center"/>
              <w:rPr>
                <w:rFonts w:eastAsia="Arial Unicode MS"/>
                <w:sz w:val="18"/>
                <w:szCs w:val="18"/>
              </w:rPr>
            </w:pPr>
            <w:r w:rsidRPr="002C524B">
              <w:rPr>
                <w:rFonts w:eastAsia="Arial Unicode MS"/>
                <w:sz w:val="18"/>
                <w:szCs w:val="18"/>
              </w:rPr>
              <w:t>17.04</w:t>
            </w:r>
          </w:p>
        </w:tc>
        <w:tc>
          <w:tcPr>
            <w:tcW w:w="455" w:type="pct"/>
            <w:shd w:val="clear" w:color="auto" w:fill="auto"/>
            <w:noWrap/>
            <w:vAlign w:val="center"/>
            <w:hideMark/>
          </w:tcPr>
          <w:p w14:paraId="26CE6711" w14:textId="77777777" w:rsidR="00874916" w:rsidRPr="002C524B" w:rsidRDefault="00874916" w:rsidP="00EA28C4">
            <w:pPr>
              <w:jc w:val="center"/>
              <w:rPr>
                <w:rFonts w:eastAsia="Arial Unicode MS"/>
                <w:sz w:val="18"/>
                <w:szCs w:val="18"/>
              </w:rPr>
            </w:pPr>
            <w:r w:rsidRPr="002C524B">
              <w:rPr>
                <w:rFonts w:eastAsia="Arial Unicode MS"/>
                <w:sz w:val="18"/>
                <w:szCs w:val="18"/>
              </w:rPr>
              <w:t>4.48%</w:t>
            </w:r>
          </w:p>
        </w:tc>
      </w:tr>
      <w:tr w:rsidR="00874916" w:rsidRPr="002C524B" w14:paraId="2A3BF397" w14:textId="77777777" w:rsidTr="00EA28C4">
        <w:trPr>
          <w:trHeight w:val="259"/>
        </w:trPr>
        <w:tc>
          <w:tcPr>
            <w:tcW w:w="622" w:type="pct"/>
            <w:shd w:val="clear" w:color="auto" w:fill="auto"/>
            <w:vAlign w:val="center"/>
            <w:hideMark/>
          </w:tcPr>
          <w:p w14:paraId="6AE0A3C3" w14:textId="77777777" w:rsidR="00874916" w:rsidRPr="002C524B" w:rsidRDefault="00874916" w:rsidP="00EA28C4">
            <w:pPr>
              <w:jc w:val="center"/>
              <w:rPr>
                <w:rFonts w:eastAsia="Arial Unicode MS"/>
                <w:sz w:val="18"/>
                <w:szCs w:val="18"/>
              </w:rPr>
            </w:pPr>
            <w:r w:rsidRPr="002C524B">
              <w:rPr>
                <w:rFonts w:eastAsia="Arial Unicode MS"/>
                <w:sz w:val="18"/>
                <w:szCs w:val="18"/>
              </w:rPr>
              <w:t>Russian Federation</w:t>
            </w:r>
          </w:p>
        </w:tc>
        <w:tc>
          <w:tcPr>
            <w:tcW w:w="560" w:type="pct"/>
            <w:shd w:val="clear" w:color="auto" w:fill="auto"/>
            <w:vAlign w:val="center"/>
            <w:hideMark/>
          </w:tcPr>
          <w:p w14:paraId="46F762DB" w14:textId="77777777" w:rsidR="00874916" w:rsidRPr="002C524B" w:rsidRDefault="00874916" w:rsidP="00EA28C4">
            <w:pPr>
              <w:jc w:val="center"/>
              <w:rPr>
                <w:rFonts w:eastAsia="Arial Unicode MS"/>
                <w:sz w:val="18"/>
                <w:szCs w:val="18"/>
              </w:rPr>
            </w:pPr>
            <w:r w:rsidRPr="002C524B">
              <w:rPr>
                <w:rFonts w:eastAsia="Arial Unicode MS"/>
                <w:sz w:val="18"/>
                <w:szCs w:val="18"/>
              </w:rPr>
              <w:t>15.33</w:t>
            </w:r>
          </w:p>
        </w:tc>
        <w:tc>
          <w:tcPr>
            <w:tcW w:w="484" w:type="pct"/>
            <w:shd w:val="clear" w:color="auto" w:fill="auto"/>
            <w:noWrap/>
            <w:vAlign w:val="center"/>
            <w:hideMark/>
          </w:tcPr>
          <w:p w14:paraId="1B983E82" w14:textId="77777777" w:rsidR="00874916" w:rsidRPr="002C524B" w:rsidRDefault="00874916" w:rsidP="00EA28C4">
            <w:pPr>
              <w:jc w:val="center"/>
              <w:rPr>
                <w:rFonts w:eastAsia="Arial Unicode MS"/>
                <w:sz w:val="18"/>
                <w:szCs w:val="18"/>
              </w:rPr>
            </w:pPr>
            <w:r w:rsidRPr="002C524B">
              <w:rPr>
                <w:rFonts w:eastAsia="Arial Unicode MS"/>
                <w:sz w:val="18"/>
                <w:szCs w:val="18"/>
              </w:rPr>
              <w:t>3.67%</w:t>
            </w:r>
          </w:p>
        </w:tc>
        <w:tc>
          <w:tcPr>
            <w:tcW w:w="638" w:type="pct"/>
            <w:shd w:val="clear" w:color="auto" w:fill="auto"/>
            <w:vAlign w:val="center"/>
            <w:hideMark/>
          </w:tcPr>
          <w:p w14:paraId="3AA2B7A0" w14:textId="77777777" w:rsidR="00874916" w:rsidRPr="002C524B" w:rsidRDefault="00874916" w:rsidP="00EA28C4">
            <w:pPr>
              <w:jc w:val="center"/>
              <w:rPr>
                <w:rFonts w:eastAsia="Arial Unicode MS"/>
                <w:sz w:val="18"/>
                <w:szCs w:val="18"/>
              </w:rPr>
            </w:pPr>
            <w:r w:rsidRPr="002C524B">
              <w:rPr>
                <w:rFonts w:eastAsia="Arial Unicode MS"/>
                <w:sz w:val="18"/>
                <w:szCs w:val="18"/>
              </w:rPr>
              <w:t>Yemen</w:t>
            </w:r>
          </w:p>
        </w:tc>
        <w:tc>
          <w:tcPr>
            <w:tcW w:w="563" w:type="pct"/>
            <w:shd w:val="clear" w:color="auto" w:fill="auto"/>
            <w:vAlign w:val="center"/>
            <w:hideMark/>
          </w:tcPr>
          <w:p w14:paraId="0F6B4A06" w14:textId="77777777" w:rsidR="00874916" w:rsidRPr="002C524B" w:rsidRDefault="00874916" w:rsidP="00EA28C4">
            <w:pPr>
              <w:jc w:val="center"/>
              <w:rPr>
                <w:rFonts w:eastAsia="Arial Unicode MS"/>
                <w:sz w:val="18"/>
                <w:szCs w:val="18"/>
              </w:rPr>
            </w:pPr>
            <w:r w:rsidRPr="002C524B">
              <w:rPr>
                <w:rFonts w:eastAsia="Arial Unicode MS"/>
                <w:sz w:val="18"/>
                <w:szCs w:val="18"/>
              </w:rPr>
              <w:t>15.66</w:t>
            </w:r>
          </w:p>
        </w:tc>
        <w:tc>
          <w:tcPr>
            <w:tcW w:w="471" w:type="pct"/>
            <w:shd w:val="clear" w:color="auto" w:fill="auto"/>
            <w:noWrap/>
            <w:vAlign w:val="center"/>
            <w:hideMark/>
          </w:tcPr>
          <w:p w14:paraId="220373F1" w14:textId="77777777" w:rsidR="00874916" w:rsidRPr="002C524B" w:rsidRDefault="00874916" w:rsidP="00EA28C4">
            <w:pPr>
              <w:jc w:val="center"/>
              <w:rPr>
                <w:rFonts w:eastAsia="Arial Unicode MS"/>
                <w:sz w:val="18"/>
                <w:szCs w:val="18"/>
              </w:rPr>
            </w:pPr>
            <w:r w:rsidRPr="002C524B">
              <w:rPr>
                <w:rFonts w:eastAsia="Arial Unicode MS"/>
                <w:sz w:val="18"/>
                <w:szCs w:val="18"/>
              </w:rPr>
              <w:t>4.03%</w:t>
            </w:r>
          </w:p>
        </w:tc>
        <w:tc>
          <w:tcPr>
            <w:tcW w:w="729" w:type="pct"/>
            <w:shd w:val="clear" w:color="auto" w:fill="auto"/>
            <w:vAlign w:val="center"/>
            <w:hideMark/>
          </w:tcPr>
          <w:p w14:paraId="79839B05" w14:textId="77777777" w:rsidR="00874916" w:rsidRPr="002C524B" w:rsidRDefault="00874916" w:rsidP="00EA28C4">
            <w:pPr>
              <w:jc w:val="center"/>
              <w:rPr>
                <w:rFonts w:eastAsia="Arial Unicode MS"/>
                <w:sz w:val="18"/>
                <w:szCs w:val="18"/>
              </w:rPr>
            </w:pPr>
            <w:r w:rsidRPr="002C524B">
              <w:rPr>
                <w:rFonts w:eastAsia="Arial Unicode MS"/>
                <w:sz w:val="18"/>
                <w:szCs w:val="18"/>
              </w:rPr>
              <w:t>Yemen</w:t>
            </w:r>
          </w:p>
        </w:tc>
        <w:tc>
          <w:tcPr>
            <w:tcW w:w="479" w:type="pct"/>
            <w:shd w:val="clear" w:color="auto" w:fill="auto"/>
            <w:vAlign w:val="center"/>
            <w:hideMark/>
          </w:tcPr>
          <w:p w14:paraId="48DF110B" w14:textId="77777777" w:rsidR="00874916" w:rsidRPr="002C524B" w:rsidRDefault="00874916" w:rsidP="00EA28C4">
            <w:pPr>
              <w:jc w:val="center"/>
              <w:rPr>
                <w:rFonts w:eastAsia="Arial Unicode MS"/>
                <w:sz w:val="18"/>
                <w:szCs w:val="18"/>
              </w:rPr>
            </w:pPr>
            <w:r w:rsidRPr="002C524B">
              <w:rPr>
                <w:rFonts w:eastAsia="Arial Unicode MS"/>
                <w:sz w:val="18"/>
                <w:szCs w:val="18"/>
              </w:rPr>
              <w:t>14.63</w:t>
            </w:r>
          </w:p>
        </w:tc>
        <w:tc>
          <w:tcPr>
            <w:tcW w:w="455" w:type="pct"/>
            <w:shd w:val="clear" w:color="auto" w:fill="auto"/>
            <w:noWrap/>
            <w:vAlign w:val="center"/>
            <w:hideMark/>
          </w:tcPr>
          <w:p w14:paraId="309DA126" w14:textId="77777777" w:rsidR="00874916" w:rsidRPr="002C524B" w:rsidRDefault="00874916" w:rsidP="00EA28C4">
            <w:pPr>
              <w:jc w:val="center"/>
              <w:rPr>
                <w:rFonts w:eastAsia="Arial Unicode MS"/>
                <w:sz w:val="18"/>
                <w:szCs w:val="18"/>
              </w:rPr>
            </w:pPr>
            <w:r w:rsidRPr="002C524B">
              <w:rPr>
                <w:rFonts w:eastAsia="Arial Unicode MS"/>
                <w:sz w:val="18"/>
                <w:szCs w:val="18"/>
              </w:rPr>
              <w:t>3.85%</w:t>
            </w:r>
          </w:p>
        </w:tc>
      </w:tr>
      <w:tr w:rsidR="00874916" w:rsidRPr="002C524B" w14:paraId="342782F1" w14:textId="77777777" w:rsidTr="00EA28C4">
        <w:trPr>
          <w:trHeight w:val="480"/>
        </w:trPr>
        <w:tc>
          <w:tcPr>
            <w:tcW w:w="622" w:type="pct"/>
            <w:shd w:val="clear" w:color="auto" w:fill="auto"/>
            <w:vAlign w:val="center"/>
            <w:hideMark/>
          </w:tcPr>
          <w:p w14:paraId="58FCB7F4" w14:textId="77777777" w:rsidR="00874916" w:rsidRPr="002C524B" w:rsidRDefault="00874916" w:rsidP="00EA28C4">
            <w:pPr>
              <w:jc w:val="center"/>
              <w:rPr>
                <w:rFonts w:eastAsia="Arial Unicode MS"/>
                <w:sz w:val="18"/>
                <w:szCs w:val="18"/>
              </w:rPr>
            </w:pPr>
            <w:r w:rsidRPr="002C524B">
              <w:rPr>
                <w:rFonts w:eastAsia="Arial Unicode MS"/>
                <w:sz w:val="18"/>
                <w:szCs w:val="18"/>
              </w:rPr>
              <w:t>Kazakhstan</w:t>
            </w:r>
          </w:p>
        </w:tc>
        <w:tc>
          <w:tcPr>
            <w:tcW w:w="560" w:type="pct"/>
            <w:shd w:val="clear" w:color="auto" w:fill="auto"/>
            <w:vAlign w:val="center"/>
            <w:hideMark/>
          </w:tcPr>
          <w:p w14:paraId="7229EC25" w14:textId="77777777" w:rsidR="00874916" w:rsidRPr="002C524B" w:rsidRDefault="00874916" w:rsidP="00EA28C4">
            <w:pPr>
              <w:jc w:val="center"/>
              <w:rPr>
                <w:rFonts w:eastAsia="Arial Unicode MS"/>
                <w:sz w:val="18"/>
                <w:szCs w:val="18"/>
              </w:rPr>
            </w:pPr>
            <w:r w:rsidRPr="002C524B">
              <w:rPr>
                <w:rFonts w:eastAsia="Arial Unicode MS"/>
                <w:sz w:val="18"/>
                <w:szCs w:val="18"/>
              </w:rPr>
              <w:t>10.30</w:t>
            </w:r>
          </w:p>
        </w:tc>
        <w:tc>
          <w:tcPr>
            <w:tcW w:w="484" w:type="pct"/>
            <w:shd w:val="clear" w:color="auto" w:fill="auto"/>
            <w:noWrap/>
            <w:vAlign w:val="center"/>
            <w:hideMark/>
          </w:tcPr>
          <w:p w14:paraId="4D5545D8" w14:textId="77777777" w:rsidR="00874916" w:rsidRPr="002C524B" w:rsidRDefault="00874916" w:rsidP="00EA28C4">
            <w:pPr>
              <w:jc w:val="center"/>
              <w:rPr>
                <w:rFonts w:eastAsia="Arial Unicode MS"/>
                <w:sz w:val="18"/>
                <w:szCs w:val="18"/>
              </w:rPr>
            </w:pPr>
            <w:r w:rsidRPr="002C524B">
              <w:rPr>
                <w:rFonts w:eastAsia="Arial Unicode MS"/>
                <w:sz w:val="18"/>
                <w:szCs w:val="18"/>
              </w:rPr>
              <w:t>2.47%</w:t>
            </w:r>
          </w:p>
        </w:tc>
        <w:tc>
          <w:tcPr>
            <w:tcW w:w="638" w:type="pct"/>
            <w:shd w:val="clear" w:color="auto" w:fill="auto"/>
            <w:vAlign w:val="center"/>
            <w:hideMark/>
          </w:tcPr>
          <w:p w14:paraId="5B6559CA" w14:textId="77777777" w:rsidR="00874916" w:rsidRPr="002C524B" w:rsidRDefault="00874916" w:rsidP="00EA28C4">
            <w:pPr>
              <w:jc w:val="center"/>
              <w:rPr>
                <w:rFonts w:eastAsia="Arial Unicode MS"/>
                <w:sz w:val="18"/>
                <w:szCs w:val="18"/>
              </w:rPr>
            </w:pPr>
            <w:r w:rsidRPr="002C524B">
              <w:rPr>
                <w:rFonts w:eastAsia="Arial Unicode MS"/>
                <w:sz w:val="18"/>
                <w:szCs w:val="18"/>
              </w:rPr>
              <w:t>Kazakhstan</w:t>
            </w:r>
          </w:p>
        </w:tc>
        <w:tc>
          <w:tcPr>
            <w:tcW w:w="563" w:type="pct"/>
            <w:shd w:val="clear" w:color="auto" w:fill="auto"/>
            <w:vAlign w:val="center"/>
            <w:hideMark/>
          </w:tcPr>
          <w:p w14:paraId="5A3290EB" w14:textId="77777777" w:rsidR="00874916" w:rsidRPr="002C524B" w:rsidRDefault="00874916" w:rsidP="00EA28C4">
            <w:pPr>
              <w:jc w:val="center"/>
              <w:rPr>
                <w:rFonts w:eastAsia="Arial Unicode MS"/>
                <w:sz w:val="18"/>
                <w:szCs w:val="18"/>
              </w:rPr>
            </w:pPr>
            <w:r w:rsidRPr="002C524B">
              <w:rPr>
                <w:rFonts w:eastAsia="Arial Unicode MS"/>
                <w:sz w:val="18"/>
                <w:szCs w:val="18"/>
              </w:rPr>
              <w:t>12.56</w:t>
            </w:r>
          </w:p>
        </w:tc>
        <w:tc>
          <w:tcPr>
            <w:tcW w:w="471" w:type="pct"/>
            <w:shd w:val="clear" w:color="auto" w:fill="auto"/>
            <w:noWrap/>
            <w:vAlign w:val="center"/>
            <w:hideMark/>
          </w:tcPr>
          <w:p w14:paraId="60EE6ED8" w14:textId="77777777" w:rsidR="00874916" w:rsidRPr="002C524B" w:rsidRDefault="00874916" w:rsidP="00EA28C4">
            <w:pPr>
              <w:jc w:val="center"/>
              <w:rPr>
                <w:rFonts w:eastAsia="Arial Unicode MS"/>
                <w:sz w:val="18"/>
                <w:szCs w:val="18"/>
              </w:rPr>
            </w:pPr>
            <w:r w:rsidRPr="002C524B">
              <w:rPr>
                <w:rFonts w:eastAsia="Arial Unicode MS"/>
                <w:sz w:val="18"/>
                <w:szCs w:val="18"/>
              </w:rPr>
              <w:t>3.23%</w:t>
            </w:r>
          </w:p>
        </w:tc>
        <w:tc>
          <w:tcPr>
            <w:tcW w:w="729" w:type="pct"/>
            <w:shd w:val="clear" w:color="auto" w:fill="auto"/>
            <w:vAlign w:val="center"/>
            <w:hideMark/>
          </w:tcPr>
          <w:p w14:paraId="361F4EC1" w14:textId="77777777" w:rsidR="00874916" w:rsidRPr="002C524B" w:rsidRDefault="00874916" w:rsidP="00EA28C4">
            <w:pPr>
              <w:jc w:val="center"/>
              <w:rPr>
                <w:rFonts w:eastAsia="Arial Unicode MS"/>
                <w:sz w:val="18"/>
                <w:szCs w:val="18"/>
              </w:rPr>
            </w:pPr>
            <w:r w:rsidRPr="002C524B">
              <w:rPr>
                <w:rFonts w:eastAsia="Arial Unicode MS"/>
                <w:sz w:val="18"/>
                <w:szCs w:val="18"/>
              </w:rPr>
              <w:t>Kazakhstan</w:t>
            </w:r>
          </w:p>
        </w:tc>
        <w:tc>
          <w:tcPr>
            <w:tcW w:w="479" w:type="pct"/>
            <w:shd w:val="clear" w:color="auto" w:fill="auto"/>
            <w:vAlign w:val="center"/>
            <w:hideMark/>
          </w:tcPr>
          <w:p w14:paraId="6A1D065F" w14:textId="77777777" w:rsidR="00874916" w:rsidRPr="002C524B" w:rsidRDefault="00874916" w:rsidP="00EA28C4">
            <w:pPr>
              <w:jc w:val="center"/>
              <w:rPr>
                <w:rFonts w:eastAsia="Arial Unicode MS"/>
                <w:sz w:val="18"/>
                <w:szCs w:val="18"/>
              </w:rPr>
            </w:pPr>
            <w:r w:rsidRPr="002C524B">
              <w:rPr>
                <w:rFonts w:eastAsia="Arial Unicode MS"/>
                <w:sz w:val="18"/>
                <w:szCs w:val="18"/>
              </w:rPr>
              <w:t>11.95</w:t>
            </w:r>
          </w:p>
        </w:tc>
        <w:tc>
          <w:tcPr>
            <w:tcW w:w="455" w:type="pct"/>
            <w:shd w:val="clear" w:color="auto" w:fill="auto"/>
            <w:noWrap/>
            <w:vAlign w:val="center"/>
            <w:hideMark/>
          </w:tcPr>
          <w:p w14:paraId="768A568E" w14:textId="77777777" w:rsidR="00874916" w:rsidRPr="002C524B" w:rsidRDefault="00874916" w:rsidP="00EA28C4">
            <w:pPr>
              <w:jc w:val="center"/>
              <w:rPr>
                <w:rFonts w:eastAsia="Arial Unicode MS"/>
                <w:sz w:val="18"/>
                <w:szCs w:val="18"/>
              </w:rPr>
            </w:pPr>
            <w:r w:rsidRPr="002C524B">
              <w:rPr>
                <w:rFonts w:eastAsia="Arial Unicode MS"/>
                <w:sz w:val="18"/>
                <w:szCs w:val="18"/>
              </w:rPr>
              <w:t>3.14%</w:t>
            </w:r>
          </w:p>
        </w:tc>
      </w:tr>
      <w:tr w:rsidR="00874916" w:rsidRPr="002C524B" w14:paraId="6D047EED" w14:textId="77777777" w:rsidTr="00EA28C4">
        <w:trPr>
          <w:trHeight w:val="215"/>
        </w:trPr>
        <w:tc>
          <w:tcPr>
            <w:tcW w:w="622" w:type="pct"/>
            <w:tcBorders>
              <w:bottom w:val="single" w:sz="4" w:space="0" w:color="auto"/>
            </w:tcBorders>
            <w:shd w:val="clear" w:color="auto" w:fill="auto"/>
            <w:vAlign w:val="center"/>
            <w:hideMark/>
          </w:tcPr>
          <w:p w14:paraId="6AD72D0B" w14:textId="77777777" w:rsidR="00874916" w:rsidRPr="002C524B" w:rsidRDefault="00874916" w:rsidP="00EA28C4">
            <w:pPr>
              <w:jc w:val="center"/>
              <w:rPr>
                <w:rFonts w:eastAsia="Arial Unicode MS"/>
                <w:sz w:val="18"/>
                <w:szCs w:val="18"/>
              </w:rPr>
            </w:pPr>
            <w:r w:rsidRPr="002C524B">
              <w:rPr>
                <w:rFonts w:eastAsia="Arial Unicode MS"/>
                <w:sz w:val="18"/>
                <w:szCs w:val="18"/>
              </w:rPr>
              <w:t>India</w:t>
            </w:r>
          </w:p>
        </w:tc>
        <w:tc>
          <w:tcPr>
            <w:tcW w:w="560" w:type="pct"/>
            <w:tcBorders>
              <w:bottom w:val="single" w:sz="4" w:space="0" w:color="auto"/>
            </w:tcBorders>
            <w:shd w:val="clear" w:color="auto" w:fill="auto"/>
            <w:vAlign w:val="center"/>
            <w:hideMark/>
          </w:tcPr>
          <w:p w14:paraId="5BE7E280" w14:textId="77777777" w:rsidR="00874916" w:rsidRPr="002C524B" w:rsidRDefault="00874916" w:rsidP="00EA28C4">
            <w:pPr>
              <w:jc w:val="center"/>
              <w:rPr>
                <w:rFonts w:eastAsia="Arial Unicode MS"/>
                <w:sz w:val="18"/>
                <w:szCs w:val="18"/>
              </w:rPr>
            </w:pPr>
            <w:r w:rsidRPr="002C524B">
              <w:rPr>
                <w:rFonts w:eastAsia="Arial Unicode MS"/>
                <w:sz w:val="18"/>
                <w:szCs w:val="18"/>
              </w:rPr>
              <w:t>5.08</w:t>
            </w:r>
          </w:p>
        </w:tc>
        <w:tc>
          <w:tcPr>
            <w:tcW w:w="484" w:type="pct"/>
            <w:tcBorders>
              <w:bottom w:val="single" w:sz="4" w:space="0" w:color="auto"/>
            </w:tcBorders>
            <w:shd w:val="clear" w:color="auto" w:fill="auto"/>
            <w:noWrap/>
            <w:vAlign w:val="center"/>
            <w:hideMark/>
          </w:tcPr>
          <w:p w14:paraId="69E92ABB" w14:textId="77777777" w:rsidR="00874916" w:rsidRPr="002C524B" w:rsidRDefault="00874916" w:rsidP="00EA28C4">
            <w:pPr>
              <w:jc w:val="center"/>
              <w:rPr>
                <w:rFonts w:eastAsia="Arial Unicode MS"/>
                <w:sz w:val="18"/>
                <w:szCs w:val="18"/>
              </w:rPr>
            </w:pPr>
            <w:r w:rsidRPr="002C524B">
              <w:rPr>
                <w:rFonts w:eastAsia="Arial Unicode MS"/>
                <w:sz w:val="18"/>
                <w:szCs w:val="18"/>
              </w:rPr>
              <w:t>1.22%</w:t>
            </w:r>
          </w:p>
        </w:tc>
        <w:tc>
          <w:tcPr>
            <w:tcW w:w="638" w:type="pct"/>
            <w:tcBorders>
              <w:bottom w:val="single" w:sz="4" w:space="0" w:color="auto"/>
            </w:tcBorders>
            <w:shd w:val="clear" w:color="auto" w:fill="auto"/>
            <w:vAlign w:val="center"/>
            <w:hideMark/>
          </w:tcPr>
          <w:p w14:paraId="311926CB" w14:textId="77777777" w:rsidR="00874916" w:rsidRPr="002C524B" w:rsidRDefault="00874916" w:rsidP="00EA28C4">
            <w:pPr>
              <w:jc w:val="center"/>
              <w:rPr>
                <w:rFonts w:eastAsia="Arial Unicode MS"/>
                <w:sz w:val="18"/>
                <w:szCs w:val="18"/>
              </w:rPr>
            </w:pPr>
            <w:r w:rsidRPr="002C524B">
              <w:rPr>
                <w:rFonts w:eastAsia="Arial Unicode MS"/>
                <w:sz w:val="18"/>
                <w:szCs w:val="18"/>
              </w:rPr>
              <w:t>Iran, Islamic Republic of</w:t>
            </w:r>
          </w:p>
        </w:tc>
        <w:tc>
          <w:tcPr>
            <w:tcW w:w="563" w:type="pct"/>
            <w:tcBorders>
              <w:bottom w:val="single" w:sz="4" w:space="0" w:color="auto"/>
            </w:tcBorders>
            <w:shd w:val="clear" w:color="auto" w:fill="auto"/>
            <w:vAlign w:val="center"/>
            <w:hideMark/>
          </w:tcPr>
          <w:p w14:paraId="2CF211F0" w14:textId="77777777" w:rsidR="00874916" w:rsidRPr="002C524B" w:rsidRDefault="00874916" w:rsidP="00EA28C4">
            <w:pPr>
              <w:jc w:val="center"/>
              <w:rPr>
                <w:rFonts w:eastAsia="Arial Unicode MS"/>
                <w:sz w:val="18"/>
                <w:szCs w:val="18"/>
              </w:rPr>
            </w:pPr>
            <w:r w:rsidRPr="002C524B">
              <w:rPr>
                <w:rFonts w:eastAsia="Arial Unicode MS"/>
                <w:sz w:val="18"/>
                <w:szCs w:val="18"/>
              </w:rPr>
              <w:t>5.57</w:t>
            </w:r>
          </w:p>
        </w:tc>
        <w:tc>
          <w:tcPr>
            <w:tcW w:w="471" w:type="pct"/>
            <w:tcBorders>
              <w:bottom w:val="single" w:sz="4" w:space="0" w:color="auto"/>
            </w:tcBorders>
            <w:shd w:val="clear" w:color="auto" w:fill="auto"/>
            <w:noWrap/>
            <w:vAlign w:val="center"/>
            <w:hideMark/>
          </w:tcPr>
          <w:p w14:paraId="5DA6F602" w14:textId="77777777" w:rsidR="00874916" w:rsidRPr="002C524B" w:rsidRDefault="00874916" w:rsidP="00EA28C4">
            <w:pPr>
              <w:jc w:val="center"/>
              <w:rPr>
                <w:rFonts w:eastAsia="Arial Unicode MS"/>
                <w:sz w:val="18"/>
                <w:szCs w:val="18"/>
              </w:rPr>
            </w:pPr>
            <w:r w:rsidRPr="002C524B">
              <w:rPr>
                <w:rFonts w:eastAsia="Arial Unicode MS"/>
                <w:sz w:val="18"/>
                <w:szCs w:val="18"/>
              </w:rPr>
              <w:t>1.43%</w:t>
            </w:r>
          </w:p>
        </w:tc>
        <w:tc>
          <w:tcPr>
            <w:tcW w:w="729" w:type="pct"/>
            <w:tcBorders>
              <w:bottom w:val="single" w:sz="4" w:space="0" w:color="auto"/>
            </w:tcBorders>
            <w:shd w:val="clear" w:color="auto" w:fill="auto"/>
            <w:vAlign w:val="center"/>
            <w:hideMark/>
          </w:tcPr>
          <w:p w14:paraId="6938920D" w14:textId="77777777" w:rsidR="00874916" w:rsidRPr="002C524B" w:rsidRDefault="00874916" w:rsidP="00EA28C4">
            <w:pPr>
              <w:jc w:val="center"/>
              <w:rPr>
                <w:rFonts w:eastAsia="Arial Unicode MS"/>
                <w:sz w:val="18"/>
                <w:szCs w:val="18"/>
              </w:rPr>
            </w:pPr>
            <w:r w:rsidRPr="002C524B">
              <w:rPr>
                <w:rFonts w:eastAsia="Arial Unicode MS"/>
                <w:sz w:val="18"/>
                <w:szCs w:val="18"/>
              </w:rPr>
              <w:t>India</w:t>
            </w:r>
          </w:p>
        </w:tc>
        <w:tc>
          <w:tcPr>
            <w:tcW w:w="479" w:type="pct"/>
            <w:tcBorders>
              <w:bottom w:val="single" w:sz="4" w:space="0" w:color="auto"/>
            </w:tcBorders>
            <w:shd w:val="clear" w:color="auto" w:fill="auto"/>
            <w:vAlign w:val="center"/>
            <w:hideMark/>
          </w:tcPr>
          <w:p w14:paraId="3A47E912" w14:textId="77777777" w:rsidR="00874916" w:rsidRPr="002C524B" w:rsidRDefault="00874916" w:rsidP="00EA28C4">
            <w:pPr>
              <w:jc w:val="center"/>
              <w:rPr>
                <w:rFonts w:eastAsia="Arial Unicode MS"/>
                <w:sz w:val="18"/>
                <w:szCs w:val="18"/>
              </w:rPr>
            </w:pPr>
            <w:r w:rsidRPr="002C524B">
              <w:rPr>
                <w:rFonts w:eastAsia="Arial Unicode MS"/>
                <w:sz w:val="18"/>
                <w:szCs w:val="18"/>
              </w:rPr>
              <w:t>4.78</w:t>
            </w:r>
          </w:p>
        </w:tc>
        <w:tc>
          <w:tcPr>
            <w:tcW w:w="455" w:type="pct"/>
            <w:tcBorders>
              <w:bottom w:val="single" w:sz="4" w:space="0" w:color="auto"/>
            </w:tcBorders>
            <w:shd w:val="clear" w:color="auto" w:fill="auto"/>
            <w:noWrap/>
            <w:vAlign w:val="center"/>
            <w:hideMark/>
          </w:tcPr>
          <w:p w14:paraId="73C5240A" w14:textId="77777777" w:rsidR="00874916" w:rsidRPr="002C524B" w:rsidRDefault="00874916" w:rsidP="00EA28C4">
            <w:pPr>
              <w:jc w:val="center"/>
              <w:rPr>
                <w:rFonts w:eastAsia="Arial Unicode MS"/>
                <w:sz w:val="18"/>
                <w:szCs w:val="18"/>
              </w:rPr>
            </w:pPr>
            <w:r w:rsidRPr="002C524B">
              <w:rPr>
                <w:rFonts w:eastAsia="Arial Unicode MS"/>
                <w:sz w:val="18"/>
                <w:szCs w:val="18"/>
              </w:rPr>
              <w:t>1.26%</w:t>
            </w:r>
          </w:p>
        </w:tc>
      </w:tr>
      <w:tr w:rsidR="00874916" w:rsidRPr="002C524B" w14:paraId="0C4EF4B3" w14:textId="77777777" w:rsidTr="00EA28C4">
        <w:trPr>
          <w:trHeight w:val="270"/>
        </w:trPr>
        <w:tc>
          <w:tcPr>
            <w:tcW w:w="622" w:type="pct"/>
            <w:tcBorders>
              <w:top w:val="single" w:sz="4" w:space="0" w:color="auto"/>
              <w:bottom w:val="single" w:sz="12" w:space="0" w:color="auto"/>
            </w:tcBorders>
            <w:shd w:val="clear" w:color="auto" w:fill="auto"/>
            <w:vAlign w:val="center"/>
            <w:hideMark/>
          </w:tcPr>
          <w:p w14:paraId="60864E7F" w14:textId="77777777" w:rsidR="00874916" w:rsidRPr="002C524B" w:rsidRDefault="00874916" w:rsidP="00EA28C4">
            <w:pPr>
              <w:jc w:val="center"/>
              <w:rPr>
                <w:rFonts w:eastAsia="Arial Unicode MS"/>
                <w:sz w:val="18"/>
                <w:szCs w:val="18"/>
              </w:rPr>
            </w:pPr>
            <w:r w:rsidRPr="002C524B">
              <w:rPr>
                <w:rFonts w:eastAsia="Arial Unicode MS"/>
                <w:sz w:val="18"/>
                <w:szCs w:val="18"/>
              </w:rPr>
              <w:t>Total</w:t>
            </w:r>
          </w:p>
        </w:tc>
        <w:tc>
          <w:tcPr>
            <w:tcW w:w="560" w:type="pct"/>
            <w:tcBorders>
              <w:top w:val="single" w:sz="4" w:space="0" w:color="auto"/>
              <w:bottom w:val="single" w:sz="12" w:space="0" w:color="auto"/>
            </w:tcBorders>
            <w:shd w:val="clear" w:color="auto" w:fill="auto"/>
            <w:vAlign w:val="center"/>
            <w:hideMark/>
          </w:tcPr>
          <w:p w14:paraId="1B7E367B" w14:textId="77777777" w:rsidR="00874916" w:rsidRPr="002C524B" w:rsidRDefault="00874916" w:rsidP="00EA28C4">
            <w:pPr>
              <w:jc w:val="center"/>
              <w:rPr>
                <w:rFonts w:eastAsia="Arial Unicode MS"/>
                <w:sz w:val="18"/>
                <w:szCs w:val="18"/>
              </w:rPr>
            </w:pPr>
            <w:r w:rsidRPr="002C524B">
              <w:rPr>
                <w:rFonts w:eastAsia="Arial Unicode MS"/>
                <w:sz w:val="18"/>
                <w:szCs w:val="18"/>
              </w:rPr>
              <w:t>388.34</w:t>
            </w:r>
          </w:p>
        </w:tc>
        <w:tc>
          <w:tcPr>
            <w:tcW w:w="484" w:type="pct"/>
            <w:tcBorders>
              <w:top w:val="single" w:sz="4" w:space="0" w:color="auto"/>
              <w:bottom w:val="single" w:sz="12" w:space="0" w:color="auto"/>
            </w:tcBorders>
            <w:shd w:val="clear" w:color="auto" w:fill="auto"/>
            <w:noWrap/>
            <w:vAlign w:val="center"/>
            <w:hideMark/>
          </w:tcPr>
          <w:p w14:paraId="53FCC614" w14:textId="77777777" w:rsidR="00874916" w:rsidRPr="002C524B" w:rsidRDefault="00874916" w:rsidP="00EA28C4">
            <w:pPr>
              <w:jc w:val="center"/>
              <w:rPr>
                <w:rFonts w:eastAsia="Arial Unicode MS"/>
                <w:sz w:val="18"/>
                <w:szCs w:val="18"/>
              </w:rPr>
            </w:pPr>
            <w:r w:rsidRPr="002C524B">
              <w:rPr>
                <w:rFonts w:eastAsia="Arial Unicode MS"/>
                <w:sz w:val="18"/>
                <w:szCs w:val="18"/>
              </w:rPr>
              <w:t>89.00%</w:t>
            </w:r>
          </w:p>
        </w:tc>
        <w:tc>
          <w:tcPr>
            <w:tcW w:w="638" w:type="pct"/>
            <w:tcBorders>
              <w:top w:val="single" w:sz="4" w:space="0" w:color="auto"/>
              <w:bottom w:val="single" w:sz="12" w:space="0" w:color="auto"/>
            </w:tcBorders>
            <w:shd w:val="clear" w:color="auto" w:fill="auto"/>
            <w:vAlign w:val="center"/>
            <w:hideMark/>
          </w:tcPr>
          <w:p w14:paraId="2347CC5A" w14:textId="77777777" w:rsidR="00874916" w:rsidRPr="002C524B" w:rsidRDefault="00874916" w:rsidP="00EA28C4">
            <w:pPr>
              <w:jc w:val="center"/>
              <w:rPr>
                <w:rFonts w:eastAsia="Arial Unicode MS"/>
                <w:sz w:val="18"/>
                <w:szCs w:val="18"/>
              </w:rPr>
            </w:pPr>
            <w:r w:rsidRPr="002C524B">
              <w:rPr>
                <w:rFonts w:eastAsia="Arial Unicode MS"/>
                <w:sz w:val="18"/>
                <w:szCs w:val="18"/>
              </w:rPr>
              <w:t>Total</w:t>
            </w:r>
          </w:p>
        </w:tc>
        <w:tc>
          <w:tcPr>
            <w:tcW w:w="563" w:type="pct"/>
            <w:tcBorders>
              <w:top w:val="single" w:sz="4" w:space="0" w:color="auto"/>
              <w:bottom w:val="single" w:sz="12" w:space="0" w:color="auto"/>
            </w:tcBorders>
            <w:shd w:val="clear" w:color="auto" w:fill="auto"/>
            <w:vAlign w:val="center"/>
            <w:hideMark/>
          </w:tcPr>
          <w:p w14:paraId="14775F6E" w14:textId="77777777" w:rsidR="00874916" w:rsidRPr="002C524B" w:rsidRDefault="00874916" w:rsidP="00EA28C4">
            <w:pPr>
              <w:jc w:val="center"/>
              <w:rPr>
                <w:rFonts w:eastAsia="Arial Unicode MS"/>
                <w:sz w:val="18"/>
                <w:szCs w:val="18"/>
              </w:rPr>
            </w:pPr>
            <w:r w:rsidRPr="002C524B">
              <w:rPr>
                <w:rFonts w:eastAsia="Arial Unicode MS"/>
                <w:sz w:val="18"/>
                <w:szCs w:val="18"/>
              </w:rPr>
              <w:t>388.344</w:t>
            </w:r>
          </w:p>
        </w:tc>
        <w:tc>
          <w:tcPr>
            <w:tcW w:w="471" w:type="pct"/>
            <w:tcBorders>
              <w:top w:val="single" w:sz="4" w:space="0" w:color="auto"/>
              <w:bottom w:val="single" w:sz="12" w:space="0" w:color="auto"/>
            </w:tcBorders>
            <w:shd w:val="clear" w:color="auto" w:fill="auto"/>
            <w:noWrap/>
            <w:vAlign w:val="center"/>
            <w:hideMark/>
          </w:tcPr>
          <w:p w14:paraId="4294C46B" w14:textId="77777777" w:rsidR="00874916" w:rsidRPr="002C524B" w:rsidRDefault="00874916" w:rsidP="00EA28C4">
            <w:pPr>
              <w:jc w:val="center"/>
              <w:rPr>
                <w:rFonts w:eastAsia="Arial Unicode MS"/>
                <w:sz w:val="18"/>
                <w:szCs w:val="18"/>
              </w:rPr>
            </w:pPr>
            <w:r w:rsidRPr="002C524B">
              <w:rPr>
                <w:rFonts w:eastAsia="Arial Unicode MS"/>
                <w:sz w:val="18"/>
                <w:szCs w:val="18"/>
              </w:rPr>
              <w:t>90.05%</w:t>
            </w:r>
          </w:p>
        </w:tc>
        <w:tc>
          <w:tcPr>
            <w:tcW w:w="729" w:type="pct"/>
            <w:tcBorders>
              <w:top w:val="single" w:sz="4" w:space="0" w:color="auto"/>
              <w:bottom w:val="single" w:sz="12" w:space="0" w:color="auto"/>
            </w:tcBorders>
            <w:shd w:val="clear" w:color="auto" w:fill="auto"/>
            <w:vAlign w:val="center"/>
            <w:hideMark/>
          </w:tcPr>
          <w:p w14:paraId="60402552" w14:textId="77777777" w:rsidR="00874916" w:rsidRPr="002C524B" w:rsidRDefault="00874916" w:rsidP="00EA28C4">
            <w:pPr>
              <w:jc w:val="center"/>
              <w:rPr>
                <w:rFonts w:eastAsia="Arial Unicode MS"/>
                <w:sz w:val="18"/>
                <w:szCs w:val="18"/>
              </w:rPr>
            </w:pPr>
            <w:r w:rsidRPr="002C524B">
              <w:rPr>
                <w:rFonts w:eastAsia="Arial Unicode MS"/>
                <w:sz w:val="18"/>
                <w:szCs w:val="18"/>
              </w:rPr>
              <w:t>Total</w:t>
            </w:r>
          </w:p>
        </w:tc>
        <w:tc>
          <w:tcPr>
            <w:tcW w:w="479" w:type="pct"/>
            <w:tcBorders>
              <w:top w:val="single" w:sz="4" w:space="0" w:color="auto"/>
              <w:bottom w:val="single" w:sz="12" w:space="0" w:color="auto"/>
            </w:tcBorders>
            <w:shd w:val="clear" w:color="auto" w:fill="auto"/>
            <w:vAlign w:val="center"/>
            <w:hideMark/>
          </w:tcPr>
          <w:p w14:paraId="17E49C93" w14:textId="77777777" w:rsidR="00874916" w:rsidRPr="002C524B" w:rsidRDefault="00874916" w:rsidP="00EA28C4">
            <w:pPr>
              <w:jc w:val="center"/>
              <w:rPr>
                <w:rFonts w:eastAsia="Arial Unicode MS"/>
                <w:sz w:val="18"/>
                <w:szCs w:val="18"/>
              </w:rPr>
            </w:pPr>
            <w:r w:rsidRPr="002C524B">
              <w:rPr>
                <w:rFonts w:eastAsia="Arial Unicode MS"/>
                <w:sz w:val="18"/>
                <w:szCs w:val="18"/>
              </w:rPr>
              <w:t>380.36</w:t>
            </w:r>
          </w:p>
        </w:tc>
        <w:tc>
          <w:tcPr>
            <w:tcW w:w="455" w:type="pct"/>
            <w:tcBorders>
              <w:top w:val="single" w:sz="4" w:space="0" w:color="auto"/>
              <w:bottom w:val="single" w:sz="12" w:space="0" w:color="auto"/>
            </w:tcBorders>
            <w:shd w:val="clear" w:color="auto" w:fill="auto"/>
            <w:noWrap/>
            <w:vAlign w:val="center"/>
            <w:hideMark/>
          </w:tcPr>
          <w:p w14:paraId="38576874" w14:textId="77777777" w:rsidR="00874916" w:rsidRPr="002C524B" w:rsidRDefault="00874916" w:rsidP="00EA28C4">
            <w:pPr>
              <w:jc w:val="center"/>
              <w:rPr>
                <w:rFonts w:eastAsia="Arial Unicode MS"/>
                <w:sz w:val="18"/>
                <w:szCs w:val="18"/>
              </w:rPr>
            </w:pPr>
            <w:r w:rsidRPr="002C524B">
              <w:rPr>
                <w:rFonts w:eastAsia="Arial Unicode MS"/>
                <w:sz w:val="18"/>
                <w:szCs w:val="18"/>
              </w:rPr>
              <w:t>89.10%</w:t>
            </w:r>
          </w:p>
        </w:tc>
      </w:tr>
    </w:tbl>
    <w:p w14:paraId="7419D354" w14:textId="77777777" w:rsidR="001F0BEC" w:rsidRDefault="001F0BEC" w:rsidP="001F0BEC">
      <w:pPr>
        <w:pStyle w:val="2"/>
        <w:numPr>
          <w:ilvl w:val="0"/>
          <w:numId w:val="0"/>
        </w:numPr>
        <w:spacing w:before="100" w:beforeAutospacing="1" w:afterLines="0" w:after="0" w:line="240" w:lineRule="auto"/>
        <w:ind w:left="420" w:hanging="420"/>
        <w:rPr>
          <w:rFonts w:cs="Times New Roman"/>
        </w:rPr>
      </w:pPr>
    </w:p>
    <w:p w14:paraId="618CBE37" w14:textId="77777777" w:rsidR="001F0BEC" w:rsidRDefault="001F0BEC">
      <w:pPr>
        <w:rPr>
          <w:rFonts w:eastAsiaTheme="majorEastAsia"/>
          <w:b/>
          <w:bCs/>
          <w:kern w:val="2"/>
          <w:szCs w:val="32"/>
          <w:lang w:eastAsia="zh-CN"/>
        </w:rPr>
      </w:pPr>
      <w:r>
        <w:br w:type="page"/>
      </w:r>
    </w:p>
    <w:p w14:paraId="4C0E203D" w14:textId="1DCD218C" w:rsidR="00874916" w:rsidRPr="002C524B" w:rsidRDefault="001F0BEC" w:rsidP="001F0BEC">
      <w:pPr>
        <w:pStyle w:val="2"/>
        <w:numPr>
          <w:ilvl w:val="0"/>
          <w:numId w:val="0"/>
        </w:numPr>
        <w:spacing w:before="100" w:beforeAutospacing="1" w:afterLines="0" w:after="0" w:line="240" w:lineRule="auto"/>
        <w:ind w:left="420" w:hanging="420"/>
        <w:rPr>
          <w:rFonts w:cs="Times New Roman"/>
        </w:rPr>
      </w:pPr>
      <w:r>
        <w:rPr>
          <w:rFonts w:cs="Times New Roman" w:hint="eastAsia"/>
        </w:rPr>
        <w:lastRenderedPageBreak/>
        <w:t xml:space="preserve">2.2 </w:t>
      </w:r>
      <w:r w:rsidR="00874916" w:rsidRPr="002C524B">
        <w:rPr>
          <w:rFonts w:cs="Times New Roman"/>
        </w:rPr>
        <w:t>China tea export</w:t>
      </w:r>
    </w:p>
    <w:p w14:paraId="54F79A40" w14:textId="0AAC456A" w:rsidR="00874916" w:rsidRPr="002C524B" w:rsidRDefault="001F0BEC" w:rsidP="003B4565">
      <w:pPr>
        <w:spacing w:after="100" w:afterAutospacing="1"/>
        <w:rPr>
          <w:szCs w:val="21"/>
        </w:rPr>
      </w:pPr>
      <w:r>
        <w:rPr>
          <w:szCs w:val="21"/>
        </w:rPr>
        <w:br/>
      </w:r>
      <w:r w:rsidR="00874916" w:rsidRPr="002C524B">
        <w:rPr>
          <w:szCs w:val="21"/>
        </w:rPr>
        <w:t xml:space="preserve">Morocco is </w:t>
      </w:r>
      <w:r w:rsidR="00874916">
        <w:rPr>
          <w:rFonts w:hint="eastAsia"/>
          <w:szCs w:val="21"/>
        </w:rPr>
        <w:t xml:space="preserve">the largest importer of </w:t>
      </w:r>
      <w:r w:rsidR="00874916" w:rsidRPr="002C524B">
        <w:rPr>
          <w:szCs w:val="21"/>
        </w:rPr>
        <w:t>China's tea</w:t>
      </w:r>
      <w:r w:rsidR="00874916">
        <w:rPr>
          <w:rFonts w:hint="eastAsia"/>
          <w:szCs w:val="21"/>
        </w:rPr>
        <w:t xml:space="preserve"> export</w:t>
      </w:r>
      <w:r w:rsidR="00874916" w:rsidRPr="002C524B">
        <w:rPr>
          <w:szCs w:val="21"/>
        </w:rPr>
        <w:t xml:space="preserve">, </w:t>
      </w:r>
      <w:r w:rsidR="00874916">
        <w:rPr>
          <w:rFonts w:hint="eastAsia"/>
          <w:szCs w:val="21"/>
        </w:rPr>
        <w:t>accounting for about</w:t>
      </w:r>
      <w:r w:rsidR="00874916" w:rsidRPr="002C524B">
        <w:rPr>
          <w:szCs w:val="21"/>
        </w:rPr>
        <w:t xml:space="preserve"> 20</w:t>
      </w:r>
      <w:r>
        <w:rPr>
          <w:szCs w:val="21"/>
        </w:rPr>
        <w:t xml:space="preserve"> percent</w:t>
      </w:r>
      <w:r w:rsidR="00874916" w:rsidRPr="002C524B">
        <w:rPr>
          <w:szCs w:val="21"/>
        </w:rPr>
        <w:t xml:space="preserve"> of China's total tea</w:t>
      </w:r>
      <w:r w:rsidR="00874916">
        <w:rPr>
          <w:rFonts w:hint="eastAsia"/>
          <w:szCs w:val="21"/>
        </w:rPr>
        <w:t xml:space="preserve"> e</w:t>
      </w:r>
      <w:r w:rsidR="00874916" w:rsidRPr="002C524B">
        <w:rPr>
          <w:szCs w:val="21"/>
        </w:rPr>
        <w:t>xports, followed by the United States and Uzbekistan.</w:t>
      </w:r>
    </w:p>
    <w:tbl>
      <w:tblPr>
        <w:tblW w:w="5115" w:type="pct"/>
        <w:jc w:val="center"/>
        <w:tblLayout w:type="fixed"/>
        <w:tblLook w:val="04A0" w:firstRow="1" w:lastRow="0" w:firstColumn="1" w:lastColumn="0" w:noHBand="0" w:noVBand="1"/>
      </w:tblPr>
      <w:tblGrid>
        <w:gridCol w:w="1212"/>
        <w:gridCol w:w="930"/>
        <w:gridCol w:w="741"/>
        <w:gridCol w:w="1234"/>
        <w:gridCol w:w="967"/>
        <w:gridCol w:w="831"/>
        <w:gridCol w:w="1216"/>
        <w:gridCol w:w="948"/>
        <w:gridCol w:w="760"/>
      </w:tblGrid>
      <w:tr w:rsidR="00874916" w:rsidRPr="002C524B" w14:paraId="6925B687" w14:textId="77777777" w:rsidTr="00EA28C4">
        <w:trPr>
          <w:trHeight w:val="270"/>
          <w:jc w:val="center"/>
        </w:trPr>
        <w:tc>
          <w:tcPr>
            <w:tcW w:w="685" w:type="pct"/>
            <w:tcBorders>
              <w:top w:val="single" w:sz="12" w:space="0" w:color="auto"/>
              <w:left w:val="nil"/>
              <w:bottom w:val="nil"/>
              <w:right w:val="nil"/>
            </w:tcBorders>
            <w:shd w:val="clear" w:color="auto" w:fill="auto"/>
            <w:vAlign w:val="center"/>
            <w:hideMark/>
          </w:tcPr>
          <w:p w14:paraId="39E57E24" w14:textId="77777777" w:rsidR="00874916" w:rsidRPr="00910292" w:rsidRDefault="00874916" w:rsidP="00EA28C4">
            <w:pPr>
              <w:jc w:val="center"/>
              <w:rPr>
                <w:sz w:val="18"/>
                <w:szCs w:val="18"/>
              </w:rPr>
            </w:pPr>
          </w:p>
        </w:tc>
        <w:tc>
          <w:tcPr>
            <w:tcW w:w="526" w:type="pct"/>
            <w:tcBorders>
              <w:top w:val="single" w:sz="12" w:space="0" w:color="auto"/>
              <w:left w:val="nil"/>
              <w:bottom w:val="nil"/>
              <w:right w:val="nil"/>
            </w:tcBorders>
            <w:shd w:val="clear" w:color="auto" w:fill="auto"/>
            <w:noWrap/>
            <w:vAlign w:val="center"/>
            <w:hideMark/>
          </w:tcPr>
          <w:p w14:paraId="3424EC57" w14:textId="77777777" w:rsidR="00874916" w:rsidRPr="00910292" w:rsidRDefault="00874916" w:rsidP="00EA28C4">
            <w:pPr>
              <w:jc w:val="center"/>
              <w:rPr>
                <w:color w:val="000000"/>
                <w:sz w:val="18"/>
                <w:szCs w:val="18"/>
              </w:rPr>
            </w:pPr>
            <w:r w:rsidRPr="00910292">
              <w:rPr>
                <w:color w:val="000000"/>
                <w:sz w:val="18"/>
                <w:szCs w:val="18"/>
              </w:rPr>
              <w:t>2011</w:t>
            </w:r>
          </w:p>
        </w:tc>
        <w:tc>
          <w:tcPr>
            <w:tcW w:w="419" w:type="pct"/>
            <w:tcBorders>
              <w:top w:val="single" w:sz="12" w:space="0" w:color="auto"/>
              <w:left w:val="nil"/>
              <w:bottom w:val="nil"/>
              <w:right w:val="single" w:sz="4" w:space="0" w:color="auto"/>
            </w:tcBorders>
            <w:shd w:val="clear" w:color="auto" w:fill="auto"/>
            <w:noWrap/>
            <w:vAlign w:val="center"/>
            <w:hideMark/>
          </w:tcPr>
          <w:p w14:paraId="078BA777" w14:textId="77777777" w:rsidR="00874916" w:rsidRPr="00910292" w:rsidRDefault="00874916" w:rsidP="00EA28C4">
            <w:pPr>
              <w:jc w:val="center"/>
              <w:rPr>
                <w:sz w:val="18"/>
                <w:szCs w:val="18"/>
              </w:rPr>
            </w:pPr>
          </w:p>
        </w:tc>
        <w:tc>
          <w:tcPr>
            <w:tcW w:w="698" w:type="pct"/>
            <w:tcBorders>
              <w:top w:val="single" w:sz="12" w:space="0" w:color="auto"/>
              <w:left w:val="nil"/>
              <w:bottom w:val="nil"/>
              <w:right w:val="nil"/>
            </w:tcBorders>
            <w:shd w:val="clear" w:color="auto" w:fill="auto"/>
            <w:vAlign w:val="center"/>
            <w:hideMark/>
          </w:tcPr>
          <w:p w14:paraId="13A43C40" w14:textId="77777777" w:rsidR="00874916" w:rsidRPr="00910292" w:rsidRDefault="00874916" w:rsidP="00EA28C4">
            <w:pPr>
              <w:jc w:val="center"/>
              <w:rPr>
                <w:sz w:val="18"/>
                <w:szCs w:val="18"/>
              </w:rPr>
            </w:pPr>
          </w:p>
        </w:tc>
        <w:tc>
          <w:tcPr>
            <w:tcW w:w="547" w:type="pct"/>
            <w:tcBorders>
              <w:top w:val="single" w:sz="12" w:space="0" w:color="auto"/>
              <w:left w:val="nil"/>
              <w:bottom w:val="nil"/>
              <w:right w:val="nil"/>
            </w:tcBorders>
            <w:shd w:val="clear" w:color="auto" w:fill="auto"/>
            <w:noWrap/>
            <w:vAlign w:val="center"/>
            <w:hideMark/>
          </w:tcPr>
          <w:p w14:paraId="1EA829AF" w14:textId="77777777" w:rsidR="00874916" w:rsidRPr="00910292" w:rsidRDefault="00874916" w:rsidP="00EA28C4">
            <w:pPr>
              <w:jc w:val="center"/>
              <w:rPr>
                <w:color w:val="000000"/>
                <w:sz w:val="18"/>
                <w:szCs w:val="18"/>
              </w:rPr>
            </w:pPr>
            <w:r w:rsidRPr="00910292">
              <w:rPr>
                <w:color w:val="000000"/>
                <w:sz w:val="18"/>
                <w:szCs w:val="18"/>
              </w:rPr>
              <w:t>2012</w:t>
            </w:r>
          </w:p>
        </w:tc>
        <w:tc>
          <w:tcPr>
            <w:tcW w:w="470" w:type="pct"/>
            <w:tcBorders>
              <w:top w:val="single" w:sz="12" w:space="0" w:color="auto"/>
              <w:left w:val="nil"/>
              <w:bottom w:val="nil"/>
              <w:right w:val="single" w:sz="4" w:space="0" w:color="auto"/>
            </w:tcBorders>
            <w:shd w:val="clear" w:color="auto" w:fill="auto"/>
            <w:noWrap/>
            <w:vAlign w:val="center"/>
            <w:hideMark/>
          </w:tcPr>
          <w:p w14:paraId="3453EE86" w14:textId="77777777" w:rsidR="00874916" w:rsidRPr="00910292" w:rsidRDefault="00874916" w:rsidP="00EA28C4">
            <w:pPr>
              <w:jc w:val="center"/>
              <w:rPr>
                <w:sz w:val="18"/>
                <w:szCs w:val="18"/>
              </w:rPr>
            </w:pPr>
          </w:p>
        </w:tc>
        <w:tc>
          <w:tcPr>
            <w:tcW w:w="688" w:type="pct"/>
            <w:tcBorders>
              <w:top w:val="single" w:sz="12" w:space="0" w:color="auto"/>
              <w:left w:val="nil"/>
              <w:bottom w:val="nil"/>
              <w:right w:val="nil"/>
            </w:tcBorders>
            <w:shd w:val="clear" w:color="auto" w:fill="auto"/>
            <w:vAlign w:val="center"/>
            <w:hideMark/>
          </w:tcPr>
          <w:p w14:paraId="12F25D41" w14:textId="77777777" w:rsidR="00874916" w:rsidRPr="00910292" w:rsidRDefault="00874916" w:rsidP="00EA28C4">
            <w:pPr>
              <w:jc w:val="center"/>
              <w:rPr>
                <w:sz w:val="18"/>
                <w:szCs w:val="18"/>
              </w:rPr>
            </w:pPr>
          </w:p>
        </w:tc>
        <w:tc>
          <w:tcPr>
            <w:tcW w:w="536" w:type="pct"/>
            <w:tcBorders>
              <w:top w:val="single" w:sz="12" w:space="0" w:color="auto"/>
              <w:left w:val="nil"/>
              <w:bottom w:val="single" w:sz="4" w:space="0" w:color="auto"/>
              <w:right w:val="nil"/>
            </w:tcBorders>
            <w:shd w:val="clear" w:color="auto" w:fill="auto"/>
            <w:noWrap/>
            <w:vAlign w:val="center"/>
            <w:hideMark/>
          </w:tcPr>
          <w:p w14:paraId="76F04088" w14:textId="77777777" w:rsidR="00874916" w:rsidRPr="00910292" w:rsidRDefault="00874916" w:rsidP="00EA28C4">
            <w:pPr>
              <w:jc w:val="center"/>
              <w:rPr>
                <w:color w:val="000000"/>
                <w:sz w:val="18"/>
                <w:szCs w:val="18"/>
              </w:rPr>
            </w:pPr>
            <w:r w:rsidRPr="00910292">
              <w:rPr>
                <w:color w:val="000000"/>
                <w:sz w:val="18"/>
                <w:szCs w:val="18"/>
              </w:rPr>
              <w:t>2013</w:t>
            </w:r>
          </w:p>
        </w:tc>
        <w:tc>
          <w:tcPr>
            <w:tcW w:w="430" w:type="pct"/>
            <w:tcBorders>
              <w:top w:val="single" w:sz="12" w:space="0" w:color="auto"/>
              <w:left w:val="nil"/>
              <w:bottom w:val="single" w:sz="4" w:space="0" w:color="auto"/>
              <w:right w:val="nil"/>
            </w:tcBorders>
            <w:shd w:val="clear" w:color="auto" w:fill="auto"/>
            <w:noWrap/>
            <w:vAlign w:val="center"/>
            <w:hideMark/>
          </w:tcPr>
          <w:p w14:paraId="79E88AE7" w14:textId="77777777" w:rsidR="00874916" w:rsidRPr="00910292" w:rsidRDefault="00874916" w:rsidP="00EA28C4">
            <w:pPr>
              <w:jc w:val="center"/>
              <w:rPr>
                <w:sz w:val="18"/>
                <w:szCs w:val="18"/>
              </w:rPr>
            </w:pPr>
          </w:p>
        </w:tc>
      </w:tr>
      <w:tr w:rsidR="00874916" w:rsidRPr="002C524B" w14:paraId="1813D03E" w14:textId="77777777" w:rsidTr="00EA28C4">
        <w:trPr>
          <w:trHeight w:val="270"/>
          <w:jc w:val="center"/>
        </w:trPr>
        <w:tc>
          <w:tcPr>
            <w:tcW w:w="685" w:type="pct"/>
            <w:tcBorders>
              <w:top w:val="single" w:sz="4" w:space="0" w:color="auto"/>
              <w:left w:val="nil"/>
              <w:bottom w:val="single" w:sz="4" w:space="0" w:color="auto"/>
              <w:right w:val="nil"/>
            </w:tcBorders>
            <w:shd w:val="clear" w:color="auto" w:fill="auto"/>
            <w:noWrap/>
            <w:vAlign w:val="center"/>
            <w:hideMark/>
          </w:tcPr>
          <w:p w14:paraId="66D8478F" w14:textId="77777777" w:rsidR="00874916" w:rsidRPr="00910292" w:rsidRDefault="00874916" w:rsidP="00EA28C4">
            <w:pPr>
              <w:jc w:val="center"/>
              <w:rPr>
                <w:color w:val="000000"/>
                <w:sz w:val="18"/>
                <w:szCs w:val="18"/>
              </w:rPr>
            </w:pPr>
            <w:r w:rsidRPr="002C524B">
              <w:rPr>
                <w:color w:val="000000"/>
                <w:sz w:val="18"/>
                <w:szCs w:val="18"/>
              </w:rPr>
              <w:t>Importer</w:t>
            </w:r>
          </w:p>
        </w:tc>
        <w:tc>
          <w:tcPr>
            <w:tcW w:w="526" w:type="pct"/>
            <w:tcBorders>
              <w:top w:val="single" w:sz="4" w:space="0" w:color="auto"/>
              <w:left w:val="nil"/>
              <w:bottom w:val="single" w:sz="4" w:space="0" w:color="auto"/>
              <w:right w:val="nil"/>
            </w:tcBorders>
            <w:shd w:val="clear" w:color="auto" w:fill="auto"/>
            <w:noWrap/>
            <w:vAlign w:val="center"/>
            <w:hideMark/>
          </w:tcPr>
          <w:p w14:paraId="123E3615" w14:textId="77777777" w:rsidR="00874916" w:rsidRPr="00910292" w:rsidRDefault="00874916" w:rsidP="00EA28C4">
            <w:pPr>
              <w:jc w:val="center"/>
              <w:rPr>
                <w:color w:val="000000"/>
                <w:sz w:val="18"/>
                <w:szCs w:val="18"/>
              </w:rPr>
            </w:pPr>
            <w:r w:rsidRPr="002C524B">
              <w:rPr>
                <w:color w:val="000000"/>
                <w:sz w:val="18"/>
                <w:szCs w:val="18"/>
              </w:rPr>
              <w:t xml:space="preserve">Thousand </w:t>
            </w:r>
            <w:r>
              <w:rPr>
                <w:color w:val="000000"/>
                <w:sz w:val="18"/>
                <w:szCs w:val="18"/>
              </w:rPr>
              <w:t>Tons</w:t>
            </w:r>
          </w:p>
        </w:tc>
        <w:tc>
          <w:tcPr>
            <w:tcW w:w="419" w:type="pct"/>
            <w:tcBorders>
              <w:top w:val="single" w:sz="4" w:space="0" w:color="auto"/>
              <w:left w:val="nil"/>
              <w:bottom w:val="single" w:sz="4" w:space="0" w:color="auto"/>
              <w:right w:val="single" w:sz="4" w:space="0" w:color="auto"/>
            </w:tcBorders>
            <w:shd w:val="clear" w:color="auto" w:fill="auto"/>
            <w:noWrap/>
            <w:vAlign w:val="center"/>
            <w:hideMark/>
          </w:tcPr>
          <w:p w14:paraId="77AD8424" w14:textId="77777777" w:rsidR="00874916" w:rsidRPr="00910292" w:rsidRDefault="00874916" w:rsidP="00EA28C4">
            <w:pPr>
              <w:jc w:val="center"/>
              <w:rPr>
                <w:color w:val="000000"/>
                <w:sz w:val="18"/>
                <w:szCs w:val="18"/>
              </w:rPr>
            </w:pPr>
            <w:r w:rsidRPr="002C524B">
              <w:rPr>
                <w:color w:val="000000"/>
                <w:sz w:val="18"/>
                <w:szCs w:val="18"/>
              </w:rPr>
              <w:t>Percent</w:t>
            </w:r>
          </w:p>
        </w:tc>
        <w:tc>
          <w:tcPr>
            <w:tcW w:w="698" w:type="pct"/>
            <w:tcBorders>
              <w:top w:val="single" w:sz="4" w:space="0" w:color="auto"/>
              <w:left w:val="nil"/>
              <w:bottom w:val="single" w:sz="4" w:space="0" w:color="auto"/>
              <w:right w:val="nil"/>
            </w:tcBorders>
            <w:shd w:val="clear" w:color="auto" w:fill="auto"/>
            <w:noWrap/>
            <w:vAlign w:val="center"/>
            <w:hideMark/>
          </w:tcPr>
          <w:p w14:paraId="56B341FA" w14:textId="77777777" w:rsidR="00874916" w:rsidRPr="00910292" w:rsidRDefault="00874916" w:rsidP="00EA28C4">
            <w:pPr>
              <w:jc w:val="center"/>
              <w:rPr>
                <w:color w:val="000000"/>
                <w:sz w:val="18"/>
                <w:szCs w:val="18"/>
              </w:rPr>
            </w:pPr>
            <w:r w:rsidRPr="002C524B">
              <w:rPr>
                <w:color w:val="000000"/>
                <w:sz w:val="18"/>
                <w:szCs w:val="18"/>
              </w:rPr>
              <w:t>Importer</w:t>
            </w:r>
          </w:p>
        </w:tc>
        <w:tc>
          <w:tcPr>
            <w:tcW w:w="547" w:type="pct"/>
            <w:tcBorders>
              <w:top w:val="single" w:sz="4" w:space="0" w:color="auto"/>
              <w:left w:val="nil"/>
              <w:bottom w:val="single" w:sz="4" w:space="0" w:color="auto"/>
              <w:right w:val="nil"/>
            </w:tcBorders>
            <w:shd w:val="clear" w:color="auto" w:fill="auto"/>
            <w:noWrap/>
            <w:vAlign w:val="center"/>
            <w:hideMark/>
          </w:tcPr>
          <w:p w14:paraId="35F6F90D" w14:textId="77777777" w:rsidR="00874916" w:rsidRPr="00910292" w:rsidRDefault="00874916" w:rsidP="00EA28C4">
            <w:pPr>
              <w:jc w:val="center"/>
              <w:rPr>
                <w:color w:val="000000"/>
                <w:sz w:val="18"/>
                <w:szCs w:val="18"/>
              </w:rPr>
            </w:pPr>
            <w:r w:rsidRPr="002C524B">
              <w:rPr>
                <w:color w:val="000000"/>
                <w:sz w:val="18"/>
                <w:szCs w:val="18"/>
              </w:rPr>
              <w:t xml:space="preserve">Thousand </w:t>
            </w:r>
            <w:r>
              <w:rPr>
                <w:color w:val="000000"/>
                <w:sz w:val="18"/>
                <w:szCs w:val="18"/>
              </w:rPr>
              <w:t>Tons</w:t>
            </w:r>
          </w:p>
        </w:tc>
        <w:tc>
          <w:tcPr>
            <w:tcW w:w="470" w:type="pct"/>
            <w:tcBorders>
              <w:top w:val="single" w:sz="4" w:space="0" w:color="auto"/>
              <w:left w:val="nil"/>
              <w:bottom w:val="single" w:sz="4" w:space="0" w:color="auto"/>
              <w:right w:val="single" w:sz="4" w:space="0" w:color="auto"/>
            </w:tcBorders>
            <w:shd w:val="clear" w:color="auto" w:fill="auto"/>
            <w:noWrap/>
            <w:vAlign w:val="center"/>
            <w:hideMark/>
          </w:tcPr>
          <w:p w14:paraId="5EBD2A68" w14:textId="77777777" w:rsidR="00874916" w:rsidRPr="00910292" w:rsidRDefault="00874916" w:rsidP="00EA28C4">
            <w:pPr>
              <w:jc w:val="center"/>
              <w:rPr>
                <w:color w:val="000000"/>
                <w:sz w:val="18"/>
                <w:szCs w:val="18"/>
              </w:rPr>
            </w:pPr>
            <w:r w:rsidRPr="002C524B">
              <w:rPr>
                <w:color w:val="000000"/>
                <w:sz w:val="18"/>
                <w:szCs w:val="18"/>
              </w:rPr>
              <w:t>Percent</w:t>
            </w:r>
          </w:p>
        </w:tc>
        <w:tc>
          <w:tcPr>
            <w:tcW w:w="688" w:type="pct"/>
            <w:tcBorders>
              <w:top w:val="single" w:sz="4" w:space="0" w:color="auto"/>
              <w:left w:val="nil"/>
              <w:bottom w:val="single" w:sz="4" w:space="0" w:color="auto"/>
              <w:right w:val="nil"/>
            </w:tcBorders>
            <w:shd w:val="clear" w:color="auto" w:fill="auto"/>
            <w:noWrap/>
            <w:vAlign w:val="center"/>
            <w:hideMark/>
          </w:tcPr>
          <w:p w14:paraId="1A10CAF3" w14:textId="77777777" w:rsidR="00874916" w:rsidRPr="00910292" w:rsidRDefault="00874916" w:rsidP="00EA28C4">
            <w:pPr>
              <w:jc w:val="center"/>
              <w:rPr>
                <w:color w:val="000000"/>
                <w:sz w:val="18"/>
                <w:szCs w:val="18"/>
              </w:rPr>
            </w:pPr>
            <w:r w:rsidRPr="002C524B">
              <w:rPr>
                <w:color w:val="000000"/>
                <w:sz w:val="18"/>
                <w:szCs w:val="18"/>
              </w:rPr>
              <w:t>Importer</w:t>
            </w:r>
          </w:p>
        </w:tc>
        <w:tc>
          <w:tcPr>
            <w:tcW w:w="536" w:type="pct"/>
            <w:tcBorders>
              <w:top w:val="single" w:sz="4" w:space="0" w:color="auto"/>
              <w:left w:val="nil"/>
              <w:bottom w:val="single" w:sz="4" w:space="0" w:color="auto"/>
              <w:right w:val="nil"/>
            </w:tcBorders>
            <w:shd w:val="clear" w:color="auto" w:fill="auto"/>
            <w:noWrap/>
            <w:vAlign w:val="center"/>
            <w:hideMark/>
          </w:tcPr>
          <w:p w14:paraId="114686B9" w14:textId="77777777" w:rsidR="00874916" w:rsidRPr="00910292" w:rsidRDefault="00874916" w:rsidP="00EA28C4">
            <w:pPr>
              <w:jc w:val="center"/>
              <w:rPr>
                <w:color w:val="000000"/>
                <w:sz w:val="18"/>
                <w:szCs w:val="18"/>
              </w:rPr>
            </w:pPr>
            <w:r w:rsidRPr="002C524B">
              <w:rPr>
                <w:color w:val="000000"/>
                <w:sz w:val="18"/>
                <w:szCs w:val="18"/>
              </w:rPr>
              <w:t xml:space="preserve">Thousand </w:t>
            </w:r>
            <w:r>
              <w:rPr>
                <w:color w:val="000000"/>
                <w:sz w:val="18"/>
                <w:szCs w:val="18"/>
              </w:rPr>
              <w:t>Tons</w:t>
            </w:r>
          </w:p>
        </w:tc>
        <w:tc>
          <w:tcPr>
            <w:tcW w:w="430" w:type="pct"/>
            <w:tcBorders>
              <w:top w:val="single" w:sz="4" w:space="0" w:color="auto"/>
              <w:left w:val="nil"/>
              <w:bottom w:val="single" w:sz="4" w:space="0" w:color="auto"/>
            </w:tcBorders>
            <w:shd w:val="clear" w:color="auto" w:fill="auto"/>
            <w:noWrap/>
            <w:vAlign w:val="center"/>
            <w:hideMark/>
          </w:tcPr>
          <w:p w14:paraId="59AB34C2" w14:textId="77777777" w:rsidR="00874916" w:rsidRPr="00910292" w:rsidRDefault="00874916" w:rsidP="00EA28C4">
            <w:pPr>
              <w:jc w:val="center"/>
              <w:rPr>
                <w:color w:val="000000"/>
                <w:sz w:val="18"/>
                <w:szCs w:val="18"/>
              </w:rPr>
            </w:pPr>
            <w:r w:rsidRPr="002C524B">
              <w:rPr>
                <w:color w:val="000000"/>
                <w:sz w:val="18"/>
                <w:szCs w:val="18"/>
              </w:rPr>
              <w:t>Percent</w:t>
            </w:r>
          </w:p>
        </w:tc>
      </w:tr>
      <w:tr w:rsidR="00874916" w:rsidRPr="002C524B" w14:paraId="767A065B" w14:textId="77777777" w:rsidTr="00EA28C4">
        <w:trPr>
          <w:trHeight w:val="270"/>
          <w:jc w:val="center"/>
        </w:trPr>
        <w:tc>
          <w:tcPr>
            <w:tcW w:w="685" w:type="pct"/>
            <w:tcBorders>
              <w:top w:val="nil"/>
              <w:left w:val="nil"/>
              <w:bottom w:val="nil"/>
              <w:right w:val="nil"/>
            </w:tcBorders>
            <w:shd w:val="clear" w:color="auto" w:fill="auto"/>
            <w:noWrap/>
            <w:vAlign w:val="center"/>
            <w:hideMark/>
          </w:tcPr>
          <w:p w14:paraId="4B28A53A" w14:textId="77777777" w:rsidR="00874916" w:rsidRPr="00910292" w:rsidRDefault="00874916" w:rsidP="00EA28C4">
            <w:pPr>
              <w:jc w:val="center"/>
              <w:rPr>
                <w:color w:val="000000"/>
                <w:sz w:val="18"/>
                <w:szCs w:val="18"/>
              </w:rPr>
            </w:pPr>
            <w:r w:rsidRPr="00910292">
              <w:rPr>
                <w:color w:val="000000"/>
                <w:sz w:val="18"/>
                <w:szCs w:val="18"/>
              </w:rPr>
              <w:t>Morocco</w:t>
            </w:r>
          </w:p>
        </w:tc>
        <w:tc>
          <w:tcPr>
            <w:tcW w:w="526" w:type="pct"/>
            <w:tcBorders>
              <w:top w:val="nil"/>
              <w:left w:val="nil"/>
              <w:bottom w:val="nil"/>
              <w:right w:val="nil"/>
            </w:tcBorders>
            <w:shd w:val="clear" w:color="auto" w:fill="auto"/>
            <w:noWrap/>
            <w:vAlign w:val="center"/>
            <w:hideMark/>
          </w:tcPr>
          <w:p w14:paraId="71577F94" w14:textId="77777777" w:rsidR="00874916" w:rsidRPr="00910292" w:rsidRDefault="00874916" w:rsidP="00EA28C4">
            <w:pPr>
              <w:jc w:val="center"/>
              <w:rPr>
                <w:color w:val="000000"/>
                <w:sz w:val="18"/>
                <w:szCs w:val="18"/>
              </w:rPr>
            </w:pPr>
            <w:r w:rsidRPr="00910292">
              <w:rPr>
                <w:color w:val="000000"/>
                <w:sz w:val="18"/>
                <w:szCs w:val="18"/>
              </w:rPr>
              <w:t>63.59</w:t>
            </w:r>
          </w:p>
        </w:tc>
        <w:tc>
          <w:tcPr>
            <w:tcW w:w="419" w:type="pct"/>
            <w:tcBorders>
              <w:top w:val="nil"/>
              <w:left w:val="nil"/>
              <w:bottom w:val="nil"/>
              <w:right w:val="single" w:sz="4" w:space="0" w:color="auto"/>
            </w:tcBorders>
            <w:shd w:val="clear" w:color="auto" w:fill="auto"/>
            <w:noWrap/>
            <w:vAlign w:val="center"/>
            <w:hideMark/>
          </w:tcPr>
          <w:p w14:paraId="44C644FB" w14:textId="77777777" w:rsidR="00874916" w:rsidRPr="00910292" w:rsidRDefault="00874916" w:rsidP="00EA28C4">
            <w:pPr>
              <w:jc w:val="center"/>
              <w:rPr>
                <w:color w:val="000000"/>
                <w:sz w:val="18"/>
                <w:szCs w:val="18"/>
              </w:rPr>
            </w:pPr>
            <w:r w:rsidRPr="00910292">
              <w:rPr>
                <w:color w:val="000000"/>
                <w:sz w:val="18"/>
                <w:szCs w:val="18"/>
              </w:rPr>
              <w:t>19.68%</w:t>
            </w:r>
          </w:p>
        </w:tc>
        <w:tc>
          <w:tcPr>
            <w:tcW w:w="698" w:type="pct"/>
            <w:tcBorders>
              <w:top w:val="nil"/>
              <w:left w:val="nil"/>
              <w:bottom w:val="nil"/>
              <w:right w:val="nil"/>
            </w:tcBorders>
            <w:shd w:val="clear" w:color="auto" w:fill="auto"/>
            <w:noWrap/>
            <w:vAlign w:val="center"/>
            <w:hideMark/>
          </w:tcPr>
          <w:p w14:paraId="05512089" w14:textId="77777777" w:rsidR="00874916" w:rsidRPr="00910292" w:rsidRDefault="00874916" w:rsidP="00EA28C4">
            <w:pPr>
              <w:jc w:val="center"/>
              <w:rPr>
                <w:color w:val="000000"/>
                <w:sz w:val="18"/>
                <w:szCs w:val="18"/>
              </w:rPr>
            </w:pPr>
            <w:r w:rsidRPr="00910292">
              <w:rPr>
                <w:color w:val="000000"/>
                <w:sz w:val="18"/>
                <w:szCs w:val="18"/>
              </w:rPr>
              <w:t>Morocco</w:t>
            </w:r>
          </w:p>
        </w:tc>
        <w:tc>
          <w:tcPr>
            <w:tcW w:w="547" w:type="pct"/>
            <w:tcBorders>
              <w:top w:val="nil"/>
              <w:left w:val="nil"/>
              <w:bottom w:val="nil"/>
              <w:right w:val="nil"/>
            </w:tcBorders>
            <w:shd w:val="clear" w:color="auto" w:fill="auto"/>
            <w:noWrap/>
            <w:vAlign w:val="center"/>
            <w:hideMark/>
          </w:tcPr>
          <w:p w14:paraId="1459E8F6" w14:textId="77777777" w:rsidR="00874916" w:rsidRPr="00910292" w:rsidRDefault="00874916" w:rsidP="00EA28C4">
            <w:pPr>
              <w:jc w:val="center"/>
              <w:rPr>
                <w:color w:val="000000"/>
                <w:sz w:val="18"/>
                <w:szCs w:val="18"/>
              </w:rPr>
            </w:pPr>
            <w:r w:rsidRPr="00910292">
              <w:rPr>
                <w:color w:val="000000"/>
                <w:sz w:val="18"/>
                <w:szCs w:val="18"/>
              </w:rPr>
              <w:t>55.76</w:t>
            </w:r>
          </w:p>
        </w:tc>
        <w:tc>
          <w:tcPr>
            <w:tcW w:w="470" w:type="pct"/>
            <w:tcBorders>
              <w:top w:val="nil"/>
              <w:left w:val="nil"/>
              <w:bottom w:val="nil"/>
              <w:right w:val="single" w:sz="4" w:space="0" w:color="auto"/>
            </w:tcBorders>
            <w:shd w:val="clear" w:color="auto" w:fill="auto"/>
            <w:noWrap/>
            <w:vAlign w:val="center"/>
            <w:hideMark/>
          </w:tcPr>
          <w:p w14:paraId="584AD9E4" w14:textId="77777777" w:rsidR="00874916" w:rsidRPr="00910292" w:rsidRDefault="00874916" w:rsidP="00EA28C4">
            <w:pPr>
              <w:jc w:val="center"/>
              <w:rPr>
                <w:color w:val="000000"/>
                <w:sz w:val="18"/>
                <w:szCs w:val="18"/>
              </w:rPr>
            </w:pPr>
            <w:r w:rsidRPr="00910292">
              <w:rPr>
                <w:color w:val="000000"/>
                <w:sz w:val="18"/>
                <w:szCs w:val="18"/>
              </w:rPr>
              <w:t>17.79%</w:t>
            </w:r>
          </w:p>
        </w:tc>
        <w:tc>
          <w:tcPr>
            <w:tcW w:w="688" w:type="pct"/>
            <w:tcBorders>
              <w:top w:val="nil"/>
              <w:left w:val="nil"/>
              <w:bottom w:val="nil"/>
              <w:right w:val="nil"/>
            </w:tcBorders>
            <w:shd w:val="clear" w:color="auto" w:fill="auto"/>
            <w:noWrap/>
            <w:vAlign w:val="center"/>
            <w:hideMark/>
          </w:tcPr>
          <w:p w14:paraId="4A95E654" w14:textId="77777777" w:rsidR="00874916" w:rsidRPr="00910292" w:rsidRDefault="00874916" w:rsidP="00EA28C4">
            <w:pPr>
              <w:jc w:val="center"/>
              <w:rPr>
                <w:color w:val="000000"/>
                <w:sz w:val="18"/>
                <w:szCs w:val="18"/>
              </w:rPr>
            </w:pPr>
            <w:r w:rsidRPr="00910292">
              <w:rPr>
                <w:color w:val="000000"/>
                <w:sz w:val="18"/>
                <w:szCs w:val="18"/>
              </w:rPr>
              <w:t>Morocco</w:t>
            </w:r>
          </w:p>
        </w:tc>
        <w:tc>
          <w:tcPr>
            <w:tcW w:w="536" w:type="pct"/>
            <w:tcBorders>
              <w:top w:val="nil"/>
              <w:left w:val="nil"/>
              <w:bottom w:val="nil"/>
              <w:right w:val="nil"/>
            </w:tcBorders>
            <w:shd w:val="clear" w:color="auto" w:fill="auto"/>
            <w:noWrap/>
            <w:vAlign w:val="center"/>
            <w:hideMark/>
          </w:tcPr>
          <w:p w14:paraId="73B210EF" w14:textId="77777777" w:rsidR="00874916" w:rsidRPr="00910292" w:rsidRDefault="00874916" w:rsidP="00EA28C4">
            <w:pPr>
              <w:jc w:val="center"/>
              <w:rPr>
                <w:color w:val="000000"/>
                <w:sz w:val="18"/>
                <w:szCs w:val="18"/>
              </w:rPr>
            </w:pPr>
            <w:r w:rsidRPr="00910292">
              <w:rPr>
                <w:color w:val="000000"/>
                <w:sz w:val="18"/>
                <w:szCs w:val="18"/>
              </w:rPr>
              <w:t>61.19</w:t>
            </w:r>
          </w:p>
        </w:tc>
        <w:tc>
          <w:tcPr>
            <w:tcW w:w="430" w:type="pct"/>
            <w:tcBorders>
              <w:top w:val="nil"/>
              <w:left w:val="nil"/>
              <w:bottom w:val="nil"/>
              <w:right w:val="nil"/>
            </w:tcBorders>
            <w:shd w:val="clear" w:color="auto" w:fill="auto"/>
            <w:noWrap/>
            <w:vAlign w:val="center"/>
            <w:hideMark/>
          </w:tcPr>
          <w:p w14:paraId="11409AA9" w14:textId="77777777" w:rsidR="00874916" w:rsidRPr="00910292" w:rsidRDefault="00874916" w:rsidP="00EA28C4">
            <w:pPr>
              <w:jc w:val="center"/>
              <w:rPr>
                <w:color w:val="000000"/>
                <w:sz w:val="18"/>
                <w:szCs w:val="18"/>
              </w:rPr>
            </w:pPr>
            <w:r w:rsidRPr="00910292">
              <w:rPr>
                <w:color w:val="000000"/>
                <w:sz w:val="18"/>
                <w:szCs w:val="18"/>
              </w:rPr>
              <w:t>18.78%</w:t>
            </w:r>
          </w:p>
        </w:tc>
      </w:tr>
      <w:tr w:rsidR="00874916" w:rsidRPr="002C524B" w14:paraId="204BEC50" w14:textId="77777777" w:rsidTr="00EA28C4">
        <w:trPr>
          <w:trHeight w:val="270"/>
          <w:jc w:val="center"/>
        </w:trPr>
        <w:tc>
          <w:tcPr>
            <w:tcW w:w="685" w:type="pct"/>
            <w:tcBorders>
              <w:top w:val="nil"/>
              <w:left w:val="nil"/>
              <w:bottom w:val="nil"/>
              <w:right w:val="nil"/>
            </w:tcBorders>
            <w:shd w:val="clear" w:color="auto" w:fill="auto"/>
            <w:noWrap/>
            <w:vAlign w:val="center"/>
            <w:hideMark/>
          </w:tcPr>
          <w:p w14:paraId="4252BD68" w14:textId="77777777" w:rsidR="00874916" w:rsidRPr="00910292" w:rsidRDefault="00874916" w:rsidP="00EA28C4">
            <w:pPr>
              <w:jc w:val="center"/>
              <w:rPr>
                <w:color w:val="000000"/>
                <w:sz w:val="18"/>
                <w:szCs w:val="18"/>
              </w:rPr>
            </w:pPr>
            <w:r w:rsidRPr="00910292">
              <w:rPr>
                <w:color w:val="000000"/>
                <w:sz w:val="18"/>
                <w:szCs w:val="18"/>
              </w:rPr>
              <w:t>United States of America</w:t>
            </w:r>
          </w:p>
        </w:tc>
        <w:tc>
          <w:tcPr>
            <w:tcW w:w="526" w:type="pct"/>
            <w:tcBorders>
              <w:top w:val="nil"/>
              <w:left w:val="nil"/>
              <w:bottom w:val="nil"/>
              <w:right w:val="nil"/>
            </w:tcBorders>
            <w:shd w:val="clear" w:color="auto" w:fill="auto"/>
            <w:noWrap/>
            <w:vAlign w:val="center"/>
            <w:hideMark/>
          </w:tcPr>
          <w:p w14:paraId="7B390B6E" w14:textId="77777777" w:rsidR="00874916" w:rsidRPr="00910292" w:rsidRDefault="00874916" w:rsidP="00EA28C4">
            <w:pPr>
              <w:jc w:val="center"/>
              <w:rPr>
                <w:color w:val="000000"/>
                <w:sz w:val="18"/>
                <w:szCs w:val="18"/>
              </w:rPr>
            </w:pPr>
            <w:r w:rsidRPr="00910292">
              <w:rPr>
                <w:color w:val="000000"/>
                <w:sz w:val="18"/>
                <w:szCs w:val="18"/>
              </w:rPr>
              <w:t>23.86</w:t>
            </w:r>
          </w:p>
        </w:tc>
        <w:tc>
          <w:tcPr>
            <w:tcW w:w="419" w:type="pct"/>
            <w:tcBorders>
              <w:top w:val="nil"/>
              <w:left w:val="nil"/>
              <w:bottom w:val="nil"/>
              <w:right w:val="single" w:sz="4" w:space="0" w:color="auto"/>
            </w:tcBorders>
            <w:shd w:val="clear" w:color="auto" w:fill="auto"/>
            <w:noWrap/>
            <w:vAlign w:val="center"/>
            <w:hideMark/>
          </w:tcPr>
          <w:p w14:paraId="56787432" w14:textId="77777777" w:rsidR="00874916" w:rsidRPr="00910292" w:rsidRDefault="00874916" w:rsidP="00EA28C4">
            <w:pPr>
              <w:jc w:val="center"/>
              <w:rPr>
                <w:color w:val="000000"/>
                <w:sz w:val="18"/>
                <w:szCs w:val="18"/>
              </w:rPr>
            </w:pPr>
            <w:r w:rsidRPr="00910292">
              <w:rPr>
                <w:color w:val="000000"/>
                <w:sz w:val="18"/>
                <w:szCs w:val="18"/>
              </w:rPr>
              <w:t>7.39%</w:t>
            </w:r>
          </w:p>
        </w:tc>
        <w:tc>
          <w:tcPr>
            <w:tcW w:w="698" w:type="pct"/>
            <w:tcBorders>
              <w:top w:val="nil"/>
              <w:left w:val="nil"/>
              <w:bottom w:val="nil"/>
              <w:right w:val="nil"/>
            </w:tcBorders>
            <w:shd w:val="clear" w:color="auto" w:fill="auto"/>
            <w:noWrap/>
            <w:vAlign w:val="center"/>
            <w:hideMark/>
          </w:tcPr>
          <w:p w14:paraId="660E781B" w14:textId="77777777" w:rsidR="00874916" w:rsidRPr="00910292" w:rsidRDefault="00874916" w:rsidP="00EA28C4">
            <w:pPr>
              <w:jc w:val="center"/>
              <w:rPr>
                <w:color w:val="000000"/>
                <w:sz w:val="18"/>
                <w:szCs w:val="18"/>
              </w:rPr>
            </w:pPr>
            <w:r w:rsidRPr="00910292">
              <w:rPr>
                <w:color w:val="000000"/>
                <w:sz w:val="18"/>
                <w:szCs w:val="18"/>
              </w:rPr>
              <w:t>Uzbekistan</w:t>
            </w:r>
          </w:p>
        </w:tc>
        <w:tc>
          <w:tcPr>
            <w:tcW w:w="547" w:type="pct"/>
            <w:tcBorders>
              <w:top w:val="nil"/>
              <w:left w:val="nil"/>
              <w:bottom w:val="nil"/>
              <w:right w:val="nil"/>
            </w:tcBorders>
            <w:shd w:val="clear" w:color="auto" w:fill="auto"/>
            <w:noWrap/>
            <w:vAlign w:val="center"/>
            <w:hideMark/>
          </w:tcPr>
          <w:p w14:paraId="54228AC2" w14:textId="77777777" w:rsidR="00874916" w:rsidRPr="00910292" w:rsidRDefault="00874916" w:rsidP="00EA28C4">
            <w:pPr>
              <w:jc w:val="center"/>
              <w:rPr>
                <w:color w:val="000000"/>
                <w:sz w:val="18"/>
                <w:szCs w:val="18"/>
              </w:rPr>
            </w:pPr>
            <w:r w:rsidRPr="00910292">
              <w:rPr>
                <w:color w:val="000000"/>
                <w:sz w:val="18"/>
                <w:szCs w:val="18"/>
              </w:rPr>
              <w:t>25.86</w:t>
            </w:r>
          </w:p>
        </w:tc>
        <w:tc>
          <w:tcPr>
            <w:tcW w:w="470" w:type="pct"/>
            <w:tcBorders>
              <w:top w:val="nil"/>
              <w:left w:val="nil"/>
              <w:bottom w:val="nil"/>
              <w:right w:val="single" w:sz="4" w:space="0" w:color="auto"/>
            </w:tcBorders>
            <w:shd w:val="clear" w:color="auto" w:fill="auto"/>
            <w:noWrap/>
            <w:vAlign w:val="center"/>
            <w:hideMark/>
          </w:tcPr>
          <w:p w14:paraId="4C322458" w14:textId="77777777" w:rsidR="00874916" w:rsidRPr="00910292" w:rsidRDefault="00874916" w:rsidP="00EA28C4">
            <w:pPr>
              <w:jc w:val="center"/>
              <w:rPr>
                <w:color w:val="000000"/>
                <w:sz w:val="18"/>
                <w:szCs w:val="18"/>
              </w:rPr>
            </w:pPr>
            <w:r w:rsidRPr="00910292">
              <w:rPr>
                <w:color w:val="000000"/>
                <w:sz w:val="18"/>
                <w:szCs w:val="18"/>
              </w:rPr>
              <w:t>8.25%</w:t>
            </w:r>
          </w:p>
        </w:tc>
        <w:tc>
          <w:tcPr>
            <w:tcW w:w="688" w:type="pct"/>
            <w:tcBorders>
              <w:top w:val="nil"/>
              <w:left w:val="nil"/>
              <w:bottom w:val="nil"/>
              <w:right w:val="nil"/>
            </w:tcBorders>
            <w:shd w:val="clear" w:color="auto" w:fill="auto"/>
            <w:noWrap/>
            <w:vAlign w:val="center"/>
            <w:hideMark/>
          </w:tcPr>
          <w:p w14:paraId="3AA92514" w14:textId="77777777" w:rsidR="00874916" w:rsidRPr="00910292" w:rsidRDefault="00874916" w:rsidP="00EA28C4">
            <w:pPr>
              <w:jc w:val="center"/>
              <w:rPr>
                <w:color w:val="000000"/>
                <w:sz w:val="18"/>
                <w:szCs w:val="18"/>
              </w:rPr>
            </w:pPr>
            <w:r w:rsidRPr="00910292">
              <w:rPr>
                <w:color w:val="000000"/>
                <w:sz w:val="18"/>
                <w:szCs w:val="18"/>
              </w:rPr>
              <w:t>Uzbekistan</w:t>
            </w:r>
          </w:p>
        </w:tc>
        <w:tc>
          <w:tcPr>
            <w:tcW w:w="536" w:type="pct"/>
            <w:tcBorders>
              <w:top w:val="nil"/>
              <w:left w:val="nil"/>
              <w:bottom w:val="nil"/>
              <w:right w:val="nil"/>
            </w:tcBorders>
            <w:shd w:val="clear" w:color="auto" w:fill="auto"/>
            <w:noWrap/>
            <w:vAlign w:val="center"/>
            <w:hideMark/>
          </w:tcPr>
          <w:p w14:paraId="06003355" w14:textId="77777777" w:rsidR="00874916" w:rsidRPr="00910292" w:rsidRDefault="00874916" w:rsidP="00EA28C4">
            <w:pPr>
              <w:jc w:val="center"/>
              <w:rPr>
                <w:color w:val="000000"/>
                <w:sz w:val="18"/>
                <w:szCs w:val="18"/>
              </w:rPr>
            </w:pPr>
            <w:r w:rsidRPr="00910292">
              <w:rPr>
                <w:color w:val="000000"/>
                <w:sz w:val="18"/>
                <w:szCs w:val="18"/>
              </w:rPr>
              <w:t>23.42</w:t>
            </w:r>
          </w:p>
        </w:tc>
        <w:tc>
          <w:tcPr>
            <w:tcW w:w="430" w:type="pct"/>
            <w:tcBorders>
              <w:top w:val="nil"/>
              <w:left w:val="nil"/>
              <w:bottom w:val="nil"/>
              <w:right w:val="nil"/>
            </w:tcBorders>
            <w:shd w:val="clear" w:color="auto" w:fill="auto"/>
            <w:noWrap/>
            <w:vAlign w:val="center"/>
            <w:hideMark/>
          </w:tcPr>
          <w:p w14:paraId="50BDE6CB" w14:textId="77777777" w:rsidR="00874916" w:rsidRPr="00910292" w:rsidRDefault="00874916" w:rsidP="00EA28C4">
            <w:pPr>
              <w:jc w:val="center"/>
              <w:rPr>
                <w:color w:val="000000"/>
                <w:sz w:val="18"/>
                <w:szCs w:val="18"/>
              </w:rPr>
            </w:pPr>
            <w:r w:rsidRPr="00910292">
              <w:rPr>
                <w:color w:val="000000"/>
                <w:sz w:val="18"/>
                <w:szCs w:val="18"/>
              </w:rPr>
              <w:t>7.19%</w:t>
            </w:r>
          </w:p>
        </w:tc>
      </w:tr>
      <w:tr w:rsidR="00874916" w:rsidRPr="002C524B" w14:paraId="78D81141" w14:textId="77777777" w:rsidTr="00EA28C4">
        <w:trPr>
          <w:trHeight w:val="270"/>
          <w:jc w:val="center"/>
        </w:trPr>
        <w:tc>
          <w:tcPr>
            <w:tcW w:w="685" w:type="pct"/>
            <w:tcBorders>
              <w:top w:val="nil"/>
              <w:left w:val="nil"/>
              <w:bottom w:val="nil"/>
              <w:right w:val="nil"/>
            </w:tcBorders>
            <w:shd w:val="clear" w:color="auto" w:fill="auto"/>
            <w:noWrap/>
            <w:vAlign w:val="center"/>
            <w:hideMark/>
          </w:tcPr>
          <w:p w14:paraId="1BB5887D" w14:textId="77777777" w:rsidR="00874916" w:rsidRPr="00910292" w:rsidRDefault="00874916" w:rsidP="00EA28C4">
            <w:pPr>
              <w:jc w:val="center"/>
              <w:rPr>
                <w:color w:val="000000"/>
                <w:sz w:val="18"/>
                <w:szCs w:val="18"/>
              </w:rPr>
            </w:pPr>
            <w:r w:rsidRPr="00910292">
              <w:rPr>
                <w:color w:val="000000"/>
                <w:sz w:val="18"/>
                <w:szCs w:val="18"/>
              </w:rPr>
              <w:t>Uzbekistan</w:t>
            </w:r>
          </w:p>
        </w:tc>
        <w:tc>
          <w:tcPr>
            <w:tcW w:w="526" w:type="pct"/>
            <w:tcBorders>
              <w:top w:val="nil"/>
              <w:left w:val="nil"/>
              <w:bottom w:val="nil"/>
              <w:right w:val="nil"/>
            </w:tcBorders>
            <w:shd w:val="clear" w:color="auto" w:fill="auto"/>
            <w:noWrap/>
            <w:vAlign w:val="center"/>
            <w:hideMark/>
          </w:tcPr>
          <w:p w14:paraId="1E41EB92" w14:textId="77777777" w:rsidR="00874916" w:rsidRPr="00910292" w:rsidRDefault="00874916" w:rsidP="00EA28C4">
            <w:pPr>
              <w:jc w:val="center"/>
              <w:rPr>
                <w:color w:val="000000"/>
                <w:sz w:val="18"/>
                <w:szCs w:val="18"/>
              </w:rPr>
            </w:pPr>
            <w:r w:rsidRPr="00910292">
              <w:rPr>
                <w:color w:val="000000"/>
                <w:sz w:val="18"/>
                <w:szCs w:val="18"/>
              </w:rPr>
              <w:t>18.55</w:t>
            </w:r>
          </w:p>
        </w:tc>
        <w:tc>
          <w:tcPr>
            <w:tcW w:w="419" w:type="pct"/>
            <w:tcBorders>
              <w:top w:val="nil"/>
              <w:left w:val="nil"/>
              <w:bottom w:val="nil"/>
              <w:right w:val="single" w:sz="4" w:space="0" w:color="auto"/>
            </w:tcBorders>
            <w:shd w:val="clear" w:color="auto" w:fill="auto"/>
            <w:noWrap/>
            <w:vAlign w:val="center"/>
            <w:hideMark/>
          </w:tcPr>
          <w:p w14:paraId="61F6F071" w14:textId="77777777" w:rsidR="00874916" w:rsidRPr="00910292" w:rsidRDefault="00874916" w:rsidP="00EA28C4">
            <w:pPr>
              <w:jc w:val="center"/>
              <w:rPr>
                <w:color w:val="000000"/>
                <w:sz w:val="18"/>
                <w:szCs w:val="18"/>
              </w:rPr>
            </w:pPr>
            <w:r w:rsidRPr="00910292">
              <w:rPr>
                <w:color w:val="000000"/>
                <w:sz w:val="18"/>
                <w:szCs w:val="18"/>
              </w:rPr>
              <w:t>5.74%</w:t>
            </w:r>
          </w:p>
        </w:tc>
        <w:tc>
          <w:tcPr>
            <w:tcW w:w="698" w:type="pct"/>
            <w:tcBorders>
              <w:top w:val="nil"/>
              <w:left w:val="nil"/>
              <w:bottom w:val="nil"/>
              <w:right w:val="nil"/>
            </w:tcBorders>
            <w:shd w:val="clear" w:color="auto" w:fill="auto"/>
            <w:noWrap/>
            <w:vAlign w:val="center"/>
            <w:hideMark/>
          </w:tcPr>
          <w:p w14:paraId="597305ED" w14:textId="77777777" w:rsidR="00874916" w:rsidRPr="00910292" w:rsidRDefault="00874916" w:rsidP="00EA28C4">
            <w:pPr>
              <w:jc w:val="center"/>
              <w:rPr>
                <w:color w:val="000000"/>
                <w:sz w:val="18"/>
                <w:szCs w:val="18"/>
              </w:rPr>
            </w:pPr>
            <w:r w:rsidRPr="00910292">
              <w:rPr>
                <w:color w:val="000000"/>
                <w:sz w:val="18"/>
                <w:szCs w:val="18"/>
              </w:rPr>
              <w:t>United States of America</w:t>
            </w:r>
          </w:p>
        </w:tc>
        <w:tc>
          <w:tcPr>
            <w:tcW w:w="547" w:type="pct"/>
            <w:tcBorders>
              <w:top w:val="nil"/>
              <w:left w:val="nil"/>
              <w:bottom w:val="nil"/>
              <w:right w:val="nil"/>
            </w:tcBorders>
            <w:shd w:val="clear" w:color="auto" w:fill="auto"/>
            <w:noWrap/>
            <w:vAlign w:val="center"/>
            <w:hideMark/>
          </w:tcPr>
          <w:p w14:paraId="2CB73E00" w14:textId="77777777" w:rsidR="00874916" w:rsidRPr="00910292" w:rsidRDefault="00874916" w:rsidP="00EA28C4">
            <w:pPr>
              <w:jc w:val="center"/>
              <w:rPr>
                <w:color w:val="000000"/>
                <w:sz w:val="18"/>
                <w:szCs w:val="18"/>
              </w:rPr>
            </w:pPr>
            <w:r w:rsidRPr="00910292">
              <w:rPr>
                <w:color w:val="000000"/>
                <w:sz w:val="18"/>
                <w:szCs w:val="18"/>
              </w:rPr>
              <w:t>24.32</w:t>
            </w:r>
          </w:p>
        </w:tc>
        <w:tc>
          <w:tcPr>
            <w:tcW w:w="470" w:type="pct"/>
            <w:tcBorders>
              <w:top w:val="nil"/>
              <w:left w:val="nil"/>
              <w:bottom w:val="nil"/>
              <w:right w:val="single" w:sz="4" w:space="0" w:color="auto"/>
            </w:tcBorders>
            <w:shd w:val="clear" w:color="auto" w:fill="auto"/>
            <w:noWrap/>
            <w:vAlign w:val="center"/>
            <w:hideMark/>
          </w:tcPr>
          <w:p w14:paraId="0CD244DE" w14:textId="77777777" w:rsidR="00874916" w:rsidRPr="00910292" w:rsidRDefault="00874916" w:rsidP="00EA28C4">
            <w:pPr>
              <w:jc w:val="center"/>
              <w:rPr>
                <w:color w:val="000000"/>
                <w:sz w:val="18"/>
                <w:szCs w:val="18"/>
              </w:rPr>
            </w:pPr>
            <w:r w:rsidRPr="00910292">
              <w:rPr>
                <w:color w:val="000000"/>
                <w:sz w:val="18"/>
                <w:szCs w:val="18"/>
              </w:rPr>
              <w:t>7.76%</w:t>
            </w:r>
          </w:p>
        </w:tc>
        <w:tc>
          <w:tcPr>
            <w:tcW w:w="688" w:type="pct"/>
            <w:tcBorders>
              <w:top w:val="nil"/>
              <w:left w:val="nil"/>
              <w:bottom w:val="nil"/>
              <w:right w:val="nil"/>
            </w:tcBorders>
            <w:shd w:val="clear" w:color="auto" w:fill="auto"/>
            <w:noWrap/>
            <w:vAlign w:val="center"/>
            <w:hideMark/>
          </w:tcPr>
          <w:p w14:paraId="79A8BB55" w14:textId="77777777" w:rsidR="00874916" w:rsidRPr="00910292" w:rsidRDefault="00874916" w:rsidP="00EA28C4">
            <w:pPr>
              <w:jc w:val="center"/>
              <w:rPr>
                <w:color w:val="000000"/>
                <w:sz w:val="18"/>
                <w:szCs w:val="18"/>
              </w:rPr>
            </w:pPr>
            <w:r w:rsidRPr="00910292">
              <w:rPr>
                <w:color w:val="000000"/>
                <w:sz w:val="18"/>
                <w:szCs w:val="18"/>
              </w:rPr>
              <w:t>United States of America</w:t>
            </w:r>
          </w:p>
        </w:tc>
        <w:tc>
          <w:tcPr>
            <w:tcW w:w="536" w:type="pct"/>
            <w:tcBorders>
              <w:top w:val="nil"/>
              <w:left w:val="nil"/>
              <w:bottom w:val="nil"/>
              <w:right w:val="nil"/>
            </w:tcBorders>
            <w:shd w:val="clear" w:color="auto" w:fill="auto"/>
            <w:noWrap/>
            <w:vAlign w:val="center"/>
            <w:hideMark/>
          </w:tcPr>
          <w:p w14:paraId="59279F0B" w14:textId="77777777" w:rsidR="00874916" w:rsidRPr="00910292" w:rsidRDefault="00874916" w:rsidP="00EA28C4">
            <w:pPr>
              <w:jc w:val="center"/>
              <w:rPr>
                <w:color w:val="000000"/>
                <w:sz w:val="18"/>
                <w:szCs w:val="18"/>
              </w:rPr>
            </w:pPr>
            <w:r w:rsidRPr="00910292">
              <w:rPr>
                <w:color w:val="000000"/>
                <w:sz w:val="18"/>
                <w:szCs w:val="18"/>
              </w:rPr>
              <w:t>22.08</w:t>
            </w:r>
          </w:p>
        </w:tc>
        <w:tc>
          <w:tcPr>
            <w:tcW w:w="430" w:type="pct"/>
            <w:tcBorders>
              <w:top w:val="nil"/>
              <w:left w:val="nil"/>
              <w:bottom w:val="nil"/>
              <w:right w:val="nil"/>
            </w:tcBorders>
            <w:shd w:val="clear" w:color="auto" w:fill="auto"/>
            <w:noWrap/>
            <w:vAlign w:val="center"/>
            <w:hideMark/>
          </w:tcPr>
          <w:p w14:paraId="600D49E0" w14:textId="77777777" w:rsidR="00874916" w:rsidRPr="00910292" w:rsidRDefault="00874916" w:rsidP="00EA28C4">
            <w:pPr>
              <w:jc w:val="center"/>
              <w:rPr>
                <w:color w:val="000000"/>
                <w:sz w:val="18"/>
                <w:szCs w:val="18"/>
              </w:rPr>
            </w:pPr>
            <w:r w:rsidRPr="00910292">
              <w:rPr>
                <w:color w:val="000000"/>
                <w:sz w:val="18"/>
                <w:szCs w:val="18"/>
              </w:rPr>
              <w:t>6.78%</w:t>
            </w:r>
          </w:p>
        </w:tc>
      </w:tr>
      <w:tr w:rsidR="00874916" w:rsidRPr="002C524B" w14:paraId="77B23FE6" w14:textId="77777777" w:rsidTr="00EA28C4">
        <w:trPr>
          <w:trHeight w:val="270"/>
          <w:jc w:val="center"/>
        </w:trPr>
        <w:tc>
          <w:tcPr>
            <w:tcW w:w="685" w:type="pct"/>
            <w:tcBorders>
              <w:top w:val="nil"/>
              <w:left w:val="nil"/>
              <w:bottom w:val="nil"/>
              <w:right w:val="nil"/>
            </w:tcBorders>
            <w:shd w:val="clear" w:color="auto" w:fill="auto"/>
            <w:noWrap/>
            <w:vAlign w:val="center"/>
            <w:hideMark/>
          </w:tcPr>
          <w:p w14:paraId="141AE69F" w14:textId="77777777" w:rsidR="00874916" w:rsidRPr="00910292" w:rsidRDefault="00874916" w:rsidP="00EA28C4">
            <w:pPr>
              <w:jc w:val="center"/>
              <w:rPr>
                <w:color w:val="000000"/>
                <w:sz w:val="18"/>
                <w:szCs w:val="18"/>
              </w:rPr>
            </w:pPr>
            <w:r w:rsidRPr="00910292">
              <w:rPr>
                <w:color w:val="000000"/>
                <w:sz w:val="18"/>
                <w:szCs w:val="18"/>
              </w:rPr>
              <w:t>Japan</w:t>
            </w:r>
          </w:p>
        </w:tc>
        <w:tc>
          <w:tcPr>
            <w:tcW w:w="526" w:type="pct"/>
            <w:tcBorders>
              <w:top w:val="nil"/>
              <w:left w:val="nil"/>
              <w:bottom w:val="nil"/>
              <w:right w:val="nil"/>
            </w:tcBorders>
            <w:shd w:val="clear" w:color="auto" w:fill="auto"/>
            <w:noWrap/>
            <w:vAlign w:val="center"/>
            <w:hideMark/>
          </w:tcPr>
          <w:p w14:paraId="670E2CEA" w14:textId="77777777" w:rsidR="00874916" w:rsidRPr="00910292" w:rsidRDefault="00874916" w:rsidP="00EA28C4">
            <w:pPr>
              <w:jc w:val="center"/>
              <w:rPr>
                <w:color w:val="000000"/>
                <w:sz w:val="18"/>
                <w:szCs w:val="18"/>
              </w:rPr>
            </w:pPr>
            <w:r w:rsidRPr="00910292">
              <w:rPr>
                <w:color w:val="000000"/>
                <w:sz w:val="18"/>
                <w:szCs w:val="18"/>
              </w:rPr>
              <w:t>18.10</w:t>
            </w:r>
          </w:p>
        </w:tc>
        <w:tc>
          <w:tcPr>
            <w:tcW w:w="419" w:type="pct"/>
            <w:tcBorders>
              <w:top w:val="nil"/>
              <w:left w:val="nil"/>
              <w:bottom w:val="nil"/>
              <w:right w:val="single" w:sz="4" w:space="0" w:color="auto"/>
            </w:tcBorders>
            <w:shd w:val="clear" w:color="auto" w:fill="auto"/>
            <w:noWrap/>
            <w:vAlign w:val="center"/>
            <w:hideMark/>
          </w:tcPr>
          <w:p w14:paraId="25DDEDF8" w14:textId="77777777" w:rsidR="00874916" w:rsidRPr="00910292" w:rsidRDefault="00874916" w:rsidP="00EA28C4">
            <w:pPr>
              <w:jc w:val="center"/>
              <w:rPr>
                <w:color w:val="000000"/>
                <w:sz w:val="18"/>
                <w:szCs w:val="18"/>
              </w:rPr>
            </w:pPr>
            <w:r w:rsidRPr="00910292">
              <w:rPr>
                <w:color w:val="000000"/>
                <w:sz w:val="18"/>
                <w:szCs w:val="18"/>
              </w:rPr>
              <w:t>5.60%</w:t>
            </w:r>
          </w:p>
        </w:tc>
        <w:tc>
          <w:tcPr>
            <w:tcW w:w="698" w:type="pct"/>
            <w:tcBorders>
              <w:top w:val="nil"/>
              <w:left w:val="nil"/>
              <w:bottom w:val="nil"/>
              <w:right w:val="nil"/>
            </w:tcBorders>
            <w:shd w:val="clear" w:color="auto" w:fill="auto"/>
            <w:noWrap/>
            <w:vAlign w:val="center"/>
            <w:hideMark/>
          </w:tcPr>
          <w:p w14:paraId="4DFEF838" w14:textId="77777777" w:rsidR="00874916" w:rsidRPr="00910292" w:rsidRDefault="00874916" w:rsidP="00EA28C4">
            <w:pPr>
              <w:jc w:val="center"/>
              <w:rPr>
                <w:color w:val="000000"/>
                <w:sz w:val="18"/>
                <w:szCs w:val="18"/>
              </w:rPr>
            </w:pPr>
            <w:r w:rsidRPr="00910292">
              <w:rPr>
                <w:color w:val="000000"/>
                <w:sz w:val="18"/>
                <w:szCs w:val="18"/>
              </w:rPr>
              <w:t>Japan</w:t>
            </w:r>
          </w:p>
        </w:tc>
        <w:tc>
          <w:tcPr>
            <w:tcW w:w="547" w:type="pct"/>
            <w:tcBorders>
              <w:top w:val="nil"/>
              <w:left w:val="nil"/>
              <w:bottom w:val="nil"/>
              <w:right w:val="nil"/>
            </w:tcBorders>
            <w:shd w:val="clear" w:color="auto" w:fill="auto"/>
            <w:noWrap/>
            <w:vAlign w:val="center"/>
            <w:hideMark/>
          </w:tcPr>
          <w:p w14:paraId="49854DDE" w14:textId="77777777" w:rsidR="00874916" w:rsidRPr="00910292" w:rsidRDefault="00874916" w:rsidP="00EA28C4">
            <w:pPr>
              <w:jc w:val="center"/>
              <w:rPr>
                <w:color w:val="000000"/>
                <w:sz w:val="18"/>
                <w:szCs w:val="18"/>
              </w:rPr>
            </w:pPr>
            <w:r w:rsidRPr="00910292">
              <w:rPr>
                <w:color w:val="000000"/>
                <w:sz w:val="18"/>
                <w:szCs w:val="18"/>
              </w:rPr>
              <w:t>17.32</w:t>
            </w:r>
          </w:p>
        </w:tc>
        <w:tc>
          <w:tcPr>
            <w:tcW w:w="470" w:type="pct"/>
            <w:tcBorders>
              <w:top w:val="nil"/>
              <w:left w:val="nil"/>
              <w:bottom w:val="nil"/>
              <w:right w:val="single" w:sz="4" w:space="0" w:color="auto"/>
            </w:tcBorders>
            <w:shd w:val="clear" w:color="auto" w:fill="auto"/>
            <w:noWrap/>
            <w:vAlign w:val="center"/>
            <w:hideMark/>
          </w:tcPr>
          <w:p w14:paraId="1A09091B" w14:textId="77777777" w:rsidR="00874916" w:rsidRPr="00910292" w:rsidRDefault="00874916" w:rsidP="00EA28C4">
            <w:pPr>
              <w:jc w:val="center"/>
              <w:rPr>
                <w:color w:val="000000"/>
                <w:sz w:val="18"/>
                <w:szCs w:val="18"/>
              </w:rPr>
            </w:pPr>
            <w:r w:rsidRPr="00910292">
              <w:rPr>
                <w:color w:val="000000"/>
                <w:sz w:val="18"/>
                <w:szCs w:val="18"/>
              </w:rPr>
              <w:t>5.53%</w:t>
            </w:r>
          </w:p>
        </w:tc>
        <w:tc>
          <w:tcPr>
            <w:tcW w:w="688" w:type="pct"/>
            <w:tcBorders>
              <w:top w:val="nil"/>
              <w:left w:val="nil"/>
              <w:bottom w:val="nil"/>
              <w:right w:val="nil"/>
            </w:tcBorders>
            <w:shd w:val="clear" w:color="auto" w:fill="auto"/>
            <w:noWrap/>
            <w:vAlign w:val="center"/>
            <w:hideMark/>
          </w:tcPr>
          <w:p w14:paraId="67AF00E9" w14:textId="77777777" w:rsidR="00874916" w:rsidRPr="00910292" w:rsidRDefault="00874916" w:rsidP="00EA28C4">
            <w:pPr>
              <w:jc w:val="center"/>
              <w:rPr>
                <w:color w:val="000000"/>
                <w:sz w:val="18"/>
                <w:szCs w:val="18"/>
              </w:rPr>
            </w:pPr>
            <w:r w:rsidRPr="00910292">
              <w:rPr>
                <w:color w:val="000000"/>
                <w:sz w:val="18"/>
                <w:szCs w:val="18"/>
              </w:rPr>
              <w:t>Mauritania</w:t>
            </w:r>
          </w:p>
        </w:tc>
        <w:tc>
          <w:tcPr>
            <w:tcW w:w="536" w:type="pct"/>
            <w:tcBorders>
              <w:top w:val="nil"/>
              <w:left w:val="nil"/>
              <w:bottom w:val="nil"/>
              <w:right w:val="nil"/>
            </w:tcBorders>
            <w:shd w:val="clear" w:color="auto" w:fill="auto"/>
            <w:noWrap/>
            <w:vAlign w:val="center"/>
            <w:hideMark/>
          </w:tcPr>
          <w:p w14:paraId="3FC2DC03" w14:textId="77777777" w:rsidR="00874916" w:rsidRPr="00910292" w:rsidRDefault="00874916" w:rsidP="00EA28C4">
            <w:pPr>
              <w:jc w:val="center"/>
              <w:rPr>
                <w:color w:val="000000"/>
                <w:sz w:val="18"/>
                <w:szCs w:val="18"/>
              </w:rPr>
            </w:pPr>
            <w:r w:rsidRPr="00910292">
              <w:rPr>
                <w:color w:val="000000"/>
                <w:sz w:val="18"/>
                <w:szCs w:val="18"/>
              </w:rPr>
              <w:t>18.19</w:t>
            </w:r>
          </w:p>
        </w:tc>
        <w:tc>
          <w:tcPr>
            <w:tcW w:w="430" w:type="pct"/>
            <w:tcBorders>
              <w:top w:val="nil"/>
              <w:left w:val="nil"/>
              <w:bottom w:val="nil"/>
              <w:right w:val="nil"/>
            </w:tcBorders>
            <w:shd w:val="clear" w:color="auto" w:fill="auto"/>
            <w:noWrap/>
            <w:vAlign w:val="center"/>
            <w:hideMark/>
          </w:tcPr>
          <w:p w14:paraId="317F321D" w14:textId="77777777" w:rsidR="00874916" w:rsidRPr="00910292" w:rsidRDefault="00874916" w:rsidP="00EA28C4">
            <w:pPr>
              <w:jc w:val="center"/>
              <w:rPr>
                <w:color w:val="000000"/>
                <w:sz w:val="18"/>
                <w:szCs w:val="18"/>
              </w:rPr>
            </w:pPr>
            <w:r w:rsidRPr="00910292">
              <w:rPr>
                <w:color w:val="000000"/>
                <w:sz w:val="18"/>
                <w:szCs w:val="18"/>
              </w:rPr>
              <w:t>5.58%</w:t>
            </w:r>
          </w:p>
        </w:tc>
      </w:tr>
      <w:tr w:rsidR="00874916" w:rsidRPr="002C524B" w14:paraId="3BFEDB58" w14:textId="77777777" w:rsidTr="00EA28C4">
        <w:trPr>
          <w:trHeight w:val="270"/>
          <w:jc w:val="center"/>
        </w:trPr>
        <w:tc>
          <w:tcPr>
            <w:tcW w:w="685" w:type="pct"/>
            <w:tcBorders>
              <w:top w:val="nil"/>
              <w:left w:val="nil"/>
              <w:bottom w:val="nil"/>
              <w:right w:val="nil"/>
            </w:tcBorders>
            <w:shd w:val="clear" w:color="auto" w:fill="auto"/>
            <w:noWrap/>
            <w:vAlign w:val="center"/>
            <w:hideMark/>
          </w:tcPr>
          <w:p w14:paraId="0C4A51B2" w14:textId="77777777" w:rsidR="00874916" w:rsidRPr="00910292" w:rsidRDefault="00874916" w:rsidP="00EA28C4">
            <w:pPr>
              <w:jc w:val="center"/>
              <w:rPr>
                <w:color w:val="000000"/>
                <w:sz w:val="18"/>
                <w:szCs w:val="18"/>
              </w:rPr>
            </w:pPr>
            <w:r w:rsidRPr="00910292">
              <w:rPr>
                <w:color w:val="000000"/>
                <w:sz w:val="18"/>
                <w:szCs w:val="18"/>
              </w:rPr>
              <w:t>Russian Federation</w:t>
            </w:r>
          </w:p>
        </w:tc>
        <w:tc>
          <w:tcPr>
            <w:tcW w:w="526" w:type="pct"/>
            <w:tcBorders>
              <w:top w:val="nil"/>
              <w:left w:val="nil"/>
              <w:bottom w:val="nil"/>
              <w:right w:val="nil"/>
            </w:tcBorders>
            <w:shd w:val="clear" w:color="auto" w:fill="auto"/>
            <w:noWrap/>
            <w:vAlign w:val="center"/>
            <w:hideMark/>
          </w:tcPr>
          <w:p w14:paraId="1A2CC5F3" w14:textId="77777777" w:rsidR="00874916" w:rsidRPr="00910292" w:rsidRDefault="00874916" w:rsidP="00EA28C4">
            <w:pPr>
              <w:jc w:val="center"/>
              <w:rPr>
                <w:color w:val="000000"/>
                <w:sz w:val="18"/>
                <w:szCs w:val="18"/>
              </w:rPr>
            </w:pPr>
            <w:r w:rsidRPr="00910292">
              <w:rPr>
                <w:color w:val="000000"/>
                <w:sz w:val="18"/>
                <w:szCs w:val="18"/>
              </w:rPr>
              <w:t>17.87</w:t>
            </w:r>
          </w:p>
        </w:tc>
        <w:tc>
          <w:tcPr>
            <w:tcW w:w="419" w:type="pct"/>
            <w:tcBorders>
              <w:top w:val="nil"/>
              <w:left w:val="nil"/>
              <w:bottom w:val="nil"/>
              <w:right w:val="single" w:sz="4" w:space="0" w:color="auto"/>
            </w:tcBorders>
            <w:shd w:val="clear" w:color="auto" w:fill="auto"/>
            <w:noWrap/>
            <w:vAlign w:val="center"/>
            <w:hideMark/>
          </w:tcPr>
          <w:p w14:paraId="42B2BC2A" w14:textId="77777777" w:rsidR="00874916" w:rsidRPr="00910292" w:rsidRDefault="00874916" w:rsidP="00EA28C4">
            <w:pPr>
              <w:jc w:val="center"/>
              <w:rPr>
                <w:color w:val="000000"/>
                <w:sz w:val="18"/>
                <w:szCs w:val="18"/>
              </w:rPr>
            </w:pPr>
            <w:r w:rsidRPr="00910292">
              <w:rPr>
                <w:color w:val="000000"/>
                <w:sz w:val="18"/>
                <w:szCs w:val="18"/>
              </w:rPr>
              <w:t>5.53%</w:t>
            </w:r>
          </w:p>
        </w:tc>
        <w:tc>
          <w:tcPr>
            <w:tcW w:w="698" w:type="pct"/>
            <w:tcBorders>
              <w:top w:val="nil"/>
              <w:left w:val="nil"/>
              <w:bottom w:val="nil"/>
              <w:right w:val="nil"/>
            </w:tcBorders>
            <w:shd w:val="clear" w:color="auto" w:fill="auto"/>
            <w:noWrap/>
            <w:vAlign w:val="center"/>
            <w:hideMark/>
          </w:tcPr>
          <w:p w14:paraId="5DE97CA2" w14:textId="77777777" w:rsidR="00874916" w:rsidRPr="00910292" w:rsidRDefault="00874916" w:rsidP="00EA28C4">
            <w:pPr>
              <w:jc w:val="center"/>
              <w:rPr>
                <w:color w:val="000000"/>
                <w:sz w:val="18"/>
                <w:szCs w:val="18"/>
              </w:rPr>
            </w:pPr>
            <w:r w:rsidRPr="00910292">
              <w:rPr>
                <w:color w:val="000000"/>
                <w:sz w:val="18"/>
                <w:szCs w:val="18"/>
              </w:rPr>
              <w:t>Russian Federation</w:t>
            </w:r>
          </w:p>
        </w:tc>
        <w:tc>
          <w:tcPr>
            <w:tcW w:w="547" w:type="pct"/>
            <w:tcBorders>
              <w:top w:val="nil"/>
              <w:left w:val="nil"/>
              <w:bottom w:val="nil"/>
              <w:right w:val="nil"/>
            </w:tcBorders>
            <w:shd w:val="clear" w:color="auto" w:fill="auto"/>
            <w:noWrap/>
            <w:vAlign w:val="center"/>
            <w:hideMark/>
          </w:tcPr>
          <w:p w14:paraId="615F49D6" w14:textId="77777777" w:rsidR="00874916" w:rsidRPr="00910292" w:rsidRDefault="00874916" w:rsidP="00EA28C4">
            <w:pPr>
              <w:jc w:val="center"/>
              <w:rPr>
                <w:color w:val="000000"/>
                <w:sz w:val="18"/>
                <w:szCs w:val="18"/>
              </w:rPr>
            </w:pPr>
            <w:r w:rsidRPr="00910292">
              <w:rPr>
                <w:color w:val="000000"/>
                <w:sz w:val="18"/>
                <w:szCs w:val="18"/>
              </w:rPr>
              <w:t>15.30</w:t>
            </w:r>
          </w:p>
        </w:tc>
        <w:tc>
          <w:tcPr>
            <w:tcW w:w="470" w:type="pct"/>
            <w:tcBorders>
              <w:top w:val="nil"/>
              <w:left w:val="nil"/>
              <w:bottom w:val="nil"/>
              <w:right w:val="single" w:sz="4" w:space="0" w:color="auto"/>
            </w:tcBorders>
            <w:shd w:val="clear" w:color="auto" w:fill="auto"/>
            <w:noWrap/>
            <w:vAlign w:val="center"/>
            <w:hideMark/>
          </w:tcPr>
          <w:p w14:paraId="1FA081AB" w14:textId="77777777" w:rsidR="00874916" w:rsidRPr="00910292" w:rsidRDefault="00874916" w:rsidP="00EA28C4">
            <w:pPr>
              <w:jc w:val="center"/>
              <w:rPr>
                <w:color w:val="000000"/>
                <w:sz w:val="18"/>
                <w:szCs w:val="18"/>
              </w:rPr>
            </w:pPr>
            <w:r w:rsidRPr="00910292">
              <w:rPr>
                <w:color w:val="000000"/>
                <w:sz w:val="18"/>
                <w:szCs w:val="18"/>
              </w:rPr>
              <w:t>4.88%</w:t>
            </w:r>
          </w:p>
        </w:tc>
        <w:tc>
          <w:tcPr>
            <w:tcW w:w="688" w:type="pct"/>
            <w:tcBorders>
              <w:top w:val="nil"/>
              <w:left w:val="nil"/>
              <w:bottom w:val="nil"/>
              <w:right w:val="nil"/>
            </w:tcBorders>
            <w:shd w:val="clear" w:color="auto" w:fill="auto"/>
            <w:noWrap/>
            <w:vAlign w:val="center"/>
            <w:hideMark/>
          </w:tcPr>
          <w:p w14:paraId="6B9B3850" w14:textId="77777777" w:rsidR="00874916" w:rsidRPr="00910292" w:rsidRDefault="00874916" w:rsidP="00EA28C4">
            <w:pPr>
              <w:jc w:val="center"/>
              <w:rPr>
                <w:color w:val="000000"/>
                <w:sz w:val="18"/>
                <w:szCs w:val="18"/>
              </w:rPr>
            </w:pPr>
            <w:r w:rsidRPr="00910292">
              <w:rPr>
                <w:color w:val="000000"/>
                <w:sz w:val="18"/>
                <w:szCs w:val="18"/>
              </w:rPr>
              <w:t>Japan</w:t>
            </w:r>
          </w:p>
        </w:tc>
        <w:tc>
          <w:tcPr>
            <w:tcW w:w="536" w:type="pct"/>
            <w:tcBorders>
              <w:top w:val="nil"/>
              <w:left w:val="nil"/>
              <w:bottom w:val="nil"/>
              <w:right w:val="nil"/>
            </w:tcBorders>
            <w:shd w:val="clear" w:color="auto" w:fill="auto"/>
            <w:noWrap/>
            <w:vAlign w:val="center"/>
            <w:hideMark/>
          </w:tcPr>
          <w:p w14:paraId="3CCC41EF" w14:textId="77777777" w:rsidR="00874916" w:rsidRPr="00910292" w:rsidRDefault="00874916" w:rsidP="00EA28C4">
            <w:pPr>
              <w:jc w:val="center"/>
              <w:rPr>
                <w:color w:val="000000"/>
                <w:sz w:val="18"/>
                <w:szCs w:val="18"/>
              </w:rPr>
            </w:pPr>
            <w:r w:rsidRPr="00910292">
              <w:rPr>
                <w:color w:val="000000"/>
                <w:sz w:val="18"/>
                <w:szCs w:val="18"/>
              </w:rPr>
              <w:t>17.55</w:t>
            </w:r>
          </w:p>
        </w:tc>
        <w:tc>
          <w:tcPr>
            <w:tcW w:w="430" w:type="pct"/>
            <w:tcBorders>
              <w:top w:val="nil"/>
              <w:left w:val="nil"/>
              <w:bottom w:val="nil"/>
              <w:right w:val="nil"/>
            </w:tcBorders>
            <w:shd w:val="clear" w:color="auto" w:fill="auto"/>
            <w:noWrap/>
            <w:vAlign w:val="center"/>
            <w:hideMark/>
          </w:tcPr>
          <w:p w14:paraId="030A44D2" w14:textId="77777777" w:rsidR="00874916" w:rsidRPr="00910292" w:rsidRDefault="00874916" w:rsidP="00EA28C4">
            <w:pPr>
              <w:jc w:val="center"/>
              <w:rPr>
                <w:color w:val="000000"/>
                <w:sz w:val="18"/>
                <w:szCs w:val="18"/>
              </w:rPr>
            </w:pPr>
            <w:r w:rsidRPr="00910292">
              <w:rPr>
                <w:color w:val="000000"/>
                <w:sz w:val="18"/>
                <w:szCs w:val="18"/>
              </w:rPr>
              <w:t>5.39%</w:t>
            </w:r>
          </w:p>
        </w:tc>
      </w:tr>
      <w:tr w:rsidR="00874916" w:rsidRPr="002C524B" w14:paraId="655293DA" w14:textId="77777777" w:rsidTr="00EA28C4">
        <w:trPr>
          <w:trHeight w:val="270"/>
          <w:jc w:val="center"/>
        </w:trPr>
        <w:tc>
          <w:tcPr>
            <w:tcW w:w="685" w:type="pct"/>
            <w:tcBorders>
              <w:top w:val="nil"/>
              <w:left w:val="nil"/>
              <w:bottom w:val="nil"/>
              <w:right w:val="nil"/>
            </w:tcBorders>
            <w:shd w:val="clear" w:color="auto" w:fill="auto"/>
            <w:noWrap/>
            <w:vAlign w:val="center"/>
            <w:hideMark/>
          </w:tcPr>
          <w:p w14:paraId="3B319B82" w14:textId="77777777" w:rsidR="00874916" w:rsidRPr="00910292" w:rsidRDefault="00874916" w:rsidP="00EA28C4">
            <w:pPr>
              <w:jc w:val="center"/>
              <w:rPr>
                <w:color w:val="000000"/>
                <w:sz w:val="18"/>
                <w:szCs w:val="18"/>
              </w:rPr>
            </w:pPr>
            <w:r w:rsidRPr="00910292">
              <w:rPr>
                <w:color w:val="000000"/>
                <w:sz w:val="18"/>
                <w:szCs w:val="18"/>
              </w:rPr>
              <w:t>Algeria</w:t>
            </w:r>
          </w:p>
        </w:tc>
        <w:tc>
          <w:tcPr>
            <w:tcW w:w="526" w:type="pct"/>
            <w:tcBorders>
              <w:top w:val="nil"/>
              <w:left w:val="nil"/>
              <w:bottom w:val="nil"/>
              <w:right w:val="nil"/>
            </w:tcBorders>
            <w:shd w:val="clear" w:color="auto" w:fill="auto"/>
            <w:noWrap/>
            <w:vAlign w:val="center"/>
            <w:hideMark/>
          </w:tcPr>
          <w:p w14:paraId="7927A137" w14:textId="77777777" w:rsidR="00874916" w:rsidRPr="00910292" w:rsidRDefault="00874916" w:rsidP="00EA28C4">
            <w:pPr>
              <w:jc w:val="center"/>
              <w:rPr>
                <w:color w:val="000000"/>
                <w:sz w:val="18"/>
                <w:szCs w:val="18"/>
              </w:rPr>
            </w:pPr>
            <w:r w:rsidRPr="00910292">
              <w:rPr>
                <w:color w:val="000000"/>
                <w:sz w:val="18"/>
                <w:szCs w:val="18"/>
              </w:rPr>
              <w:t>15.91</w:t>
            </w:r>
          </w:p>
        </w:tc>
        <w:tc>
          <w:tcPr>
            <w:tcW w:w="419" w:type="pct"/>
            <w:tcBorders>
              <w:top w:val="nil"/>
              <w:left w:val="nil"/>
              <w:bottom w:val="nil"/>
              <w:right w:val="single" w:sz="4" w:space="0" w:color="auto"/>
            </w:tcBorders>
            <w:shd w:val="clear" w:color="auto" w:fill="auto"/>
            <w:noWrap/>
            <w:vAlign w:val="center"/>
            <w:hideMark/>
          </w:tcPr>
          <w:p w14:paraId="0060B6C4" w14:textId="77777777" w:rsidR="00874916" w:rsidRPr="00910292" w:rsidRDefault="00874916" w:rsidP="00EA28C4">
            <w:pPr>
              <w:jc w:val="center"/>
              <w:rPr>
                <w:color w:val="000000"/>
                <w:sz w:val="18"/>
                <w:szCs w:val="18"/>
              </w:rPr>
            </w:pPr>
            <w:r w:rsidRPr="00910292">
              <w:rPr>
                <w:color w:val="000000"/>
                <w:sz w:val="18"/>
                <w:szCs w:val="18"/>
              </w:rPr>
              <w:t>4.93%</w:t>
            </w:r>
          </w:p>
        </w:tc>
        <w:tc>
          <w:tcPr>
            <w:tcW w:w="698" w:type="pct"/>
            <w:tcBorders>
              <w:top w:val="nil"/>
              <w:left w:val="nil"/>
              <w:bottom w:val="nil"/>
              <w:right w:val="nil"/>
            </w:tcBorders>
            <w:shd w:val="clear" w:color="auto" w:fill="auto"/>
            <w:noWrap/>
            <w:vAlign w:val="center"/>
            <w:hideMark/>
          </w:tcPr>
          <w:p w14:paraId="19503361" w14:textId="77777777" w:rsidR="00874916" w:rsidRPr="00910292" w:rsidRDefault="00874916" w:rsidP="00EA28C4">
            <w:pPr>
              <w:jc w:val="center"/>
              <w:rPr>
                <w:color w:val="000000"/>
                <w:sz w:val="18"/>
                <w:szCs w:val="18"/>
              </w:rPr>
            </w:pPr>
            <w:r w:rsidRPr="00910292">
              <w:rPr>
                <w:color w:val="000000"/>
                <w:sz w:val="18"/>
                <w:szCs w:val="18"/>
              </w:rPr>
              <w:t>Algeria</w:t>
            </w:r>
          </w:p>
        </w:tc>
        <w:tc>
          <w:tcPr>
            <w:tcW w:w="547" w:type="pct"/>
            <w:tcBorders>
              <w:top w:val="nil"/>
              <w:left w:val="nil"/>
              <w:bottom w:val="nil"/>
              <w:right w:val="nil"/>
            </w:tcBorders>
            <w:shd w:val="clear" w:color="auto" w:fill="auto"/>
            <w:noWrap/>
            <w:vAlign w:val="center"/>
            <w:hideMark/>
          </w:tcPr>
          <w:p w14:paraId="34CFD03B" w14:textId="77777777" w:rsidR="00874916" w:rsidRPr="00910292" w:rsidRDefault="00874916" w:rsidP="00EA28C4">
            <w:pPr>
              <w:jc w:val="center"/>
              <w:rPr>
                <w:color w:val="000000"/>
                <w:sz w:val="18"/>
                <w:szCs w:val="18"/>
              </w:rPr>
            </w:pPr>
            <w:r w:rsidRPr="00910292">
              <w:rPr>
                <w:color w:val="000000"/>
                <w:sz w:val="18"/>
                <w:szCs w:val="18"/>
              </w:rPr>
              <w:t>14.39</w:t>
            </w:r>
          </w:p>
        </w:tc>
        <w:tc>
          <w:tcPr>
            <w:tcW w:w="470" w:type="pct"/>
            <w:tcBorders>
              <w:top w:val="nil"/>
              <w:left w:val="nil"/>
              <w:bottom w:val="nil"/>
              <w:right w:val="single" w:sz="4" w:space="0" w:color="auto"/>
            </w:tcBorders>
            <w:shd w:val="clear" w:color="auto" w:fill="auto"/>
            <w:noWrap/>
            <w:vAlign w:val="center"/>
            <w:hideMark/>
          </w:tcPr>
          <w:p w14:paraId="23742DED" w14:textId="77777777" w:rsidR="00874916" w:rsidRPr="00910292" w:rsidRDefault="00874916" w:rsidP="00EA28C4">
            <w:pPr>
              <w:jc w:val="center"/>
              <w:rPr>
                <w:color w:val="000000"/>
                <w:sz w:val="18"/>
                <w:szCs w:val="18"/>
              </w:rPr>
            </w:pPr>
            <w:r w:rsidRPr="00910292">
              <w:rPr>
                <w:color w:val="000000"/>
                <w:sz w:val="18"/>
                <w:szCs w:val="18"/>
              </w:rPr>
              <w:t>4.59%</w:t>
            </w:r>
          </w:p>
        </w:tc>
        <w:tc>
          <w:tcPr>
            <w:tcW w:w="688" w:type="pct"/>
            <w:tcBorders>
              <w:top w:val="nil"/>
              <w:left w:val="nil"/>
              <w:bottom w:val="nil"/>
              <w:right w:val="nil"/>
            </w:tcBorders>
            <w:shd w:val="clear" w:color="auto" w:fill="auto"/>
            <w:noWrap/>
            <w:vAlign w:val="center"/>
            <w:hideMark/>
          </w:tcPr>
          <w:p w14:paraId="3B129585" w14:textId="77777777" w:rsidR="00874916" w:rsidRPr="00910292" w:rsidRDefault="00874916" w:rsidP="00EA28C4">
            <w:pPr>
              <w:jc w:val="center"/>
              <w:rPr>
                <w:color w:val="000000"/>
                <w:sz w:val="18"/>
                <w:szCs w:val="18"/>
              </w:rPr>
            </w:pPr>
            <w:r w:rsidRPr="00910292">
              <w:rPr>
                <w:color w:val="000000"/>
                <w:sz w:val="18"/>
                <w:szCs w:val="18"/>
              </w:rPr>
              <w:t>Russian Federation</w:t>
            </w:r>
          </w:p>
        </w:tc>
        <w:tc>
          <w:tcPr>
            <w:tcW w:w="536" w:type="pct"/>
            <w:tcBorders>
              <w:top w:val="nil"/>
              <w:left w:val="nil"/>
              <w:bottom w:val="nil"/>
              <w:right w:val="nil"/>
            </w:tcBorders>
            <w:shd w:val="clear" w:color="auto" w:fill="auto"/>
            <w:noWrap/>
            <w:vAlign w:val="center"/>
            <w:hideMark/>
          </w:tcPr>
          <w:p w14:paraId="52FEE08A" w14:textId="77777777" w:rsidR="00874916" w:rsidRPr="00910292" w:rsidRDefault="00874916" w:rsidP="00EA28C4">
            <w:pPr>
              <w:jc w:val="center"/>
              <w:rPr>
                <w:color w:val="000000"/>
                <w:sz w:val="18"/>
                <w:szCs w:val="18"/>
              </w:rPr>
            </w:pPr>
            <w:r w:rsidRPr="00910292">
              <w:rPr>
                <w:color w:val="000000"/>
                <w:sz w:val="18"/>
                <w:szCs w:val="18"/>
              </w:rPr>
              <w:t>13.53</w:t>
            </w:r>
          </w:p>
        </w:tc>
        <w:tc>
          <w:tcPr>
            <w:tcW w:w="430" w:type="pct"/>
            <w:tcBorders>
              <w:top w:val="nil"/>
              <w:left w:val="nil"/>
              <w:bottom w:val="nil"/>
              <w:right w:val="nil"/>
            </w:tcBorders>
            <w:shd w:val="clear" w:color="auto" w:fill="auto"/>
            <w:noWrap/>
            <w:vAlign w:val="center"/>
            <w:hideMark/>
          </w:tcPr>
          <w:p w14:paraId="16F8E414" w14:textId="77777777" w:rsidR="00874916" w:rsidRPr="00910292" w:rsidRDefault="00874916" w:rsidP="00EA28C4">
            <w:pPr>
              <w:jc w:val="center"/>
              <w:rPr>
                <w:color w:val="000000"/>
                <w:sz w:val="18"/>
                <w:szCs w:val="18"/>
              </w:rPr>
            </w:pPr>
            <w:r w:rsidRPr="00910292">
              <w:rPr>
                <w:color w:val="000000"/>
                <w:sz w:val="18"/>
                <w:szCs w:val="18"/>
              </w:rPr>
              <w:t>4.15%</w:t>
            </w:r>
          </w:p>
        </w:tc>
      </w:tr>
      <w:tr w:rsidR="00874916" w:rsidRPr="002C524B" w14:paraId="4E43C747" w14:textId="77777777" w:rsidTr="00EA28C4">
        <w:trPr>
          <w:trHeight w:val="270"/>
          <w:jc w:val="center"/>
        </w:trPr>
        <w:tc>
          <w:tcPr>
            <w:tcW w:w="685" w:type="pct"/>
            <w:tcBorders>
              <w:top w:val="nil"/>
              <w:left w:val="nil"/>
              <w:bottom w:val="nil"/>
              <w:right w:val="nil"/>
            </w:tcBorders>
            <w:shd w:val="clear" w:color="auto" w:fill="auto"/>
            <w:noWrap/>
            <w:vAlign w:val="center"/>
            <w:hideMark/>
          </w:tcPr>
          <w:p w14:paraId="2BFF0211" w14:textId="77777777" w:rsidR="00874916" w:rsidRPr="00910292" w:rsidRDefault="00874916" w:rsidP="00EA28C4">
            <w:pPr>
              <w:jc w:val="center"/>
              <w:rPr>
                <w:color w:val="000000"/>
                <w:sz w:val="18"/>
                <w:szCs w:val="18"/>
              </w:rPr>
            </w:pPr>
            <w:r w:rsidRPr="00910292">
              <w:rPr>
                <w:color w:val="000000"/>
                <w:sz w:val="18"/>
                <w:szCs w:val="18"/>
              </w:rPr>
              <w:t>Mauritania</w:t>
            </w:r>
          </w:p>
        </w:tc>
        <w:tc>
          <w:tcPr>
            <w:tcW w:w="526" w:type="pct"/>
            <w:tcBorders>
              <w:top w:val="nil"/>
              <w:left w:val="nil"/>
              <w:bottom w:val="nil"/>
              <w:right w:val="nil"/>
            </w:tcBorders>
            <w:shd w:val="clear" w:color="auto" w:fill="auto"/>
            <w:noWrap/>
            <w:vAlign w:val="center"/>
            <w:hideMark/>
          </w:tcPr>
          <w:p w14:paraId="70FF00EB" w14:textId="77777777" w:rsidR="00874916" w:rsidRPr="00910292" w:rsidRDefault="00874916" w:rsidP="00EA28C4">
            <w:pPr>
              <w:jc w:val="center"/>
              <w:rPr>
                <w:color w:val="000000"/>
                <w:sz w:val="18"/>
                <w:szCs w:val="18"/>
              </w:rPr>
            </w:pPr>
            <w:r w:rsidRPr="00910292">
              <w:rPr>
                <w:color w:val="000000"/>
                <w:sz w:val="18"/>
                <w:szCs w:val="18"/>
              </w:rPr>
              <w:t>12.33</w:t>
            </w:r>
          </w:p>
        </w:tc>
        <w:tc>
          <w:tcPr>
            <w:tcW w:w="419" w:type="pct"/>
            <w:tcBorders>
              <w:top w:val="nil"/>
              <w:left w:val="nil"/>
              <w:bottom w:val="nil"/>
              <w:right w:val="single" w:sz="4" w:space="0" w:color="auto"/>
            </w:tcBorders>
            <w:shd w:val="clear" w:color="auto" w:fill="auto"/>
            <w:noWrap/>
            <w:vAlign w:val="center"/>
            <w:hideMark/>
          </w:tcPr>
          <w:p w14:paraId="01D320CD" w14:textId="77777777" w:rsidR="00874916" w:rsidRPr="00910292" w:rsidRDefault="00874916" w:rsidP="00EA28C4">
            <w:pPr>
              <w:jc w:val="center"/>
              <w:rPr>
                <w:color w:val="000000"/>
                <w:sz w:val="18"/>
                <w:szCs w:val="18"/>
              </w:rPr>
            </w:pPr>
            <w:r w:rsidRPr="00910292">
              <w:rPr>
                <w:color w:val="000000"/>
                <w:sz w:val="18"/>
                <w:szCs w:val="18"/>
              </w:rPr>
              <w:t>3.81%</w:t>
            </w:r>
          </w:p>
        </w:tc>
        <w:tc>
          <w:tcPr>
            <w:tcW w:w="698" w:type="pct"/>
            <w:tcBorders>
              <w:top w:val="nil"/>
              <w:left w:val="nil"/>
              <w:bottom w:val="nil"/>
              <w:right w:val="nil"/>
            </w:tcBorders>
            <w:shd w:val="clear" w:color="auto" w:fill="auto"/>
            <w:noWrap/>
            <w:vAlign w:val="center"/>
            <w:hideMark/>
          </w:tcPr>
          <w:p w14:paraId="1B9DFB77" w14:textId="77777777" w:rsidR="00874916" w:rsidRPr="00910292" w:rsidRDefault="00874916" w:rsidP="00EA28C4">
            <w:pPr>
              <w:jc w:val="center"/>
              <w:rPr>
                <w:color w:val="000000"/>
                <w:sz w:val="18"/>
                <w:szCs w:val="18"/>
              </w:rPr>
            </w:pPr>
            <w:r w:rsidRPr="00910292">
              <w:rPr>
                <w:color w:val="000000"/>
                <w:sz w:val="18"/>
                <w:szCs w:val="18"/>
              </w:rPr>
              <w:t>Mauritania</w:t>
            </w:r>
          </w:p>
        </w:tc>
        <w:tc>
          <w:tcPr>
            <w:tcW w:w="547" w:type="pct"/>
            <w:tcBorders>
              <w:top w:val="nil"/>
              <w:left w:val="nil"/>
              <w:bottom w:val="nil"/>
              <w:right w:val="nil"/>
            </w:tcBorders>
            <w:shd w:val="clear" w:color="auto" w:fill="auto"/>
            <w:noWrap/>
            <w:vAlign w:val="center"/>
            <w:hideMark/>
          </w:tcPr>
          <w:p w14:paraId="16C4D768" w14:textId="77777777" w:rsidR="00874916" w:rsidRPr="00910292" w:rsidRDefault="00874916" w:rsidP="00EA28C4">
            <w:pPr>
              <w:jc w:val="center"/>
              <w:rPr>
                <w:color w:val="000000"/>
                <w:sz w:val="18"/>
                <w:szCs w:val="18"/>
              </w:rPr>
            </w:pPr>
            <w:r w:rsidRPr="00910292">
              <w:rPr>
                <w:color w:val="000000"/>
                <w:sz w:val="18"/>
                <w:szCs w:val="18"/>
              </w:rPr>
              <w:t>12.51</w:t>
            </w:r>
          </w:p>
        </w:tc>
        <w:tc>
          <w:tcPr>
            <w:tcW w:w="470" w:type="pct"/>
            <w:tcBorders>
              <w:top w:val="nil"/>
              <w:left w:val="nil"/>
              <w:bottom w:val="nil"/>
              <w:right w:val="single" w:sz="4" w:space="0" w:color="auto"/>
            </w:tcBorders>
            <w:shd w:val="clear" w:color="auto" w:fill="auto"/>
            <w:noWrap/>
            <w:vAlign w:val="center"/>
            <w:hideMark/>
          </w:tcPr>
          <w:p w14:paraId="18886CBA" w14:textId="77777777" w:rsidR="00874916" w:rsidRPr="00910292" w:rsidRDefault="00874916" w:rsidP="00EA28C4">
            <w:pPr>
              <w:jc w:val="center"/>
              <w:rPr>
                <w:color w:val="000000"/>
                <w:sz w:val="18"/>
                <w:szCs w:val="18"/>
              </w:rPr>
            </w:pPr>
            <w:r w:rsidRPr="00910292">
              <w:rPr>
                <w:color w:val="000000"/>
                <w:sz w:val="18"/>
                <w:szCs w:val="18"/>
              </w:rPr>
              <w:t>3.99%</w:t>
            </w:r>
          </w:p>
        </w:tc>
        <w:tc>
          <w:tcPr>
            <w:tcW w:w="688" w:type="pct"/>
            <w:tcBorders>
              <w:top w:val="nil"/>
              <w:left w:val="nil"/>
              <w:bottom w:val="nil"/>
              <w:right w:val="nil"/>
            </w:tcBorders>
            <w:shd w:val="clear" w:color="auto" w:fill="auto"/>
            <w:noWrap/>
            <w:vAlign w:val="center"/>
            <w:hideMark/>
          </w:tcPr>
          <w:p w14:paraId="44BFDB09" w14:textId="77777777" w:rsidR="00874916" w:rsidRPr="00910292" w:rsidRDefault="00874916" w:rsidP="00EA28C4">
            <w:pPr>
              <w:jc w:val="center"/>
              <w:rPr>
                <w:color w:val="000000"/>
                <w:sz w:val="18"/>
                <w:szCs w:val="18"/>
              </w:rPr>
            </w:pPr>
            <w:r w:rsidRPr="00910292">
              <w:rPr>
                <w:color w:val="000000"/>
                <w:sz w:val="18"/>
                <w:szCs w:val="18"/>
              </w:rPr>
              <w:t>Algeria</w:t>
            </w:r>
          </w:p>
        </w:tc>
        <w:tc>
          <w:tcPr>
            <w:tcW w:w="536" w:type="pct"/>
            <w:tcBorders>
              <w:top w:val="nil"/>
              <w:left w:val="nil"/>
              <w:bottom w:val="nil"/>
              <w:right w:val="nil"/>
            </w:tcBorders>
            <w:shd w:val="clear" w:color="auto" w:fill="auto"/>
            <w:noWrap/>
            <w:vAlign w:val="center"/>
            <w:hideMark/>
          </w:tcPr>
          <w:p w14:paraId="0F42BC58" w14:textId="77777777" w:rsidR="00874916" w:rsidRPr="00910292" w:rsidRDefault="00874916" w:rsidP="00EA28C4">
            <w:pPr>
              <w:jc w:val="center"/>
              <w:rPr>
                <w:color w:val="000000"/>
                <w:sz w:val="18"/>
                <w:szCs w:val="18"/>
              </w:rPr>
            </w:pPr>
            <w:r w:rsidRPr="00910292">
              <w:rPr>
                <w:color w:val="000000"/>
                <w:sz w:val="18"/>
                <w:szCs w:val="18"/>
              </w:rPr>
              <w:t>13.36</w:t>
            </w:r>
          </w:p>
        </w:tc>
        <w:tc>
          <w:tcPr>
            <w:tcW w:w="430" w:type="pct"/>
            <w:tcBorders>
              <w:top w:val="nil"/>
              <w:left w:val="nil"/>
              <w:bottom w:val="nil"/>
              <w:right w:val="nil"/>
            </w:tcBorders>
            <w:shd w:val="clear" w:color="auto" w:fill="auto"/>
            <w:noWrap/>
            <w:vAlign w:val="center"/>
            <w:hideMark/>
          </w:tcPr>
          <w:p w14:paraId="0E4027CE" w14:textId="77777777" w:rsidR="00874916" w:rsidRPr="00910292" w:rsidRDefault="00874916" w:rsidP="00EA28C4">
            <w:pPr>
              <w:jc w:val="center"/>
              <w:rPr>
                <w:color w:val="000000"/>
                <w:sz w:val="18"/>
                <w:szCs w:val="18"/>
              </w:rPr>
            </w:pPr>
            <w:r w:rsidRPr="00910292">
              <w:rPr>
                <w:color w:val="000000"/>
                <w:sz w:val="18"/>
                <w:szCs w:val="18"/>
              </w:rPr>
              <w:t>4.10%</w:t>
            </w:r>
          </w:p>
        </w:tc>
      </w:tr>
      <w:tr w:rsidR="00874916" w:rsidRPr="002C524B" w14:paraId="384C1E8B" w14:textId="77777777" w:rsidTr="00EA28C4">
        <w:trPr>
          <w:trHeight w:val="270"/>
          <w:jc w:val="center"/>
        </w:trPr>
        <w:tc>
          <w:tcPr>
            <w:tcW w:w="685" w:type="pct"/>
            <w:tcBorders>
              <w:top w:val="nil"/>
              <w:left w:val="nil"/>
              <w:bottom w:val="nil"/>
              <w:right w:val="nil"/>
            </w:tcBorders>
            <w:shd w:val="clear" w:color="auto" w:fill="auto"/>
            <w:noWrap/>
            <w:vAlign w:val="center"/>
            <w:hideMark/>
          </w:tcPr>
          <w:p w14:paraId="1940C689" w14:textId="77777777" w:rsidR="00874916" w:rsidRPr="00910292" w:rsidRDefault="00874916" w:rsidP="00EA28C4">
            <w:pPr>
              <w:jc w:val="center"/>
              <w:rPr>
                <w:color w:val="000000"/>
                <w:sz w:val="18"/>
                <w:szCs w:val="18"/>
              </w:rPr>
            </w:pPr>
            <w:r w:rsidRPr="00910292">
              <w:rPr>
                <w:color w:val="000000"/>
                <w:sz w:val="18"/>
                <w:szCs w:val="18"/>
              </w:rPr>
              <w:t>Hong Kong, China</w:t>
            </w:r>
          </w:p>
        </w:tc>
        <w:tc>
          <w:tcPr>
            <w:tcW w:w="526" w:type="pct"/>
            <w:tcBorders>
              <w:top w:val="nil"/>
              <w:left w:val="nil"/>
              <w:bottom w:val="nil"/>
              <w:right w:val="nil"/>
            </w:tcBorders>
            <w:shd w:val="clear" w:color="auto" w:fill="auto"/>
            <w:noWrap/>
            <w:vAlign w:val="center"/>
            <w:hideMark/>
          </w:tcPr>
          <w:p w14:paraId="650D4425" w14:textId="77777777" w:rsidR="00874916" w:rsidRPr="00910292" w:rsidRDefault="00874916" w:rsidP="00EA28C4">
            <w:pPr>
              <w:jc w:val="center"/>
              <w:rPr>
                <w:color w:val="000000"/>
                <w:sz w:val="18"/>
                <w:szCs w:val="18"/>
              </w:rPr>
            </w:pPr>
            <w:r w:rsidRPr="00910292">
              <w:rPr>
                <w:color w:val="000000"/>
                <w:sz w:val="18"/>
                <w:szCs w:val="18"/>
              </w:rPr>
              <w:t>11.48</w:t>
            </w:r>
          </w:p>
        </w:tc>
        <w:tc>
          <w:tcPr>
            <w:tcW w:w="419" w:type="pct"/>
            <w:tcBorders>
              <w:top w:val="nil"/>
              <w:left w:val="nil"/>
              <w:bottom w:val="nil"/>
              <w:right w:val="single" w:sz="4" w:space="0" w:color="auto"/>
            </w:tcBorders>
            <w:shd w:val="clear" w:color="auto" w:fill="auto"/>
            <w:noWrap/>
            <w:vAlign w:val="center"/>
            <w:hideMark/>
          </w:tcPr>
          <w:p w14:paraId="48FC1921" w14:textId="77777777" w:rsidR="00874916" w:rsidRPr="00910292" w:rsidRDefault="00874916" w:rsidP="00EA28C4">
            <w:pPr>
              <w:jc w:val="center"/>
              <w:rPr>
                <w:color w:val="000000"/>
                <w:sz w:val="18"/>
                <w:szCs w:val="18"/>
              </w:rPr>
            </w:pPr>
            <w:r w:rsidRPr="00910292">
              <w:rPr>
                <w:color w:val="000000"/>
                <w:sz w:val="18"/>
                <w:szCs w:val="18"/>
              </w:rPr>
              <w:t>3.55%</w:t>
            </w:r>
          </w:p>
        </w:tc>
        <w:tc>
          <w:tcPr>
            <w:tcW w:w="698" w:type="pct"/>
            <w:tcBorders>
              <w:top w:val="nil"/>
              <w:left w:val="nil"/>
              <w:bottom w:val="nil"/>
              <w:right w:val="nil"/>
            </w:tcBorders>
            <w:shd w:val="clear" w:color="auto" w:fill="auto"/>
            <w:noWrap/>
            <w:vAlign w:val="center"/>
            <w:hideMark/>
          </w:tcPr>
          <w:p w14:paraId="0A5CF117" w14:textId="77777777" w:rsidR="00874916" w:rsidRPr="00910292" w:rsidRDefault="00874916" w:rsidP="00EA28C4">
            <w:pPr>
              <w:jc w:val="center"/>
              <w:rPr>
                <w:color w:val="000000"/>
                <w:sz w:val="18"/>
                <w:szCs w:val="18"/>
              </w:rPr>
            </w:pPr>
            <w:r w:rsidRPr="00910292">
              <w:rPr>
                <w:color w:val="000000"/>
                <w:sz w:val="18"/>
                <w:szCs w:val="18"/>
              </w:rPr>
              <w:t>Togo</w:t>
            </w:r>
          </w:p>
        </w:tc>
        <w:tc>
          <w:tcPr>
            <w:tcW w:w="547" w:type="pct"/>
            <w:tcBorders>
              <w:top w:val="nil"/>
              <w:left w:val="nil"/>
              <w:bottom w:val="nil"/>
              <w:right w:val="nil"/>
            </w:tcBorders>
            <w:shd w:val="clear" w:color="auto" w:fill="auto"/>
            <w:noWrap/>
            <w:vAlign w:val="center"/>
            <w:hideMark/>
          </w:tcPr>
          <w:p w14:paraId="2A99BAA0" w14:textId="77777777" w:rsidR="00874916" w:rsidRPr="00910292" w:rsidRDefault="00874916" w:rsidP="00EA28C4">
            <w:pPr>
              <w:jc w:val="center"/>
              <w:rPr>
                <w:color w:val="000000"/>
                <w:sz w:val="18"/>
                <w:szCs w:val="18"/>
              </w:rPr>
            </w:pPr>
            <w:r w:rsidRPr="00910292">
              <w:rPr>
                <w:color w:val="000000"/>
                <w:sz w:val="18"/>
                <w:szCs w:val="18"/>
              </w:rPr>
              <w:t>12.18</w:t>
            </w:r>
          </w:p>
        </w:tc>
        <w:tc>
          <w:tcPr>
            <w:tcW w:w="470" w:type="pct"/>
            <w:tcBorders>
              <w:top w:val="nil"/>
              <w:left w:val="nil"/>
              <w:bottom w:val="nil"/>
              <w:right w:val="single" w:sz="4" w:space="0" w:color="auto"/>
            </w:tcBorders>
            <w:shd w:val="clear" w:color="auto" w:fill="auto"/>
            <w:noWrap/>
            <w:vAlign w:val="center"/>
            <w:hideMark/>
          </w:tcPr>
          <w:p w14:paraId="66995999" w14:textId="77777777" w:rsidR="00874916" w:rsidRPr="00910292" w:rsidRDefault="00874916" w:rsidP="00EA28C4">
            <w:pPr>
              <w:jc w:val="center"/>
              <w:rPr>
                <w:color w:val="000000"/>
                <w:sz w:val="18"/>
                <w:szCs w:val="18"/>
              </w:rPr>
            </w:pPr>
            <w:r w:rsidRPr="00910292">
              <w:rPr>
                <w:color w:val="000000"/>
                <w:sz w:val="18"/>
                <w:szCs w:val="18"/>
              </w:rPr>
              <w:t>3.88%</w:t>
            </w:r>
          </w:p>
        </w:tc>
        <w:tc>
          <w:tcPr>
            <w:tcW w:w="688" w:type="pct"/>
            <w:tcBorders>
              <w:top w:val="nil"/>
              <w:left w:val="nil"/>
              <w:bottom w:val="nil"/>
              <w:right w:val="nil"/>
            </w:tcBorders>
            <w:shd w:val="clear" w:color="auto" w:fill="auto"/>
            <w:noWrap/>
            <w:vAlign w:val="center"/>
            <w:hideMark/>
          </w:tcPr>
          <w:p w14:paraId="240F3BBE" w14:textId="77777777" w:rsidR="00874916" w:rsidRPr="00910292" w:rsidRDefault="00874916" w:rsidP="00EA28C4">
            <w:pPr>
              <w:jc w:val="center"/>
              <w:rPr>
                <w:color w:val="000000"/>
                <w:sz w:val="18"/>
                <w:szCs w:val="18"/>
              </w:rPr>
            </w:pPr>
            <w:r w:rsidRPr="00910292">
              <w:rPr>
                <w:color w:val="000000"/>
                <w:sz w:val="18"/>
                <w:szCs w:val="18"/>
              </w:rPr>
              <w:t>Togo</w:t>
            </w:r>
          </w:p>
        </w:tc>
        <w:tc>
          <w:tcPr>
            <w:tcW w:w="536" w:type="pct"/>
            <w:tcBorders>
              <w:top w:val="nil"/>
              <w:left w:val="nil"/>
              <w:bottom w:val="nil"/>
              <w:right w:val="nil"/>
            </w:tcBorders>
            <w:shd w:val="clear" w:color="auto" w:fill="auto"/>
            <w:noWrap/>
            <w:vAlign w:val="center"/>
            <w:hideMark/>
          </w:tcPr>
          <w:p w14:paraId="7773B6D8" w14:textId="77777777" w:rsidR="00874916" w:rsidRPr="00910292" w:rsidRDefault="00874916" w:rsidP="00EA28C4">
            <w:pPr>
              <w:jc w:val="center"/>
              <w:rPr>
                <w:color w:val="000000"/>
                <w:sz w:val="18"/>
                <w:szCs w:val="18"/>
              </w:rPr>
            </w:pPr>
            <w:r w:rsidRPr="00910292">
              <w:rPr>
                <w:color w:val="000000"/>
                <w:sz w:val="18"/>
                <w:szCs w:val="18"/>
              </w:rPr>
              <w:t>12.19</w:t>
            </w:r>
          </w:p>
        </w:tc>
        <w:tc>
          <w:tcPr>
            <w:tcW w:w="430" w:type="pct"/>
            <w:tcBorders>
              <w:top w:val="nil"/>
              <w:left w:val="nil"/>
              <w:bottom w:val="nil"/>
              <w:right w:val="nil"/>
            </w:tcBorders>
            <w:shd w:val="clear" w:color="auto" w:fill="auto"/>
            <w:noWrap/>
            <w:vAlign w:val="center"/>
            <w:hideMark/>
          </w:tcPr>
          <w:p w14:paraId="2D3A7FF8" w14:textId="77777777" w:rsidR="00874916" w:rsidRPr="00910292" w:rsidRDefault="00874916" w:rsidP="00EA28C4">
            <w:pPr>
              <w:jc w:val="center"/>
              <w:rPr>
                <w:color w:val="000000"/>
                <w:sz w:val="18"/>
                <w:szCs w:val="18"/>
              </w:rPr>
            </w:pPr>
            <w:r w:rsidRPr="00910292">
              <w:rPr>
                <w:color w:val="000000"/>
                <w:sz w:val="18"/>
                <w:szCs w:val="18"/>
              </w:rPr>
              <w:t>3.74%</w:t>
            </w:r>
          </w:p>
        </w:tc>
      </w:tr>
      <w:tr w:rsidR="00874916" w:rsidRPr="002C524B" w14:paraId="0D452F2E" w14:textId="77777777" w:rsidTr="00EA28C4">
        <w:trPr>
          <w:trHeight w:val="270"/>
          <w:jc w:val="center"/>
        </w:trPr>
        <w:tc>
          <w:tcPr>
            <w:tcW w:w="685" w:type="pct"/>
            <w:tcBorders>
              <w:top w:val="nil"/>
              <w:left w:val="nil"/>
              <w:bottom w:val="nil"/>
              <w:right w:val="nil"/>
            </w:tcBorders>
            <w:shd w:val="clear" w:color="auto" w:fill="auto"/>
            <w:noWrap/>
            <w:vAlign w:val="center"/>
            <w:hideMark/>
          </w:tcPr>
          <w:p w14:paraId="5B3C7EFB" w14:textId="77777777" w:rsidR="00874916" w:rsidRPr="00910292" w:rsidRDefault="00874916" w:rsidP="00EA28C4">
            <w:pPr>
              <w:jc w:val="center"/>
              <w:rPr>
                <w:color w:val="000000"/>
                <w:sz w:val="18"/>
                <w:szCs w:val="18"/>
              </w:rPr>
            </w:pPr>
            <w:r w:rsidRPr="00910292">
              <w:rPr>
                <w:color w:val="000000"/>
                <w:sz w:val="18"/>
                <w:szCs w:val="18"/>
              </w:rPr>
              <w:t>Iran, Islamic Republic of</w:t>
            </w:r>
          </w:p>
        </w:tc>
        <w:tc>
          <w:tcPr>
            <w:tcW w:w="526" w:type="pct"/>
            <w:tcBorders>
              <w:top w:val="nil"/>
              <w:left w:val="nil"/>
              <w:bottom w:val="nil"/>
              <w:right w:val="nil"/>
            </w:tcBorders>
            <w:shd w:val="clear" w:color="auto" w:fill="auto"/>
            <w:noWrap/>
            <w:vAlign w:val="center"/>
            <w:hideMark/>
          </w:tcPr>
          <w:p w14:paraId="3AE03DC6" w14:textId="77777777" w:rsidR="00874916" w:rsidRPr="00910292" w:rsidRDefault="00874916" w:rsidP="00EA28C4">
            <w:pPr>
              <w:jc w:val="center"/>
              <w:rPr>
                <w:color w:val="000000"/>
                <w:sz w:val="18"/>
                <w:szCs w:val="18"/>
              </w:rPr>
            </w:pPr>
            <w:r w:rsidRPr="00910292">
              <w:rPr>
                <w:color w:val="000000"/>
                <w:sz w:val="18"/>
                <w:szCs w:val="18"/>
              </w:rPr>
              <w:t>11.06</w:t>
            </w:r>
          </w:p>
        </w:tc>
        <w:tc>
          <w:tcPr>
            <w:tcW w:w="419" w:type="pct"/>
            <w:tcBorders>
              <w:top w:val="nil"/>
              <w:left w:val="nil"/>
              <w:bottom w:val="nil"/>
              <w:right w:val="single" w:sz="4" w:space="0" w:color="auto"/>
            </w:tcBorders>
            <w:shd w:val="clear" w:color="auto" w:fill="auto"/>
            <w:noWrap/>
            <w:vAlign w:val="center"/>
            <w:hideMark/>
          </w:tcPr>
          <w:p w14:paraId="47AE9F8F" w14:textId="77777777" w:rsidR="00874916" w:rsidRPr="00910292" w:rsidRDefault="00874916" w:rsidP="00EA28C4">
            <w:pPr>
              <w:jc w:val="center"/>
              <w:rPr>
                <w:color w:val="000000"/>
                <w:sz w:val="18"/>
                <w:szCs w:val="18"/>
              </w:rPr>
            </w:pPr>
            <w:r w:rsidRPr="00910292">
              <w:rPr>
                <w:color w:val="000000"/>
                <w:sz w:val="18"/>
                <w:szCs w:val="18"/>
              </w:rPr>
              <w:t>3.42%</w:t>
            </w:r>
          </w:p>
        </w:tc>
        <w:tc>
          <w:tcPr>
            <w:tcW w:w="698" w:type="pct"/>
            <w:tcBorders>
              <w:top w:val="nil"/>
              <w:left w:val="nil"/>
              <w:bottom w:val="nil"/>
              <w:right w:val="nil"/>
            </w:tcBorders>
            <w:shd w:val="clear" w:color="auto" w:fill="auto"/>
            <w:noWrap/>
            <w:vAlign w:val="center"/>
            <w:hideMark/>
          </w:tcPr>
          <w:p w14:paraId="112C077F" w14:textId="77777777" w:rsidR="00874916" w:rsidRPr="00910292" w:rsidRDefault="00874916" w:rsidP="00EA28C4">
            <w:pPr>
              <w:jc w:val="center"/>
              <w:rPr>
                <w:color w:val="000000"/>
                <w:sz w:val="18"/>
                <w:szCs w:val="18"/>
              </w:rPr>
            </w:pPr>
            <w:r w:rsidRPr="00910292">
              <w:rPr>
                <w:color w:val="000000"/>
                <w:sz w:val="18"/>
                <w:szCs w:val="18"/>
              </w:rPr>
              <w:t>Hong Kong, China</w:t>
            </w:r>
          </w:p>
        </w:tc>
        <w:tc>
          <w:tcPr>
            <w:tcW w:w="547" w:type="pct"/>
            <w:tcBorders>
              <w:top w:val="nil"/>
              <w:left w:val="nil"/>
              <w:bottom w:val="nil"/>
              <w:right w:val="nil"/>
            </w:tcBorders>
            <w:shd w:val="clear" w:color="auto" w:fill="auto"/>
            <w:noWrap/>
            <w:vAlign w:val="center"/>
            <w:hideMark/>
          </w:tcPr>
          <w:p w14:paraId="61283EBE" w14:textId="77777777" w:rsidR="00874916" w:rsidRPr="00910292" w:rsidRDefault="00874916" w:rsidP="00EA28C4">
            <w:pPr>
              <w:jc w:val="center"/>
              <w:rPr>
                <w:color w:val="000000"/>
                <w:sz w:val="18"/>
                <w:szCs w:val="18"/>
              </w:rPr>
            </w:pPr>
            <w:r w:rsidRPr="00910292">
              <w:rPr>
                <w:color w:val="000000"/>
                <w:sz w:val="18"/>
                <w:szCs w:val="18"/>
              </w:rPr>
              <w:t>10.21</w:t>
            </w:r>
          </w:p>
        </w:tc>
        <w:tc>
          <w:tcPr>
            <w:tcW w:w="470" w:type="pct"/>
            <w:tcBorders>
              <w:top w:val="nil"/>
              <w:left w:val="nil"/>
              <w:bottom w:val="nil"/>
              <w:right w:val="single" w:sz="4" w:space="0" w:color="auto"/>
            </w:tcBorders>
            <w:shd w:val="clear" w:color="auto" w:fill="auto"/>
            <w:noWrap/>
            <w:vAlign w:val="center"/>
            <w:hideMark/>
          </w:tcPr>
          <w:p w14:paraId="5FFBF449" w14:textId="77777777" w:rsidR="00874916" w:rsidRPr="00910292" w:rsidRDefault="00874916" w:rsidP="00EA28C4">
            <w:pPr>
              <w:jc w:val="center"/>
              <w:rPr>
                <w:color w:val="000000"/>
                <w:sz w:val="18"/>
                <w:szCs w:val="18"/>
              </w:rPr>
            </w:pPr>
            <w:r w:rsidRPr="00910292">
              <w:rPr>
                <w:color w:val="000000"/>
                <w:sz w:val="18"/>
                <w:szCs w:val="18"/>
              </w:rPr>
              <w:t>3.26%</w:t>
            </w:r>
          </w:p>
        </w:tc>
        <w:tc>
          <w:tcPr>
            <w:tcW w:w="688" w:type="pct"/>
            <w:tcBorders>
              <w:top w:val="nil"/>
              <w:left w:val="nil"/>
              <w:bottom w:val="nil"/>
              <w:right w:val="nil"/>
            </w:tcBorders>
            <w:shd w:val="clear" w:color="auto" w:fill="auto"/>
            <w:noWrap/>
            <w:vAlign w:val="center"/>
            <w:hideMark/>
          </w:tcPr>
          <w:p w14:paraId="5FD7789F" w14:textId="77777777" w:rsidR="00874916" w:rsidRPr="00910292" w:rsidRDefault="00874916" w:rsidP="00EA28C4">
            <w:pPr>
              <w:jc w:val="center"/>
              <w:rPr>
                <w:color w:val="000000"/>
                <w:sz w:val="18"/>
                <w:szCs w:val="18"/>
              </w:rPr>
            </w:pPr>
            <w:r w:rsidRPr="00910292">
              <w:rPr>
                <w:color w:val="000000"/>
                <w:sz w:val="18"/>
                <w:szCs w:val="18"/>
              </w:rPr>
              <w:t>Senegal</w:t>
            </w:r>
          </w:p>
        </w:tc>
        <w:tc>
          <w:tcPr>
            <w:tcW w:w="536" w:type="pct"/>
            <w:tcBorders>
              <w:top w:val="nil"/>
              <w:left w:val="nil"/>
              <w:bottom w:val="nil"/>
              <w:right w:val="nil"/>
            </w:tcBorders>
            <w:shd w:val="clear" w:color="auto" w:fill="auto"/>
            <w:noWrap/>
            <w:vAlign w:val="center"/>
            <w:hideMark/>
          </w:tcPr>
          <w:p w14:paraId="683B5F60" w14:textId="77777777" w:rsidR="00874916" w:rsidRPr="00910292" w:rsidRDefault="00874916" w:rsidP="00EA28C4">
            <w:pPr>
              <w:jc w:val="center"/>
              <w:rPr>
                <w:color w:val="000000"/>
                <w:sz w:val="18"/>
                <w:szCs w:val="18"/>
              </w:rPr>
            </w:pPr>
            <w:r w:rsidRPr="00910292">
              <w:rPr>
                <w:color w:val="000000"/>
                <w:sz w:val="18"/>
                <w:szCs w:val="18"/>
              </w:rPr>
              <w:t>10.22</w:t>
            </w:r>
          </w:p>
        </w:tc>
        <w:tc>
          <w:tcPr>
            <w:tcW w:w="430" w:type="pct"/>
            <w:tcBorders>
              <w:top w:val="nil"/>
              <w:left w:val="nil"/>
              <w:bottom w:val="nil"/>
              <w:right w:val="nil"/>
            </w:tcBorders>
            <w:shd w:val="clear" w:color="auto" w:fill="auto"/>
            <w:noWrap/>
            <w:vAlign w:val="center"/>
            <w:hideMark/>
          </w:tcPr>
          <w:p w14:paraId="48C6CA21" w14:textId="77777777" w:rsidR="00874916" w:rsidRPr="00910292" w:rsidRDefault="00874916" w:rsidP="00EA28C4">
            <w:pPr>
              <w:jc w:val="center"/>
              <w:rPr>
                <w:color w:val="000000"/>
                <w:sz w:val="18"/>
                <w:szCs w:val="18"/>
              </w:rPr>
            </w:pPr>
            <w:r w:rsidRPr="00910292">
              <w:rPr>
                <w:color w:val="000000"/>
                <w:sz w:val="18"/>
                <w:szCs w:val="18"/>
              </w:rPr>
              <w:t>3.14%</w:t>
            </w:r>
          </w:p>
        </w:tc>
      </w:tr>
      <w:tr w:rsidR="00874916" w:rsidRPr="002C524B" w14:paraId="7C0274D8" w14:textId="77777777" w:rsidTr="00EA28C4">
        <w:trPr>
          <w:trHeight w:val="270"/>
          <w:jc w:val="center"/>
        </w:trPr>
        <w:tc>
          <w:tcPr>
            <w:tcW w:w="685" w:type="pct"/>
            <w:tcBorders>
              <w:top w:val="nil"/>
              <w:left w:val="nil"/>
              <w:bottom w:val="single" w:sz="4" w:space="0" w:color="auto"/>
              <w:right w:val="nil"/>
            </w:tcBorders>
            <w:shd w:val="clear" w:color="auto" w:fill="auto"/>
            <w:noWrap/>
            <w:vAlign w:val="center"/>
            <w:hideMark/>
          </w:tcPr>
          <w:p w14:paraId="322FAD5C" w14:textId="77777777" w:rsidR="00874916" w:rsidRPr="00910292" w:rsidRDefault="00874916" w:rsidP="00EA28C4">
            <w:pPr>
              <w:jc w:val="center"/>
              <w:rPr>
                <w:color w:val="000000"/>
                <w:sz w:val="18"/>
                <w:szCs w:val="18"/>
              </w:rPr>
            </w:pPr>
            <w:r w:rsidRPr="00910292">
              <w:rPr>
                <w:color w:val="000000"/>
                <w:sz w:val="18"/>
                <w:szCs w:val="18"/>
              </w:rPr>
              <w:t>Togo</w:t>
            </w:r>
          </w:p>
        </w:tc>
        <w:tc>
          <w:tcPr>
            <w:tcW w:w="526" w:type="pct"/>
            <w:tcBorders>
              <w:top w:val="nil"/>
              <w:left w:val="nil"/>
              <w:bottom w:val="single" w:sz="4" w:space="0" w:color="auto"/>
              <w:right w:val="nil"/>
            </w:tcBorders>
            <w:shd w:val="clear" w:color="auto" w:fill="auto"/>
            <w:noWrap/>
            <w:vAlign w:val="center"/>
            <w:hideMark/>
          </w:tcPr>
          <w:p w14:paraId="6A1A7E5B" w14:textId="77777777" w:rsidR="00874916" w:rsidRPr="00910292" w:rsidRDefault="00874916" w:rsidP="00EA28C4">
            <w:pPr>
              <w:jc w:val="center"/>
              <w:rPr>
                <w:color w:val="000000"/>
                <w:sz w:val="18"/>
                <w:szCs w:val="18"/>
              </w:rPr>
            </w:pPr>
            <w:r w:rsidRPr="00910292">
              <w:rPr>
                <w:color w:val="000000"/>
                <w:sz w:val="18"/>
                <w:szCs w:val="18"/>
              </w:rPr>
              <w:t>9.99</w:t>
            </w:r>
          </w:p>
        </w:tc>
        <w:tc>
          <w:tcPr>
            <w:tcW w:w="419" w:type="pct"/>
            <w:tcBorders>
              <w:top w:val="nil"/>
              <w:left w:val="nil"/>
              <w:bottom w:val="single" w:sz="4" w:space="0" w:color="auto"/>
              <w:right w:val="single" w:sz="4" w:space="0" w:color="auto"/>
            </w:tcBorders>
            <w:shd w:val="clear" w:color="auto" w:fill="auto"/>
            <w:noWrap/>
            <w:vAlign w:val="center"/>
            <w:hideMark/>
          </w:tcPr>
          <w:p w14:paraId="156E6465" w14:textId="77777777" w:rsidR="00874916" w:rsidRPr="00910292" w:rsidRDefault="00874916" w:rsidP="00EA28C4">
            <w:pPr>
              <w:jc w:val="center"/>
              <w:rPr>
                <w:color w:val="000000"/>
                <w:sz w:val="18"/>
                <w:szCs w:val="18"/>
              </w:rPr>
            </w:pPr>
            <w:r w:rsidRPr="00910292">
              <w:rPr>
                <w:color w:val="000000"/>
                <w:sz w:val="18"/>
                <w:szCs w:val="18"/>
              </w:rPr>
              <w:t>3.09%</w:t>
            </w:r>
          </w:p>
        </w:tc>
        <w:tc>
          <w:tcPr>
            <w:tcW w:w="698" w:type="pct"/>
            <w:tcBorders>
              <w:top w:val="nil"/>
              <w:left w:val="nil"/>
              <w:bottom w:val="single" w:sz="4" w:space="0" w:color="auto"/>
              <w:right w:val="nil"/>
            </w:tcBorders>
            <w:shd w:val="clear" w:color="auto" w:fill="auto"/>
            <w:noWrap/>
            <w:vAlign w:val="center"/>
            <w:hideMark/>
          </w:tcPr>
          <w:p w14:paraId="470E296B" w14:textId="77777777" w:rsidR="00874916" w:rsidRPr="00910292" w:rsidRDefault="00874916" w:rsidP="00EA28C4">
            <w:pPr>
              <w:jc w:val="center"/>
              <w:rPr>
                <w:color w:val="000000"/>
                <w:sz w:val="18"/>
                <w:szCs w:val="18"/>
              </w:rPr>
            </w:pPr>
            <w:r w:rsidRPr="00910292">
              <w:rPr>
                <w:color w:val="000000"/>
                <w:sz w:val="18"/>
                <w:szCs w:val="18"/>
              </w:rPr>
              <w:t>Germany</w:t>
            </w:r>
          </w:p>
        </w:tc>
        <w:tc>
          <w:tcPr>
            <w:tcW w:w="547" w:type="pct"/>
            <w:tcBorders>
              <w:top w:val="nil"/>
              <w:left w:val="nil"/>
              <w:bottom w:val="single" w:sz="4" w:space="0" w:color="auto"/>
              <w:right w:val="nil"/>
            </w:tcBorders>
            <w:shd w:val="clear" w:color="auto" w:fill="auto"/>
            <w:noWrap/>
            <w:vAlign w:val="center"/>
            <w:hideMark/>
          </w:tcPr>
          <w:p w14:paraId="0557C697" w14:textId="77777777" w:rsidR="00874916" w:rsidRPr="00910292" w:rsidRDefault="00874916" w:rsidP="00EA28C4">
            <w:pPr>
              <w:jc w:val="center"/>
              <w:rPr>
                <w:color w:val="000000"/>
                <w:sz w:val="18"/>
                <w:szCs w:val="18"/>
              </w:rPr>
            </w:pPr>
            <w:r w:rsidRPr="00910292">
              <w:rPr>
                <w:color w:val="000000"/>
                <w:sz w:val="18"/>
                <w:szCs w:val="18"/>
              </w:rPr>
              <w:t>9.28</w:t>
            </w:r>
          </w:p>
        </w:tc>
        <w:tc>
          <w:tcPr>
            <w:tcW w:w="470" w:type="pct"/>
            <w:tcBorders>
              <w:top w:val="nil"/>
              <w:left w:val="nil"/>
              <w:bottom w:val="single" w:sz="4" w:space="0" w:color="auto"/>
              <w:right w:val="single" w:sz="4" w:space="0" w:color="auto"/>
            </w:tcBorders>
            <w:shd w:val="clear" w:color="auto" w:fill="auto"/>
            <w:noWrap/>
            <w:vAlign w:val="center"/>
            <w:hideMark/>
          </w:tcPr>
          <w:p w14:paraId="136A44BB" w14:textId="77777777" w:rsidR="00874916" w:rsidRPr="00910292" w:rsidRDefault="00874916" w:rsidP="00EA28C4">
            <w:pPr>
              <w:jc w:val="center"/>
              <w:rPr>
                <w:color w:val="000000"/>
                <w:sz w:val="18"/>
                <w:szCs w:val="18"/>
              </w:rPr>
            </w:pPr>
            <w:r w:rsidRPr="00910292">
              <w:rPr>
                <w:color w:val="000000"/>
                <w:sz w:val="18"/>
                <w:szCs w:val="18"/>
              </w:rPr>
              <w:t>2.96%</w:t>
            </w:r>
          </w:p>
        </w:tc>
        <w:tc>
          <w:tcPr>
            <w:tcW w:w="688" w:type="pct"/>
            <w:tcBorders>
              <w:top w:val="nil"/>
              <w:left w:val="nil"/>
              <w:bottom w:val="single" w:sz="4" w:space="0" w:color="auto"/>
              <w:right w:val="nil"/>
            </w:tcBorders>
            <w:shd w:val="clear" w:color="auto" w:fill="auto"/>
            <w:noWrap/>
            <w:vAlign w:val="center"/>
            <w:hideMark/>
          </w:tcPr>
          <w:p w14:paraId="6EDB8469" w14:textId="77777777" w:rsidR="00874916" w:rsidRPr="00910292" w:rsidRDefault="00874916" w:rsidP="00EA28C4">
            <w:pPr>
              <w:jc w:val="center"/>
              <w:rPr>
                <w:color w:val="000000"/>
                <w:sz w:val="18"/>
                <w:szCs w:val="18"/>
              </w:rPr>
            </w:pPr>
            <w:r w:rsidRPr="00910292">
              <w:rPr>
                <w:color w:val="000000"/>
                <w:sz w:val="18"/>
                <w:szCs w:val="18"/>
              </w:rPr>
              <w:t>Germany</w:t>
            </w:r>
          </w:p>
        </w:tc>
        <w:tc>
          <w:tcPr>
            <w:tcW w:w="536" w:type="pct"/>
            <w:tcBorders>
              <w:top w:val="nil"/>
              <w:left w:val="nil"/>
              <w:bottom w:val="single" w:sz="4" w:space="0" w:color="auto"/>
              <w:right w:val="nil"/>
            </w:tcBorders>
            <w:shd w:val="clear" w:color="auto" w:fill="auto"/>
            <w:noWrap/>
            <w:vAlign w:val="center"/>
            <w:hideMark/>
          </w:tcPr>
          <w:p w14:paraId="76739F1C" w14:textId="77777777" w:rsidR="00874916" w:rsidRPr="00910292" w:rsidRDefault="00874916" w:rsidP="00EA28C4">
            <w:pPr>
              <w:jc w:val="center"/>
              <w:rPr>
                <w:color w:val="000000"/>
                <w:sz w:val="18"/>
                <w:szCs w:val="18"/>
              </w:rPr>
            </w:pPr>
            <w:r w:rsidRPr="00910292">
              <w:rPr>
                <w:color w:val="000000"/>
                <w:sz w:val="18"/>
                <w:szCs w:val="18"/>
              </w:rPr>
              <w:t>10.12</w:t>
            </w:r>
          </w:p>
        </w:tc>
        <w:tc>
          <w:tcPr>
            <w:tcW w:w="430" w:type="pct"/>
            <w:tcBorders>
              <w:top w:val="nil"/>
              <w:left w:val="nil"/>
              <w:bottom w:val="single" w:sz="4" w:space="0" w:color="auto"/>
              <w:right w:val="nil"/>
            </w:tcBorders>
            <w:shd w:val="clear" w:color="auto" w:fill="auto"/>
            <w:noWrap/>
            <w:vAlign w:val="center"/>
            <w:hideMark/>
          </w:tcPr>
          <w:p w14:paraId="4CABF5D3" w14:textId="77777777" w:rsidR="00874916" w:rsidRPr="00910292" w:rsidRDefault="00874916" w:rsidP="00EA28C4">
            <w:pPr>
              <w:jc w:val="center"/>
              <w:rPr>
                <w:color w:val="000000"/>
                <w:sz w:val="18"/>
                <w:szCs w:val="18"/>
              </w:rPr>
            </w:pPr>
            <w:r w:rsidRPr="00910292">
              <w:rPr>
                <w:color w:val="000000"/>
                <w:sz w:val="18"/>
                <w:szCs w:val="18"/>
              </w:rPr>
              <w:t>3.10%</w:t>
            </w:r>
          </w:p>
        </w:tc>
      </w:tr>
      <w:tr w:rsidR="00874916" w:rsidRPr="002C524B" w14:paraId="7C73014B" w14:textId="77777777" w:rsidTr="00EA28C4">
        <w:trPr>
          <w:trHeight w:val="270"/>
          <w:jc w:val="center"/>
        </w:trPr>
        <w:tc>
          <w:tcPr>
            <w:tcW w:w="685" w:type="pct"/>
            <w:tcBorders>
              <w:top w:val="nil"/>
              <w:left w:val="nil"/>
              <w:bottom w:val="nil"/>
              <w:right w:val="nil"/>
            </w:tcBorders>
            <w:shd w:val="clear" w:color="auto" w:fill="auto"/>
            <w:noWrap/>
            <w:vAlign w:val="center"/>
            <w:hideMark/>
          </w:tcPr>
          <w:p w14:paraId="05497078" w14:textId="77777777" w:rsidR="00874916" w:rsidRPr="00910292" w:rsidRDefault="00874916" w:rsidP="00EA28C4">
            <w:pPr>
              <w:jc w:val="center"/>
              <w:rPr>
                <w:color w:val="000000"/>
                <w:sz w:val="18"/>
                <w:szCs w:val="18"/>
              </w:rPr>
            </w:pPr>
            <w:r w:rsidRPr="002C524B">
              <w:rPr>
                <w:color w:val="000000"/>
                <w:sz w:val="18"/>
                <w:szCs w:val="18"/>
              </w:rPr>
              <w:t>World</w:t>
            </w:r>
          </w:p>
        </w:tc>
        <w:tc>
          <w:tcPr>
            <w:tcW w:w="526" w:type="pct"/>
            <w:tcBorders>
              <w:top w:val="nil"/>
              <w:left w:val="nil"/>
              <w:bottom w:val="nil"/>
              <w:right w:val="nil"/>
            </w:tcBorders>
            <w:shd w:val="clear" w:color="auto" w:fill="auto"/>
            <w:noWrap/>
            <w:vAlign w:val="center"/>
            <w:hideMark/>
          </w:tcPr>
          <w:p w14:paraId="6D6C5194" w14:textId="77777777" w:rsidR="00874916" w:rsidRPr="00910292" w:rsidRDefault="00874916" w:rsidP="00EA28C4">
            <w:pPr>
              <w:jc w:val="center"/>
              <w:rPr>
                <w:color w:val="000000"/>
                <w:sz w:val="18"/>
                <w:szCs w:val="18"/>
              </w:rPr>
            </w:pPr>
            <w:r w:rsidRPr="002C524B">
              <w:rPr>
                <w:color w:val="000000"/>
                <w:sz w:val="18"/>
                <w:szCs w:val="18"/>
              </w:rPr>
              <w:t>323.11</w:t>
            </w:r>
          </w:p>
        </w:tc>
        <w:tc>
          <w:tcPr>
            <w:tcW w:w="419" w:type="pct"/>
            <w:tcBorders>
              <w:top w:val="nil"/>
              <w:left w:val="nil"/>
              <w:bottom w:val="nil"/>
              <w:right w:val="nil"/>
            </w:tcBorders>
            <w:shd w:val="clear" w:color="auto" w:fill="auto"/>
            <w:noWrap/>
            <w:vAlign w:val="center"/>
            <w:hideMark/>
          </w:tcPr>
          <w:p w14:paraId="6F829E7D" w14:textId="77777777" w:rsidR="00874916" w:rsidRPr="00910292" w:rsidRDefault="00874916" w:rsidP="00EA28C4">
            <w:pPr>
              <w:jc w:val="center"/>
              <w:rPr>
                <w:color w:val="000000"/>
                <w:sz w:val="18"/>
                <w:szCs w:val="18"/>
              </w:rPr>
            </w:pPr>
            <w:r w:rsidRPr="002C524B">
              <w:rPr>
                <w:color w:val="000000"/>
                <w:sz w:val="18"/>
                <w:szCs w:val="18"/>
              </w:rPr>
              <w:t>—</w:t>
            </w:r>
          </w:p>
        </w:tc>
        <w:tc>
          <w:tcPr>
            <w:tcW w:w="698" w:type="pct"/>
            <w:tcBorders>
              <w:top w:val="nil"/>
              <w:left w:val="nil"/>
              <w:bottom w:val="nil"/>
              <w:right w:val="nil"/>
            </w:tcBorders>
            <w:shd w:val="clear" w:color="auto" w:fill="auto"/>
            <w:noWrap/>
            <w:vAlign w:val="center"/>
            <w:hideMark/>
          </w:tcPr>
          <w:p w14:paraId="010707D7" w14:textId="77777777" w:rsidR="00874916" w:rsidRPr="00910292" w:rsidRDefault="00874916" w:rsidP="00EA28C4">
            <w:pPr>
              <w:jc w:val="center"/>
              <w:rPr>
                <w:color w:val="000000"/>
                <w:sz w:val="18"/>
                <w:szCs w:val="18"/>
              </w:rPr>
            </w:pPr>
            <w:r w:rsidRPr="002C524B">
              <w:rPr>
                <w:color w:val="000000"/>
                <w:sz w:val="18"/>
                <w:szCs w:val="18"/>
              </w:rPr>
              <w:t>World</w:t>
            </w:r>
          </w:p>
        </w:tc>
        <w:tc>
          <w:tcPr>
            <w:tcW w:w="547" w:type="pct"/>
            <w:tcBorders>
              <w:top w:val="nil"/>
              <w:left w:val="nil"/>
              <w:bottom w:val="nil"/>
              <w:right w:val="nil"/>
            </w:tcBorders>
            <w:shd w:val="clear" w:color="auto" w:fill="auto"/>
            <w:noWrap/>
            <w:vAlign w:val="center"/>
            <w:hideMark/>
          </w:tcPr>
          <w:p w14:paraId="05C48246" w14:textId="77777777" w:rsidR="00874916" w:rsidRPr="00910292" w:rsidRDefault="00874916" w:rsidP="00EA28C4">
            <w:pPr>
              <w:jc w:val="center"/>
              <w:rPr>
                <w:color w:val="000000"/>
                <w:sz w:val="18"/>
                <w:szCs w:val="18"/>
              </w:rPr>
            </w:pPr>
            <w:r w:rsidRPr="002C524B">
              <w:rPr>
                <w:color w:val="000000"/>
                <w:sz w:val="18"/>
                <w:szCs w:val="18"/>
              </w:rPr>
              <w:t>313.48</w:t>
            </w:r>
          </w:p>
        </w:tc>
        <w:tc>
          <w:tcPr>
            <w:tcW w:w="470" w:type="pct"/>
            <w:tcBorders>
              <w:top w:val="nil"/>
              <w:left w:val="nil"/>
              <w:bottom w:val="nil"/>
              <w:right w:val="nil"/>
            </w:tcBorders>
            <w:shd w:val="clear" w:color="auto" w:fill="auto"/>
            <w:noWrap/>
            <w:vAlign w:val="center"/>
            <w:hideMark/>
          </w:tcPr>
          <w:p w14:paraId="5EC66FA0" w14:textId="77777777" w:rsidR="00874916" w:rsidRPr="00910292" w:rsidRDefault="00874916" w:rsidP="00EA28C4">
            <w:pPr>
              <w:jc w:val="center"/>
              <w:rPr>
                <w:color w:val="000000"/>
                <w:sz w:val="18"/>
                <w:szCs w:val="18"/>
              </w:rPr>
            </w:pPr>
            <w:r w:rsidRPr="002C524B">
              <w:rPr>
                <w:color w:val="000000"/>
                <w:sz w:val="18"/>
                <w:szCs w:val="18"/>
              </w:rPr>
              <w:t>—</w:t>
            </w:r>
          </w:p>
        </w:tc>
        <w:tc>
          <w:tcPr>
            <w:tcW w:w="688" w:type="pct"/>
            <w:tcBorders>
              <w:top w:val="nil"/>
              <w:left w:val="nil"/>
              <w:bottom w:val="nil"/>
              <w:right w:val="nil"/>
            </w:tcBorders>
            <w:shd w:val="clear" w:color="auto" w:fill="auto"/>
            <w:noWrap/>
            <w:vAlign w:val="center"/>
            <w:hideMark/>
          </w:tcPr>
          <w:p w14:paraId="7DB53B4D" w14:textId="77777777" w:rsidR="00874916" w:rsidRPr="00910292" w:rsidRDefault="00874916" w:rsidP="00EA28C4">
            <w:pPr>
              <w:jc w:val="center"/>
              <w:rPr>
                <w:color w:val="000000"/>
                <w:sz w:val="18"/>
                <w:szCs w:val="18"/>
              </w:rPr>
            </w:pPr>
            <w:r w:rsidRPr="002C524B">
              <w:rPr>
                <w:color w:val="000000"/>
                <w:sz w:val="18"/>
                <w:szCs w:val="18"/>
              </w:rPr>
              <w:t>World</w:t>
            </w:r>
          </w:p>
        </w:tc>
        <w:tc>
          <w:tcPr>
            <w:tcW w:w="536" w:type="pct"/>
            <w:tcBorders>
              <w:top w:val="nil"/>
              <w:left w:val="nil"/>
              <w:bottom w:val="nil"/>
              <w:right w:val="nil"/>
            </w:tcBorders>
            <w:shd w:val="clear" w:color="auto" w:fill="auto"/>
            <w:noWrap/>
            <w:vAlign w:val="center"/>
            <w:hideMark/>
          </w:tcPr>
          <w:p w14:paraId="2CB0E253" w14:textId="77777777" w:rsidR="00874916" w:rsidRPr="00910292" w:rsidRDefault="00874916" w:rsidP="00EA28C4">
            <w:pPr>
              <w:jc w:val="center"/>
              <w:rPr>
                <w:color w:val="000000"/>
                <w:sz w:val="18"/>
                <w:szCs w:val="18"/>
              </w:rPr>
            </w:pPr>
            <w:r w:rsidRPr="002C524B">
              <w:rPr>
                <w:color w:val="000000"/>
                <w:sz w:val="18"/>
                <w:szCs w:val="18"/>
              </w:rPr>
              <w:t>325.81</w:t>
            </w:r>
          </w:p>
        </w:tc>
        <w:tc>
          <w:tcPr>
            <w:tcW w:w="430" w:type="pct"/>
            <w:tcBorders>
              <w:top w:val="nil"/>
              <w:left w:val="nil"/>
              <w:bottom w:val="nil"/>
              <w:right w:val="nil"/>
            </w:tcBorders>
            <w:shd w:val="clear" w:color="auto" w:fill="auto"/>
            <w:noWrap/>
            <w:vAlign w:val="center"/>
            <w:hideMark/>
          </w:tcPr>
          <w:p w14:paraId="18E74C9E" w14:textId="77777777" w:rsidR="00874916" w:rsidRPr="00910292" w:rsidRDefault="00874916" w:rsidP="00EA28C4">
            <w:pPr>
              <w:jc w:val="center"/>
              <w:rPr>
                <w:color w:val="000000"/>
                <w:sz w:val="18"/>
                <w:szCs w:val="18"/>
              </w:rPr>
            </w:pPr>
            <w:r w:rsidRPr="002C524B">
              <w:rPr>
                <w:color w:val="000000"/>
                <w:sz w:val="18"/>
                <w:szCs w:val="18"/>
              </w:rPr>
              <w:t>—</w:t>
            </w:r>
          </w:p>
        </w:tc>
      </w:tr>
      <w:tr w:rsidR="00874916" w:rsidRPr="002C524B" w14:paraId="049BCA8F" w14:textId="77777777" w:rsidTr="00EA28C4">
        <w:trPr>
          <w:trHeight w:val="270"/>
          <w:jc w:val="center"/>
        </w:trPr>
        <w:tc>
          <w:tcPr>
            <w:tcW w:w="685" w:type="pct"/>
            <w:tcBorders>
              <w:top w:val="single" w:sz="4" w:space="0" w:color="auto"/>
              <w:left w:val="nil"/>
              <w:bottom w:val="single" w:sz="12" w:space="0" w:color="auto"/>
              <w:right w:val="nil"/>
            </w:tcBorders>
            <w:shd w:val="clear" w:color="auto" w:fill="auto"/>
            <w:noWrap/>
            <w:vAlign w:val="center"/>
            <w:hideMark/>
          </w:tcPr>
          <w:p w14:paraId="6305876A" w14:textId="77777777" w:rsidR="00874916" w:rsidRPr="00910292" w:rsidRDefault="00874916" w:rsidP="00EA28C4">
            <w:pPr>
              <w:jc w:val="center"/>
              <w:rPr>
                <w:color w:val="000000"/>
                <w:sz w:val="18"/>
                <w:szCs w:val="18"/>
              </w:rPr>
            </w:pPr>
            <w:r w:rsidRPr="002C524B">
              <w:rPr>
                <w:color w:val="000000"/>
                <w:sz w:val="18"/>
                <w:szCs w:val="18"/>
              </w:rPr>
              <w:t>Total</w:t>
            </w:r>
          </w:p>
        </w:tc>
        <w:tc>
          <w:tcPr>
            <w:tcW w:w="526" w:type="pct"/>
            <w:tcBorders>
              <w:top w:val="single" w:sz="4" w:space="0" w:color="auto"/>
              <w:left w:val="nil"/>
              <w:bottom w:val="single" w:sz="12" w:space="0" w:color="auto"/>
              <w:right w:val="nil"/>
            </w:tcBorders>
            <w:shd w:val="clear" w:color="auto" w:fill="auto"/>
            <w:noWrap/>
            <w:vAlign w:val="center"/>
            <w:hideMark/>
          </w:tcPr>
          <w:p w14:paraId="6628E05F" w14:textId="77777777" w:rsidR="00874916" w:rsidRPr="00910292" w:rsidRDefault="00874916" w:rsidP="00EA28C4">
            <w:pPr>
              <w:jc w:val="center"/>
              <w:rPr>
                <w:color w:val="000000"/>
                <w:sz w:val="18"/>
                <w:szCs w:val="18"/>
              </w:rPr>
            </w:pPr>
            <w:r w:rsidRPr="002C524B">
              <w:rPr>
                <w:color w:val="000000"/>
                <w:sz w:val="18"/>
                <w:szCs w:val="18"/>
              </w:rPr>
              <w:t>—</w:t>
            </w:r>
          </w:p>
        </w:tc>
        <w:tc>
          <w:tcPr>
            <w:tcW w:w="419" w:type="pct"/>
            <w:tcBorders>
              <w:top w:val="single" w:sz="4" w:space="0" w:color="auto"/>
              <w:left w:val="nil"/>
              <w:bottom w:val="single" w:sz="12" w:space="0" w:color="auto"/>
              <w:right w:val="single" w:sz="4" w:space="0" w:color="auto"/>
            </w:tcBorders>
            <w:shd w:val="clear" w:color="auto" w:fill="auto"/>
            <w:noWrap/>
            <w:vAlign w:val="center"/>
            <w:hideMark/>
          </w:tcPr>
          <w:p w14:paraId="493487CF" w14:textId="77777777" w:rsidR="00874916" w:rsidRPr="00910292" w:rsidRDefault="00874916" w:rsidP="00EA28C4">
            <w:pPr>
              <w:jc w:val="center"/>
              <w:rPr>
                <w:color w:val="000000"/>
                <w:sz w:val="18"/>
                <w:szCs w:val="18"/>
              </w:rPr>
            </w:pPr>
            <w:r w:rsidRPr="002C524B">
              <w:rPr>
                <w:color w:val="000000"/>
                <w:sz w:val="18"/>
                <w:szCs w:val="18"/>
              </w:rPr>
              <w:t>62.74%</w:t>
            </w:r>
          </w:p>
        </w:tc>
        <w:tc>
          <w:tcPr>
            <w:tcW w:w="698" w:type="pct"/>
            <w:tcBorders>
              <w:top w:val="single" w:sz="4" w:space="0" w:color="auto"/>
              <w:left w:val="nil"/>
              <w:bottom w:val="single" w:sz="12" w:space="0" w:color="auto"/>
              <w:right w:val="nil"/>
            </w:tcBorders>
            <w:shd w:val="clear" w:color="auto" w:fill="auto"/>
            <w:noWrap/>
            <w:vAlign w:val="center"/>
            <w:hideMark/>
          </w:tcPr>
          <w:p w14:paraId="7F4AEE3B" w14:textId="77777777" w:rsidR="00874916" w:rsidRPr="00910292" w:rsidRDefault="00874916" w:rsidP="00EA28C4">
            <w:pPr>
              <w:jc w:val="center"/>
              <w:rPr>
                <w:color w:val="000000"/>
                <w:sz w:val="18"/>
                <w:szCs w:val="18"/>
              </w:rPr>
            </w:pPr>
            <w:r w:rsidRPr="002C524B">
              <w:rPr>
                <w:color w:val="000000"/>
                <w:sz w:val="18"/>
                <w:szCs w:val="18"/>
              </w:rPr>
              <w:t>Total</w:t>
            </w:r>
          </w:p>
        </w:tc>
        <w:tc>
          <w:tcPr>
            <w:tcW w:w="547" w:type="pct"/>
            <w:tcBorders>
              <w:top w:val="single" w:sz="4" w:space="0" w:color="auto"/>
              <w:left w:val="nil"/>
              <w:bottom w:val="single" w:sz="12" w:space="0" w:color="auto"/>
              <w:right w:val="nil"/>
            </w:tcBorders>
            <w:shd w:val="clear" w:color="auto" w:fill="auto"/>
            <w:noWrap/>
            <w:vAlign w:val="center"/>
            <w:hideMark/>
          </w:tcPr>
          <w:p w14:paraId="78A24C0F" w14:textId="77777777" w:rsidR="00874916" w:rsidRPr="00910292" w:rsidRDefault="00874916" w:rsidP="00EA28C4">
            <w:pPr>
              <w:jc w:val="center"/>
              <w:rPr>
                <w:color w:val="000000"/>
                <w:sz w:val="18"/>
                <w:szCs w:val="18"/>
              </w:rPr>
            </w:pPr>
            <w:r w:rsidRPr="002C524B">
              <w:rPr>
                <w:color w:val="000000"/>
                <w:sz w:val="18"/>
                <w:szCs w:val="18"/>
              </w:rPr>
              <w:t>—</w:t>
            </w:r>
          </w:p>
        </w:tc>
        <w:tc>
          <w:tcPr>
            <w:tcW w:w="470" w:type="pct"/>
            <w:tcBorders>
              <w:top w:val="single" w:sz="4" w:space="0" w:color="auto"/>
              <w:left w:val="nil"/>
              <w:bottom w:val="single" w:sz="12" w:space="0" w:color="auto"/>
              <w:right w:val="single" w:sz="4" w:space="0" w:color="auto"/>
            </w:tcBorders>
            <w:shd w:val="clear" w:color="auto" w:fill="auto"/>
            <w:noWrap/>
            <w:vAlign w:val="center"/>
            <w:hideMark/>
          </w:tcPr>
          <w:p w14:paraId="054CDAC2" w14:textId="77777777" w:rsidR="00874916" w:rsidRPr="00910292" w:rsidRDefault="00874916" w:rsidP="00EA28C4">
            <w:pPr>
              <w:jc w:val="center"/>
              <w:rPr>
                <w:color w:val="000000"/>
                <w:sz w:val="18"/>
                <w:szCs w:val="18"/>
              </w:rPr>
            </w:pPr>
            <w:r w:rsidRPr="002C524B">
              <w:rPr>
                <w:color w:val="000000"/>
                <w:sz w:val="18"/>
                <w:szCs w:val="18"/>
              </w:rPr>
              <w:t>62.89%</w:t>
            </w:r>
          </w:p>
        </w:tc>
        <w:tc>
          <w:tcPr>
            <w:tcW w:w="688" w:type="pct"/>
            <w:tcBorders>
              <w:top w:val="single" w:sz="4" w:space="0" w:color="auto"/>
              <w:left w:val="nil"/>
              <w:bottom w:val="single" w:sz="12" w:space="0" w:color="auto"/>
              <w:right w:val="nil"/>
            </w:tcBorders>
            <w:shd w:val="clear" w:color="auto" w:fill="auto"/>
            <w:noWrap/>
            <w:vAlign w:val="center"/>
            <w:hideMark/>
          </w:tcPr>
          <w:p w14:paraId="7070E8F7" w14:textId="77777777" w:rsidR="00874916" w:rsidRPr="00910292" w:rsidRDefault="00874916" w:rsidP="00EA28C4">
            <w:pPr>
              <w:jc w:val="center"/>
              <w:rPr>
                <w:color w:val="000000"/>
                <w:sz w:val="18"/>
                <w:szCs w:val="18"/>
              </w:rPr>
            </w:pPr>
            <w:r w:rsidRPr="002C524B">
              <w:rPr>
                <w:color w:val="000000"/>
                <w:sz w:val="18"/>
                <w:szCs w:val="18"/>
              </w:rPr>
              <w:t>Total</w:t>
            </w:r>
          </w:p>
        </w:tc>
        <w:tc>
          <w:tcPr>
            <w:tcW w:w="536" w:type="pct"/>
            <w:tcBorders>
              <w:top w:val="single" w:sz="4" w:space="0" w:color="auto"/>
              <w:left w:val="nil"/>
              <w:bottom w:val="single" w:sz="12" w:space="0" w:color="auto"/>
              <w:right w:val="nil"/>
            </w:tcBorders>
            <w:shd w:val="clear" w:color="auto" w:fill="auto"/>
            <w:noWrap/>
            <w:vAlign w:val="center"/>
            <w:hideMark/>
          </w:tcPr>
          <w:p w14:paraId="36A6372E" w14:textId="77777777" w:rsidR="00874916" w:rsidRPr="00910292" w:rsidRDefault="00874916" w:rsidP="00EA28C4">
            <w:pPr>
              <w:jc w:val="center"/>
              <w:rPr>
                <w:color w:val="000000"/>
                <w:sz w:val="18"/>
                <w:szCs w:val="18"/>
              </w:rPr>
            </w:pPr>
            <w:r w:rsidRPr="002C524B">
              <w:rPr>
                <w:color w:val="000000"/>
                <w:sz w:val="18"/>
                <w:szCs w:val="18"/>
              </w:rPr>
              <w:t>—</w:t>
            </w:r>
          </w:p>
        </w:tc>
        <w:tc>
          <w:tcPr>
            <w:tcW w:w="430" w:type="pct"/>
            <w:tcBorders>
              <w:top w:val="single" w:sz="4" w:space="0" w:color="auto"/>
              <w:left w:val="nil"/>
              <w:bottom w:val="single" w:sz="12" w:space="0" w:color="auto"/>
              <w:right w:val="nil"/>
            </w:tcBorders>
            <w:shd w:val="clear" w:color="auto" w:fill="auto"/>
            <w:noWrap/>
            <w:vAlign w:val="center"/>
            <w:hideMark/>
          </w:tcPr>
          <w:p w14:paraId="219FA579" w14:textId="77777777" w:rsidR="00874916" w:rsidRPr="00910292" w:rsidRDefault="00874916" w:rsidP="00EA28C4">
            <w:pPr>
              <w:jc w:val="center"/>
              <w:rPr>
                <w:color w:val="000000"/>
                <w:sz w:val="18"/>
                <w:szCs w:val="18"/>
              </w:rPr>
            </w:pPr>
            <w:r w:rsidRPr="002C524B">
              <w:rPr>
                <w:color w:val="000000"/>
                <w:sz w:val="18"/>
                <w:szCs w:val="18"/>
              </w:rPr>
              <w:t>61.95%</w:t>
            </w:r>
          </w:p>
        </w:tc>
      </w:tr>
    </w:tbl>
    <w:p w14:paraId="67B67AE2" w14:textId="77777777" w:rsidR="00874916" w:rsidRPr="002C524B" w:rsidRDefault="00874916" w:rsidP="00874916">
      <w:pPr>
        <w:autoSpaceDE w:val="0"/>
        <w:autoSpaceDN w:val="0"/>
        <w:adjustRightInd w:val="0"/>
        <w:spacing w:afterLines="100" w:after="240"/>
        <w:rPr>
          <w:szCs w:val="21"/>
        </w:rPr>
      </w:pPr>
    </w:p>
    <w:tbl>
      <w:tblPr>
        <w:tblW w:w="8670" w:type="dxa"/>
        <w:jc w:val="center"/>
        <w:tblBorders>
          <w:top w:val="single" w:sz="12" w:space="0" w:color="auto"/>
          <w:bottom w:val="single" w:sz="12" w:space="0" w:color="auto"/>
        </w:tblBorders>
        <w:tblLook w:val="04A0" w:firstRow="1" w:lastRow="0" w:firstColumn="1" w:lastColumn="0" w:noHBand="0" w:noVBand="1"/>
      </w:tblPr>
      <w:tblGrid>
        <w:gridCol w:w="2028"/>
        <w:gridCol w:w="1403"/>
        <w:gridCol w:w="904"/>
        <w:gridCol w:w="2028"/>
        <w:gridCol w:w="1403"/>
        <w:gridCol w:w="904"/>
      </w:tblGrid>
      <w:tr w:rsidR="00874916" w:rsidRPr="00910292" w14:paraId="6CFC971C" w14:textId="77777777" w:rsidTr="00EA28C4">
        <w:trPr>
          <w:trHeight w:val="270"/>
          <w:jc w:val="center"/>
        </w:trPr>
        <w:tc>
          <w:tcPr>
            <w:tcW w:w="2028" w:type="dxa"/>
            <w:tcBorders>
              <w:bottom w:val="single" w:sz="4" w:space="0" w:color="auto"/>
            </w:tcBorders>
            <w:shd w:val="clear" w:color="auto" w:fill="auto"/>
            <w:vAlign w:val="center"/>
            <w:hideMark/>
          </w:tcPr>
          <w:p w14:paraId="5E950D03" w14:textId="77777777" w:rsidR="00874916" w:rsidRPr="00910292" w:rsidRDefault="00874916" w:rsidP="00EA28C4">
            <w:pPr>
              <w:jc w:val="center"/>
              <w:rPr>
                <w:sz w:val="18"/>
                <w:szCs w:val="18"/>
              </w:rPr>
            </w:pPr>
          </w:p>
        </w:tc>
        <w:tc>
          <w:tcPr>
            <w:tcW w:w="1403" w:type="dxa"/>
            <w:tcBorders>
              <w:bottom w:val="single" w:sz="4" w:space="0" w:color="auto"/>
            </w:tcBorders>
            <w:shd w:val="clear" w:color="auto" w:fill="auto"/>
            <w:noWrap/>
            <w:vAlign w:val="center"/>
            <w:hideMark/>
          </w:tcPr>
          <w:p w14:paraId="17210EEC" w14:textId="77777777" w:rsidR="00874916" w:rsidRPr="00910292" w:rsidRDefault="00874916" w:rsidP="00EA28C4">
            <w:pPr>
              <w:jc w:val="center"/>
              <w:rPr>
                <w:color w:val="000000"/>
                <w:sz w:val="18"/>
                <w:szCs w:val="18"/>
              </w:rPr>
            </w:pPr>
            <w:r w:rsidRPr="00910292">
              <w:rPr>
                <w:color w:val="000000"/>
                <w:sz w:val="18"/>
                <w:szCs w:val="18"/>
              </w:rPr>
              <w:t>2014</w:t>
            </w:r>
          </w:p>
        </w:tc>
        <w:tc>
          <w:tcPr>
            <w:tcW w:w="904" w:type="dxa"/>
            <w:tcBorders>
              <w:bottom w:val="single" w:sz="4" w:space="0" w:color="auto"/>
            </w:tcBorders>
            <w:shd w:val="clear" w:color="auto" w:fill="auto"/>
            <w:noWrap/>
            <w:vAlign w:val="center"/>
            <w:hideMark/>
          </w:tcPr>
          <w:p w14:paraId="6A463D9D" w14:textId="77777777" w:rsidR="00874916" w:rsidRPr="00910292" w:rsidRDefault="00874916" w:rsidP="00EA28C4">
            <w:pPr>
              <w:jc w:val="center"/>
              <w:rPr>
                <w:sz w:val="18"/>
                <w:szCs w:val="18"/>
              </w:rPr>
            </w:pPr>
          </w:p>
        </w:tc>
        <w:tc>
          <w:tcPr>
            <w:tcW w:w="2028" w:type="dxa"/>
            <w:tcBorders>
              <w:bottom w:val="single" w:sz="4" w:space="0" w:color="auto"/>
            </w:tcBorders>
            <w:shd w:val="clear" w:color="auto" w:fill="auto"/>
            <w:vAlign w:val="center"/>
            <w:hideMark/>
          </w:tcPr>
          <w:p w14:paraId="23B68D9F" w14:textId="77777777" w:rsidR="00874916" w:rsidRPr="00910292" w:rsidRDefault="00874916" w:rsidP="00EA28C4">
            <w:pPr>
              <w:jc w:val="center"/>
              <w:rPr>
                <w:sz w:val="18"/>
                <w:szCs w:val="18"/>
              </w:rPr>
            </w:pPr>
          </w:p>
        </w:tc>
        <w:tc>
          <w:tcPr>
            <w:tcW w:w="1403" w:type="dxa"/>
            <w:tcBorders>
              <w:bottom w:val="single" w:sz="4" w:space="0" w:color="auto"/>
            </w:tcBorders>
            <w:shd w:val="clear" w:color="auto" w:fill="auto"/>
            <w:noWrap/>
            <w:vAlign w:val="center"/>
            <w:hideMark/>
          </w:tcPr>
          <w:p w14:paraId="2D63E195" w14:textId="77777777" w:rsidR="00874916" w:rsidRPr="00910292" w:rsidRDefault="00874916" w:rsidP="00EA28C4">
            <w:pPr>
              <w:jc w:val="center"/>
              <w:rPr>
                <w:color w:val="000000"/>
                <w:sz w:val="18"/>
                <w:szCs w:val="18"/>
              </w:rPr>
            </w:pPr>
            <w:r w:rsidRPr="00910292">
              <w:rPr>
                <w:color w:val="000000"/>
                <w:sz w:val="18"/>
                <w:szCs w:val="18"/>
              </w:rPr>
              <w:t>2015</w:t>
            </w:r>
          </w:p>
        </w:tc>
        <w:tc>
          <w:tcPr>
            <w:tcW w:w="904" w:type="dxa"/>
            <w:tcBorders>
              <w:bottom w:val="single" w:sz="4" w:space="0" w:color="auto"/>
            </w:tcBorders>
            <w:shd w:val="clear" w:color="auto" w:fill="auto"/>
            <w:noWrap/>
            <w:vAlign w:val="center"/>
            <w:hideMark/>
          </w:tcPr>
          <w:p w14:paraId="6BD1DC48" w14:textId="77777777" w:rsidR="00874916" w:rsidRPr="00910292" w:rsidRDefault="00874916" w:rsidP="00EA28C4">
            <w:pPr>
              <w:jc w:val="center"/>
              <w:rPr>
                <w:sz w:val="18"/>
                <w:szCs w:val="18"/>
              </w:rPr>
            </w:pPr>
          </w:p>
        </w:tc>
      </w:tr>
      <w:tr w:rsidR="00874916" w:rsidRPr="00910292" w14:paraId="2CB1D96C" w14:textId="77777777" w:rsidTr="00EA28C4">
        <w:trPr>
          <w:trHeight w:val="270"/>
          <w:jc w:val="center"/>
        </w:trPr>
        <w:tc>
          <w:tcPr>
            <w:tcW w:w="2028" w:type="dxa"/>
            <w:tcBorders>
              <w:top w:val="single" w:sz="4" w:space="0" w:color="auto"/>
              <w:bottom w:val="single" w:sz="4" w:space="0" w:color="auto"/>
            </w:tcBorders>
            <w:shd w:val="clear" w:color="auto" w:fill="auto"/>
            <w:noWrap/>
            <w:vAlign w:val="center"/>
            <w:hideMark/>
          </w:tcPr>
          <w:p w14:paraId="313E0F2C" w14:textId="77777777" w:rsidR="00874916" w:rsidRPr="00910292" w:rsidRDefault="00874916" w:rsidP="00EA28C4">
            <w:pPr>
              <w:jc w:val="center"/>
              <w:rPr>
                <w:color w:val="000000"/>
                <w:sz w:val="18"/>
                <w:szCs w:val="18"/>
              </w:rPr>
            </w:pPr>
            <w:r w:rsidRPr="002C524B">
              <w:rPr>
                <w:color w:val="000000"/>
                <w:sz w:val="18"/>
                <w:szCs w:val="18"/>
              </w:rPr>
              <w:t>Importer</w:t>
            </w:r>
          </w:p>
        </w:tc>
        <w:tc>
          <w:tcPr>
            <w:tcW w:w="1403" w:type="dxa"/>
            <w:tcBorders>
              <w:top w:val="single" w:sz="4" w:space="0" w:color="auto"/>
              <w:bottom w:val="single" w:sz="4" w:space="0" w:color="auto"/>
            </w:tcBorders>
            <w:shd w:val="clear" w:color="auto" w:fill="auto"/>
            <w:noWrap/>
            <w:vAlign w:val="center"/>
            <w:hideMark/>
          </w:tcPr>
          <w:p w14:paraId="34D8EA85" w14:textId="77777777" w:rsidR="00874916" w:rsidRPr="00910292" w:rsidRDefault="00874916" w:rsidP="00EA28C4">
            <w:pPr>
              <w:jc w:val="center"/>
              <w:rPr>
                <w:color w:val="000000"/>
                <w:sz w:val="18"/>
                <w:szCs w:val="18"/>
              </w:rPr>
            </w:pPr>
            <w:r w:rsidRPr="002C524B">
              <w:rPr>
                <w:color w:val="000000"/>
                <w:sz w:val="18"/>
                <w:szCs w:val="18"/>
              </w:rPr>
              <w:t xml:space="preserve">Thousand </w:t>
            </w:r>
            <w:r>
              <w:rPr>
                <w:color w:val="000000"/>
                <w:sz w:val="18"/>
                <w:szCs w:val="18"/>
              </w:rPr>
              <w:t>Tons</w:t>
            </w:r>
          </w:p>
        </w:tc>
        <w:tc>
          <w:tcPr>
            <w:tcW w:w="904" w:type="dxa"/>
            <w:tcBorders>
              <w:top w:val="single" w:sz="4" w:space="0" w:color="auto"/>
              <w:bottom w:val="single" w:sz="4" w:space="0" w:color="auto"/>
            </w:tcBorders>
            <w:shd w:val="clear" w:color="auto" w:fill="auto"/>
            <w:noWrap/>
            <w:vAlign w:val="center"/>
            <w:hideMark/>
          </w:tcPr>
          <w:p w14:paraId="00A9BA80" w14:textId="77777777" w:rsidR="00874916" w:rsidRPr="00910292" w:rsidRDefault="00874916" w:rsidP="00EA28C4">
            <w:pPr>
              <w:jc w:val="center"/>
              <w:rPr>
                <w:color w:val="000000"/>
                <w:sz w:val="18"/>
                <w:szCs w:val="18"/>
              </w:rPr>
            </w:pPr>
            <w:r w:rsidRPr="002C524B">
              <w:rPr>
                <w:color w:val="000000"/>
                <w:sz w:val="18"/>
                <w:szCs w:val="18"/>
              </w:rPr>
              <w:t>Percent</w:t>
            </w:r>
          </w:p>
        </w:tc>
        <w:tc>
          <w:tcPr>
            <w:tcW w:w="2028" w:type="dxa"/>
            <w:tcBorders>
              <w:top w:val="single" w:sz="4" w:space="0" w:color="auto"/>
              <w:bottom w:val="single" w:sz="4" w:space="0" w:color="auto"/>
            </w:tcBorders>
            <w:shd w:val="clear" w:color="auto" w:fill="auto"/>
            <w:noWrap/>
            <w:vAlign w:val="center"/>
            <w:hideMark/>
          </w:tcPr>
          <w:p w14:paraId="0A646D3C" w14:textId="77777777" w:rsidR="00874916" w:rsidRPr="00910292" w:rsidRDefault="00874916" w:rsidP="00EA28C4">
            <w:pPr>
              <w:jc w:val="center"/>
              <w:rPr>
                <w:color w:val="000000"/>
                <w:sz w:val="18"/>
                <w:szCs w:val="18"/>
              </w:rPr>
            </w:pPr>
            <w:r w:rsidRPr="002C524B">
              <w:rPr>
                <w:color w:val="000000"/>
                <w:sz w:val="18"/>
                <w:szCs w:val="18"/>
              </w:rPr>
              <w:t>Importer</w:t>
            </w:r>
          </w:p>
        </w:tc>
        <w:tc>
          <w:tcPr>
            <w:tcW w:w="1403" w:type="dxa"/>
            <w:tcBorders>
              <w:top w:val="single" w:sz="4" w:space="0" w:color="auto"/>
              <w:bottom w:val="single" w:sz="4" w:space="0" w:color="auto"/>
            </w:tcBorders>
            <w:shd w:val="clear" w:color="auto" w:fill="auto"/>
            <w:noWrap/>
            <w:vAlign w:val="center"/>
            <w:hideMark/>
          </w:tcPr>
          <w:p w14:paraId="49BF5B22" w14:textId="77777777" w:rsidR="00874916" w:rsidRPr="00910292" w:rsidRDefault="00874916" w:rsidP="00EA28C4">
            <w:pPr>
              <w:jc w:val="center"/>
              <w:rPr>
                <w:color w:val="000000"/>
                <w:sz w:val="18"/>
                <w:szCs w:val="18"/>
              </w:rPr>
            </w:pPr>
            <w:r w:rsidRPr="002C524B">
              <w:rPr>
                <w:color w:val="000000"/>
                <w:sz w:val="18"/>
                <w:szCs w:val="18"/>
              </w:rPr>
              <w:t xml:space="preserve">Thousand </w:t>
            </w:r>
            <w:r>
              <w:rPr>
                <w:color w:val="000000"/>
                <w:sz w:val="18"/>
                <w:szCs w:val="18"/>
              </w:rPr>
              <w:t>Tons</w:t>
            </w:r>
          </w:p>
        </w:tc>
        <w:tc>
          <w:tcPr>
            <w:tcW w:w="904" w:type="dxa"/>
            <w:tcBorders>
              <w:top w:val="single" w:sz="4" w:space="0" w:color="auto"/>
              <w:bottom w:val="single" w:sz="4" w:space="0" w:color="auto"/>
            </w:tcBorders>
            <w:shd w:val="clear" w:color="auto" w:fill="auto"/>
            <w:noWrap/>
            <w:vAlign w:val="center"/>
            <w:hideMark/>
          </w:tcPr>
          <w:p w14:paraId="4D17FF81" w14:textId="77777777" w:rsidR="00874916" w:rsidRPr="00910292" w:rsidRDefault="00874916" w:rsidP="00EA28C4">
            <w:pPr>
              <w:jc w:val="center"/>
              <w:rPr>
                <w:color w:val="000000"/>
                <w:sz w:val="18"/>
                <w:szCs w:val="18"/>
              </w:rPr>
            </w:pPr>
            <w:r w:rsidRPr="002C524B">
              <w:rPr>
                <w:color w:val="000000"/>
                <w:sz w:val="18"/>
                <w:szCs w:val="18"/>
              </w:rPr>
              <w:t>Percent</w:t>
            </w:r>
          </w:p>
        </w:tc>
      </w:tr>
      <w:tr w:rsidR="00874916" w:rsidRPr="00910292" w14:paraId="458B8040" w14:textId="77777777" w:rsidTr="00EA28C4">
        <w:trPr>
          <w:trHeight w:val="270"/>
          <w:jc w:val="center"/>
        </w:trPr>
        <w:tc>
          <w:tcPr>
            <w:tcW w:w="2028" w:type="dxa"/>
            <w:tcBorders>
              <w:top w:val="single" w:sz="4" w:space="0" w:color="auto"/>
            </w:tcBorders>
            <w:shd w:val="clear" w:color="auto" w:fill="auto"/>
            <w:noWrap/>
            <w:vAlign w:val="center"/>
            <w:hideMark/>
          </w:tcPr>
          <w:p w14:paraId="3DEECABE" w14:textId="77777777" w:rsidR="00874916" w:rsidRPr="00910292" w:rsidRDefault="00874916" w:rsidP="00EA28C4">
            <w:pPr>
              <w:jc w:val="center"/>
              <w:rPr>
                <w:color w:val="000000"/>
                <w:sz w:val="18"/>
                <w:szCs w:val="18"/>
              </w:rPr>
            </w:pPr>
            <w:r w:rsidRPr="00910292">
              <w:rPr>
                <w:color w:val="000000"/>
                <w:sz w:val="18"/>
                <w:szCs w:val="18"/>
              </w:rPr>
              <w:t>Morocco</w:t>
            </w:r>
          </w:p>
        </w:tc>
        <w:tc>
          <w:tcPr>
            <w:tcW w:w="1403" w:type="dxa"/>
            <w:tcBorders>
              <w:top w:val="single" w:sz="4" w:space="0" w:color="auto"/>
            </w:tcBorders>
            <w:shd w:val="clear" w:color="auto" w:fill="auto"/>
            <w:noWrap/>
            <w:vAlign w:val="center"/>
            <w:hideMark/>
          </w:tcPr>
          <w:p w14:paraId="0CE4B1F2" w14:textId="77777777" w:rsidR="00874916" w:rsidRPr="00910292" w:rsidRDefault="00874916" w:rsidP="00EA28C4">
            <w:pPr>
              <w:jc w:val="center"/>
              <w:rPr>
                <w:color w:val="000000"/>
                <w:sz w:val="18"/>
                <w:szCs w:val="18"/>
              </w:rPr>
            </w:pPr>
            <w:r w:rsidRPr="00910292">
              <w:rPr>
                <w:color w:val="000000"/>
                <w:sz w:val="18"/>
                <w:szCs w:val="18"/>
              </w:rPr>
              <w:t>59.00</w:t>
            </w:r>
          </w:p>
        </w:tc>
        <w:tc>
          <w:tcPr>
            <w:tcW w:w="904" w:type="dxa"/>
            <w:tcBorders>
              <w:top w:val="single" w:sz="4" w:space="0" w:color="auto"/>
            </w:tcBorders>
            <w:shd w:val="clear" w:color="auto" w:fill="auto"/>
            <w:noWrap/>
            <w:vAlign w:val="center"/>
            <w:hideMark/>
          </w:tcPr>
          <w:p w14:paraId="3C8B3900" w14:textId="77777777" w:rsidR="00874916" w:rsidRPr="00910292" w:rsidRDefault="00874916" w:rsidP="00EA28C4">
            <w:pPr>
              <w:jc w:val="center"/>
              <w:rPr>
                <w:color w:val="000000"/>
                <w:sz w:val="18"/>
                <w:szCs w:val="18"/>
              </w:rPr>
            </w:pPr>
            <w:r w:rsidRPr="00910292">
              <w:rPr>
                <w:color w:val="000000"/>
                <w:sz w:val="18"/>
                <w:szCs w:val="18"/>
              </w:rPr>
              <w:t>19.56%</w:t>
            </w:r>
          </w:p>
        </w:tc>
        <w:tc>
          <w:tcPr>
            <w:tcW w:w="2028" w:type="dxa"/>
            <w:tcBorders>
              <w:top w:val="single" w:sz="4" w:space="0" w:color="auto"/>
            </w:tcBorders>
            <w:shd w:val="clear" w:color="auto" w:fill="auto"/>
            <w:noWrap/>
            <w:vAlign w:val="center"/>
            <w:hideMark/>
          </w:tcPr>
          <w:p w14:paraId="441695A8" w14:textId="77777777" w:rsidR="00874916" w:rsidRPr="00910292" w:rsidRDefault="00874916" w:rsidP="00EA28C4">
            <w:pPr>
              <w:jc w:val="center"/>
              <w:rPr>
                <w:color w:val="000000"/>
                <w:sz w:val="18"/>
                <w:szCs w:val="18"/>
              </w:rPr>
            </w:pPr>
            <w:r w:rsidRPr="00910292">
              <w:rPr>
                <w:color w:val="000000"/>
                <w:sz w:val="18"/>
                <w:szCs w:val="18"/>
              </w:rPr>
              <w:t>Morocco</w:t>
            </w:r>
          </w:p>
        </w:tc>
        <w:tc>
          <w:tcPr>
            <w:tcW w:w="1403" w:type="dxa"/>
            <w:tcBorders>
              <w:top w:val="single" w:sz="4" w:space="0" w:color="auto"/>
            </w:tcBorders>
            <w:shd w:val="clear" w:color="auto" w:fill="auto"/>
            <w:noWrap/>
            <w:vAlign w:val="center"/>
            <w:hideMark/>
          </w:tcPr>
          <w:p w14:paraId="31783403" w14:textId="77777777" w:rsidR="00874916" w:rsidRPr="00910292" w:rsidRDefault="00874916" w:rsidP="00EA28C4">
            <w:pPr>
              <w:jc w:val="center"/>
              <w:rPr>
                <w:color w:val="000000"/>
                <w:sz w:val="18"/>
                <w:szCs w:val="18"/>
              </w:rPr>
            </w:pPr>
            <w:r w:rsidRPr="00910292">
              <w:rPr>
                <w:color w:val="000000"/>
                <w:sz w:val="18"/>
                <w:szCs w:val="18"/>
              </w:rPr>
              <w:t>64.44</w:t>
            </w:r>
          </w:p>
        </w:tc>
        <w:tc>
          <w:tcPr>
            <w:tcW w:w="904" w:type="dxa"/>
            <w:tcBorders>
              <w:top w:val="single" w:sz="4" w:space="0" w:color="auto"/>
            </w:tcBorders>
            <w:shd w:val="clear" w:color="auto" w:fill="auto"/>
            <w:noWrap/>
            <w:vAlign w:val="center"/>
            <w:hideMark/>
          </w:tcPr>
          <w:p w14:paraId="6B7012BB" w14:textId="77777777" w:rsidR="00874916" w:rsidRPr="00910292" w:rsidRDefault="00874916" w:rsidP="00EA28C4">
            <w:pPr>
              <w:jc w:val="center"/>
              <w:rPr>
                <w:color w:val="000000"/>
                <w:sz w:val="18"/>
                <w:szCs w:val="18"/>
              </w:rPr>
            </w:pPr>
            <w:r w:rsidRPr="00910292">
              <w:rPr>
                <w:color w:val="000000"/>
                <w:sz w:val="18"/>
                <w:szCs w:val="18"/>
              </w:rPr>
              <w:t>19.81%</w:t>
            </w:r>
          </w:p>
        </w:tc>
      </w:tr>
      <w:tr w:rsidR="00874916" w:rsidRPr="00910292" w14:paraId="1E7A399B" w14:textId="77777777" w:rsidTr="00EA28C4">
        <w:trPr>
          <w:trHeight w:val="270"/>
          <w:jc w:val="center"/>
        </w:trPr>
        <w:tc>
          <w:tcPr>
            <w:tcW w:w="2028" w:type="dxa"/>
            <w:shd w:val="clear" w:color="auto" w:fill="auto"/>
            <w:noWrap/>
            <w:vAlign w:val="center"/>
            <w:hideMark/>
          </w:tcPr>
          <w:p w14:paraId="13C3FBE2" w14:textId="77777777" w:rsidR="00874916" w:rsidRPr="00910292" w:rsidRDefault="00874916" w:rsidP="00EA28C4">
            <w:pPr>
              <w:jc w:val="center"/>
              <w:rPr>
                <w:color w:val="000000"/>
                <w:sz w:val="18"/>
                <w:szCs w:val="18"/>
              </w:rPr>
            </w:pPr>
            <w:r w:rsidRPr="00910292">
              <w:rPr>
                <w:color w:val="000000"/>
                <w:sz w:val="18"/>
                <w:szCs w:val="18"/>
              </w:rPr>
              <w:t>Togo</w:t>
            </w:r>
          </w:p>
        </w:tc>
        <w:tc>
          <w:tcPr>
            <w:tcW w:w="1403" w:type="dxa"/>
            <w:shd w:val="clear" w:color="auto" w:fill="auto"/>
            <w:noWrap/>
            <w:vAlign w:val="center"/>
            <w:hideMark/>
          </w:tcPr>
          <w:p w14:paraId="60A2BE67" w14:textId="77777777" w:rsidR="00874916" w:rsidRPr="00910292" w:rsidRDefault="00874916" w:rsidP="00EA28C4">
            <w:pPr>
              <w:jc w:val="center"/>
              <w:rPr>
                <w:color w:val="000000"/>
                <w:sz w:val="18"/>
                <w:szCs w:val="18"/>
              </w:rPr>
            </w:pPr>
            <w:r w:rsidRPr="00910292">
              <w:rPr>
                <w:color w:val="000000"/>
                <w:sz w:val="18"/>
                <w:szCs w:val="18"/>
              </w:rPr>
              <w:t>16.89</w:t>
            </w:r>
          </w:p>
        </w:tc>
        <w:tc>
          <w:tcPr>
            <w:tcW w:w="904" w:type="dxa"/>
            <w:shd w:val="clear" w:color="auto" w:fill="auto"/>
            <w:noWrap/>
            <w:vAlign w:val="center"/>
            <w:hideMark/>
          </w:tcPr>
          <w:p w14:paraId="5E6F6330" w14:textId="77777777" w:rsidR="00874916" w:rsidRPr="00910292" w:rsidRDefault="00874916" w:rsidP="00EA28C4">
            <w:pPr>
              <w:jc w:val="center"/>
              <w:rPr>
                <w:color w:val="000000"/>
                <w:sz w:val="18"/>
                <w:szCs w:val="18"/>
              </w:rPr>
            </w:pPr>
            <w:r w:rsidRPr="00910292">
              <w:rPr>
                <w:color w:val="000000"/>
                <w:sz w:val="18"/>
                <w:szCs w:val="18"/>
              </w:rPr>
              <w:t>5.18%</w:t>
            </w:r>
          </w:p>
        </w:tc>
        <w:tc>
          <w:tcPr>
            <w:tcW w:w="2028" w:type="dxa"/>
            <w:shd w:val="clear" w:color="auto" w:fill="auto"/>
            <w:noWrap/>
            <w:vAlign w:val="center"/>
            <w:hideMark/>
          </w:tcPr>
          <w:p w14:paraId="723D063F" w14:textId="77777777" w:rsidR="00874916" w:rsidRPr="00910292" w:rsidRDefault="00874916" w:rsidP="00EA28C4">
            <w:pPr>
              <w:jc w:val="center"/>
              <w:rPr>
                <w:color w:val="000000"/>
                <w:sz w:val="18"/>
                <w:szCs w:val="18"/>
              </w:rPr>
            </w:pPr>
            <w:r w:rsidRPr="00910292">
              <w:rPr>
                <w:color w:val="000000"/>
                <w:sz w:val="18"/>
                <w:szCs w:val="18"/>
              </w:rPr>
              <w:t>Uzbekistan</w:t>
            </w:r>
          </w:p>
        </w:tc>
        <w:tc>
          <w:tcPr>
            <w:tcW w:w="1403" w:type="dxa"/>
            <w:shd w:val="clear" w:color="auto" w:fill="auto"/>
            <w:noWrap/>
            <w:vAlign w:val="center"/>
            <w:hideMark/>
          </w:tcPr>
          <w:p w14:paraId="2A25889D" w14:textId="77777777" w:rsidR="00874916" w:rsidRPr="00910292" w:rsidRDefault="00874916" w:rsidP="00EA28C4">
            <w:pPr>
              <w:jc w:val="center"/>
              <w:rPr>
                <w:color w:val="000000"/>
                <w:sz w:val="18"/>
                <w:szCs w:val="18"/>
              </w:rPr>
            </w:pPr>
            <w:r w:rsidRPr="00910292">
              <w:rPr>
                <w:color w:val="000000"/>
                <w:sz w:val="18"/>
                <w:szCs w:val="18"/>
              </w:rPr>
              <w:t>26.80</w:t>
            </w:r>
          </w:p>
        </w:tc>
        <w:tc>
          <w:tcPr>
            <w:tcW w:w="904" w:type="dxa"/>
            <w:shd w:val="clear" w:color="auto" w:fill="auto"/>
            <w:noWrap/>
            <w:vAlign w:val="center"/>
            <w:hideMark/>
          </w:tcPr>
          <w:p w14:paraId="7CF6ADE6" w14:textId="77777777" w:rsidR="00874916" w:rsidRPr="00910292" w:rsidRDefault="00874916" w:rsidP="00EA28C4">
            <w:pPr>
              <w:jc w:val="center"/>
              <w:rPr>
                <w:color w:val="000000"/>
                <w:sz w:val="18"/>
                <w:szCs w:val="18"/>
              </w:rPr>
            </w:pPr>
            <w:r w:rsidRPr="00910292">
              <w:rPr>
                <w:color w:val="000000"/>
                <w:sz w:val="18"/>
                <w:szCs w:val="18"/>
              </w:rPr>
              <w:t>8.24%</w:t>
            </w:r>
          </w:p>
        </w:tc>
      </w:tr>
      <w:tr w:rsidR="00874916" w:rsidRPr="00910292" w14:paraId="075C608C" w14:textId="77777777" w:rsidTr="00EA28C4">
        <w:trPr>
          <w:trHeight w:val="270"/>
          <w:jc w:val="center"/>
        </w:trPr>
        <w:tc>
          <w:tcPr>
            <w:tcW w:w="2028" w:type="dxa"/>
            <w:shd w:val="clear" w:color="auto" w:fill="auto"/>
            <w:noWrap/>
            <w:vAlign w:val="center"/>
            <w:hideMark/>
          </w:tcPr>
          <w:p w14:paraId="5200BC42" w14:textId="77777777" w:rsidR="00874916" w:rsidRPr="00910292" w:rsidRDefault="00874916" w:rsidP="00EA28C4">
            <w:pPr>
              <w:jc w:val="center"/>
              <w:rPr>
                <w:color w:val="000000"/>
                <w:sz w:val="18"/>
                <w:szCs w:val="18"/>
              </w:rPr>
            </w:pPr>
            <w:r w:rsidRPr="00910292">
              <w:rPr>
                <w:color w:val="000000"/>
                <w:sz w:val="18"/>
                <w:szCs w:val="18"/>
              </w:rPr>
              <w:t>Uzbekistan</w:t>
            </w:r>
          </w:p>
        </w:tc>
        <w:tc>
          <w:tcPr>
            <w:tcW w:w="1403" w:type="dxa"/>
            <w:shd w:val="clear" w:color="auto" w:fill="auto"/>
            <w:noWrap/>
            <w:vAlign w:val="center"/>
            <w:hideMark/>
          </w:tcPr>
          <w:p w14:paraId="01431EBA" w14:textId="77777777" w:rsidR="00874916" w:rsidRPr="00910292" w:rsidRDefault="00874916" w:rsidP="00EA28C4">
            <w:pPr>
              <w:jc w:val="center"/>
              <w:rPr>
                <w:color w:val="000000"/>
                <w:sz w:val="18"/>
                <w:szCs w:val="18"/>
              </w:rPr>
            </w:pPr>
            <w:r w:rsidRPr="00910292">
              <w:rPr>
                <w:color w:val="000000"/>
                <w:sz w:val="18"/>
                <w:szCs w:val="18"/>
              </w:rPr>
              <w:t>16.39</w:t>
            </w:r>
          </w:p>
        </w:tc>
        <w:tc>
          <w:tcPr>
            <w:tcW w:w="904" w:type="dxa"/>
            <w:shd w:val="clear" w:color="auto" w:fill="auto"/>
            <w:noWrap/>
            <w:vAlign w:val="center"/>
            <w:hideMark/>
          </w:tcPr>
          <w:p w14:paraId="06FE6485" w14:textId="77777777" w:rsidR="00874916" w:rsidRPr="00910292" w:rsidRDefault="00874916" w:rsidP="00EA28C4">
            <w:pPr>
              <w:jc w:val="center"/>
              <w:rPr>
                <w:color w:val="000000"/>
                <w:sz w:val="18"/>
                <w:szCs w:val="18"/>
              </w:rPr>
            </w:pPr>
            <w:r w:rsidRPr="00910292">
              <w:rPr>
                <w:color w:val="000000"/>
                <w:sz w:val="18"/>
                <w:szCs w:val="18"/>
              </w:rPr>
              <w:t>5.03%</w:t>
            </w:r>
          </w:p>
        </w:tc>
        <w:tc>
          <w:tcPr>
            <w:tcW w:w="2028" w:type="dxa"/>
            <w:shd w:val="clear" w:color="auto" w:fill="auto"/>
            <w:noWrap/>
            <w:vAlign w:val="center"/>
            <w:hideMark/>
          </w:tcPr>
          <w:p w14:paraId="6862F677" w14:textId="77777777" w:rsidR="00874916" w:rsidRPr="00910292" w:rsidRDefault="00874916" w:rsidP="00EA28C4">
            <w:pPr>
              <w:jc w:val="center"/>
              <w:rPr>
                <w:color w:val="000000"/>
                <w:sz w:val="18"/>
                <w:szCs w:val="18"/>
              </w:rPr>
            </w:pPr>
            <w:r w:rsidRPr="00910292">
              <w:rPr>
                <w:color w:val="000000"/>
                <w:sz w:val="18"/>
                <w:szCs w:val="18"/>
              </w:rPr>
              <w:t>Senegal</w:t>
            </w:r>
          </w:p>
        </w:tc>
        <w:tc>
          <w:tcPr>
            <w:tcW w:w="1403" w:type="dxa"/>
            <w:shd w:val="clear" w:color="auto" w:fill="auto"/>
            <w:noWrap/>
            <w:vAlign w:val="center"/>
            <w:hideMark/>
          </w:tcPr>
          <w:p w14:paraId="379628C2" w14:textId="77777777" w:rsidR="00874916" w:rsidRPr="00910292" w:rsidRDefault="00874916" w:rsidP="00EA28C4">
            <w:pPr>
              <w:jc w:val="center"/>
              <w:rPr>
                <w:color w:val="000000"/>
                <w:sz w:val="18"/>
                <w:szCs w:val="18"/>
              </w:rPr>
            </w:pPr>
            <w:r w:rsidRPr="00910292">
              <w:rPr>
                <w:color w:val="000000"/>
                <w:sz w:val="18"/>
                <w:szCs w:val="18"/>
              </w:rPr>
              <w:t>17.22</w:t>
            </w:r>
          </w:p>
        </w:tc>
        <w:tc>
          <w:tcPr>
            <w:tcW w:w="904" w:type="dxa"/>
            <w:shd w:val="clear" w:color="auto" w:fill="auto"/>
            <w:noWrap/>
            <w:vAlign w:val="center"/>
            <w:hideMark/>
          </w:tcPr>
          <w:p w14:paraId="16A65D77" w14:textId="77777777" w:rsidR="00874916" w:rsidRPr="00910292" w:rsidRDefault="00874916" w:rsidP="00EA28C4">
            <w:pPr>
              <w:jc w:val="center"/>
              <w:rPr>
                <w:color w:val="000000"/>
                <w:sz w:val="18"/>
                <w:szCs w:val="18"/>
              </w:rPr>
            </w:pPr>
            <w:r w:rsidRPr="00910292">
              <w:rPr>
                <w:color w:val="000000"/>
                <w:sz w:val="18"/>
                <w:szCs w:val="18"/>
              </w:rPr>
              <w:t>5.29%</w:t>
            </w:r>
          </w:p>
        </w:tc>
      </w:tr>
      <w:tr w:rsidR="00874916" w:rsidRPr="00910292" w14:paraId="3A8A060D" w14:textId="77777777" w:rsidTr="00EA28C4">
        <w:trPr>
          <w:trHeight w:val="270"/>
          <w:jc w:val="center"/>
        </w:trPr>
        <w:tc>
          <w:tcPr>
            <w:tcW w:w="2028" w:type="dxa"/>
            <w:shd w:val="clear" w:color="auto" w:fill="auto"/>
            <w:noWrap/>
            <w:vAlign w:val="center"/>
            <w:hideMark/>
          </w:tcPr>
          <w:p w14:paraId="7DF084D1" w14:textId="77777777" w:rsidR="00874916" w:rsidRPr="00910292" w:rsidRDefault="00874916" w:rsidP="00EA28C4">
            <w:pPr>
              <w:jc w:val="center"/>
              <w:rPr>
                <w:color w:val="000000"/>
                <w:sz w:val="18"/>
                <w:szCs w:val="18"/>
              </w:rPr>
            </w:pPr>
            <w:r w:rsidRPr="00910292">
              <w:rPr>
                <w:color w:val="000000"/>
                <w:sz w:val="18"/>
                <w:szCs w:val="18"/>
              </w:rPr>
              <w:t>United States of America</w:t>
            </w:r>
          </w:p>
        </w:tc>
        <w:tc>
          <w:tcPr>
            <w:tcW w:w="1403" w:type="dxa"/>
            <w:shd w:val="clear" w:color="auto" w:fill="auto"/>
            <w:noWrap/>
            <w:vAlign w:val="center"/>
            <w:hideMark/>
          </w:tcPr>
          <w:p w14:paraId="0F243B57" w14:textId="77777777" w:rsidR="00874916" w:rsidRPr="00910292" w:rsidRDefault="00874916" w:rsidP="00EA28C4">
            <w:pPr>
              <w:jc w:val="center"/>
              <w:rPr>
                <w:color w:val="000000"/>
                <w:sz w:val="18"/>
                <w:szCs w:val="18"/>
              </w:rPr>
            </w:pPr>
            <w:r w:rsidRPr="00910292">
              <w:rPr>
                <w:color w:val="000000"/>
                <w:sz w:val="18"/>
                <w:szCs w:val="18"/>
              </w:rPr>
              <w:t>15.30</w:t>
            </w:r>
          </w:p>
        </w:tc>
        <w:tc>
          <w:tcPr>
            <w:tcW w:w="904" w:type="dxa"/>
            <w:shd w:val="clear" w:color="auto" w:fill="auto"/>
            <w:noWrap/>
            <w:vAlign w:val="center"/>
            <w:hideMark/>
          </w:tcPr>
          <w:p w14:paraId="7C05445B" w14:textId="77777777" w:rsidR="00874916" w:rsidRPr="00910292" w:rsidRDefault="00874916" w:rsidP="00EA28C4">
            <w:pPr>
              <w:jc w:val="center"/>
              <w:rPr>
                <w:color w:val="000000"/>
                <w:sz w:val="18"/>
                <w:szCs w:val="18"/>
              </w:rPr>
            </w:pPr>
            <w:r w:rsidRPr="00910292">
              <w:rPr>
                <w:color w:val="000000"/>
                <w:sz w:val="18"/>
                <w:szCs w:val="18"/>
              </w:rPr>
              <w:t>4.70%</w:t>
            </w:r>
          </w:p>
        </w:tc>
        <w:tc>
          <w:tcPr>
            <w:tcW w:w="2028" w:type="dxa"/>
            <w:shd w:val="clear" w:color="auto" w:fill="auto"/>
            <w:noWrap/>
            <w:vAlign w:val="center"/>
            <w:hideMark/>
          </w:tcPr>
          <w:p w14:paraId="711C4966" w14:textId="77777777" w:rsidR="00874916" w:rsidRPr="00910292" w:rsidRDefault="00874916" w:rsidP="00EA28C4">
            <w:pPr>
              <w:jc w:val="center"/>
              <w:rPr>
                <w:color w:val="000000"/>
                <w:sz w:val="18"/>
                <w:szCs w:val="18"/>
              </w:rPr>
            </w:pPr>
            <w:r w:rsidRPr="00910292">
              <w:rPr>
                <w:color w:val="000000"/>
                <w:sz w:val="18"/>
                <w:szCs w:val="18"/>
              </w:rPr>
              <w:t>United States of America</w:t>
            </w:r>
          </w:p>
        </w:tc>
        <w:tc>
          <w:tcPr>
            <w:tcW w:w="1403" w:type="dxa"/>
            <w:shd w:val="clear" w:color="auto" w:fill="auto"/>
            <w:noWrap/>
            <w:vAlign w:val="center"/>
            <w:hideMark/>
          </w:tcPr>
          <w:p w14:paraId="6538AF16" w14:textId="77777777" w:rsidR="00874916" w:rsidRPr="00910292" w:rsidRDefault="00874916" w:rsidP="00EA28C4">
            <w:pPr>
              <w:jc w:val="center"/>
              <w:rPr>
                <w:color w:val="000000"/>
                <w:sz w:val="18"/>
                <w:szCs w:val="18"/>
              </w:rPr>
            </w:pPr>
            <w:r w:rsidRPr="00910292">
              <w:rPr>
                <w:color w:val="000000"/>
                <w:sz w:val="18"/>
                <w:szCs w:val="18"/>
              </w:rPr>
              <w:t>16.36</w:t>
            </w:r>
          </w:p>
        </w:tc>
        <w:tc>
          <w:tcPr>
            <w:tcW w:w="904" w:type="dxa"/>
            <w:shd w:val="clear" w:color="auto" w:fill="auto"/>
            <w:noWrap/>
            <w:vAlign w:val="center"/>
            <w:hideMark/>
          </w:tcPr>
          <w:p w14:paraId="4AA1C186" w14:textId="77777777" w:rsidR="00874916" w:rsidRPr="00910292" w:rsidRDefault="00874916" w:rsidP="00EA28C4">
            <w:pPr>
              <w:jc w:val="center"/>
              <w:rPr>
                <w:color w:val="000000"/>
                <w:sz w:val="18"/>
                <w:szCs w:val="18"/>
              </w:rPr>
            </w:pPr>
            <w:r w:rsidRPr="00910292">
              <w:rPr>
                <w:color w:val="000000"/>
                <w:sz w:val="18"/>
                <w:szCs w:val="18"/>
              </w:rPr>
              <w:t>5.03%</w:t>
            </w:r>
          </w:p>
        </w:tc>
      </w:tr>
      <w:tr w:rsidR="00874916" w:rsidRPr="00910292" w14:paraId="6C252B21" w14:textId="77777777" w:rsidTr="00EA28C4">
        <w:trPr>
          <w:trHeight w:val="270"/>
          <w:jc w:val="center"/>
        </w:trPr>
        <w:tc>
          <w:tcPr>
            <w:tcW w:w="2028" w:type="dxa"/>
            <w:shd w:val="clear" w:color="auto" w:fill="auto"/>
            <w:noWrap/>
            <w:vAlign w:val="center"/>
            <w:hideMark/>
          </w:tcPr>
          <w:p w14:paraId="5C16E86D" w14:textId="77777777" w:rsidR="00874916" w:rsidRPr="00910292" w:rsidRDefault="00874916" w:rsidP="00EA28C4">
            <w:pPr>
              <w:jc w:val="center"/>
              <w:rPr>
                <w:color w:val="000000"/>
                <w:sz w:val="18"/>
                <w:szCs w:val="18"/>
              </w:rPr>
            </w:pPr>
            <w:r w:rsidRPr="00910292">
              <w:rPr>
                <w:color w:val="000000"/>
                <w:sz w:val="18"/>
                <w:szCs w:val="18"/>
              </w:rPr>
              <w:t>Algeria</w:t>
            </w:r>
          </w:p>
        </w:tc>
        <w:tc>
          <w:tcPr>
            <w:tcW w:w="1403" w:type="dxa"/>
            <w:shd w:val="clear" w:color="auto" w:fill="auto"/>
            <w:noWrap/>
            <w:vAlign w:val="center"/>
            <w:hideMark/>
          </w:tcPr>
          <w:p w14:paraId="75DF9747" w14:textId="77777777" w:rsidR="00874916" w:rsidRPr="00910292" w:rsidRDefault="00874916" w:rsidP="00EA28C4">
            <w:pPr>
              <w:jc w:val="center"/>
              <w:rPr>
                <w:color w:val="000000"/>
                <w:sz w:val="18"/>
                <w:szCs w:val="18"/>
              </w:rPr>
            </w:pPr>
            <w:r w:rsidRPr="00910292">
              <w:rPr>
                <w:color w:val="000000"/>
                <w:sz w:val="18"/>
                <w:szCs w:val="18"/>
              </w:rPr>
              <w:t>15.01</w:t>
            </w:r>
          </w:p>
        </w:tc>
        <w:tc>
          <w:tcPr>
            <w:tcW w:w="904" w:type="dxa"/>
            <w:shd w:val="clear" w:color="auto" w:fill="auto"/>
            <w:noWrap/>
            <w:vAlign w:val="center"/>
            <w:hideMark/>
          </w:tcPr>
          <w:p w14:paraId="1DBB7E66" w14:textId="77777777" w:rsidR="00874916" w:rsidRPr="00910292" w:rsidRDefault="00874916" w:rsidP="00EA28C4">
            <w:pPr>
              <w:jc w:val="center"/>
              <w:rPr>
                <w:color w:val="000000"/>
                <w:sz w:val="18"/>
                <w:szCs w:val="18"/>
              </w:rPr>
            </w:pPr>
            <w:r w:rsidRPr="00910292">
              <w:rPr>
                <w:color w:val="000000"/>
                <w:sz w:val="18"/>
                <w:szCs w:val="18"/>
              </w:rPr>
              <w:t>4.61%</w:t>
            </w:r>
          </w:p>
        </w:tc>
        <w:tc>
          <w:tcPr>
            <w:tcW w:w="2028" w:type="dxa"/>
            <w:shd w:val="clear" w:color="auto" w:fill="auto"/>
            <w:noWrap/>
            <w:vAlign w:val="center"/>
            <w:hideMark/>
          </w:tcPr>
          <w:p w14:paraId="3CECCF6B" w14:textId="77777777" w:rsidR="00874916" w:rsidRPr="00910292" w:rsidRDefault="00874916" w:rsidP="00EA28C4">
            <w:pPr>
              <w:jc w:val="center"/>
              <w:rPr>
                <w:color w:val="000000"/>
                <w:sz w:val="18"/>
                <w:szCs w:val="18"/>
              </w:rPr>
            </w:pPr>
            <w:r w:rsidRPr="00910292">
              <w:rPr>
                <w:color w:val="000000"/>
                <w:sz w:val="18"/>
                <w:szCs w:val="18"/>
              </w:rPr>
              <w:t>Algeria</w:t>
            </w:r>
          </w:p>
        </w:tc>
        <w:tc>
          <w:tcPr>
            <w:tcW w:w="1403" w:type="dxa"/>
            <w:shd w:val="clear" w:color="auto" w:fill="auto"/>
            <w:noWrap/>
            <w:vAlign w:val="center"/>
            <w:hideMark/>
          </w:tcPr>
          <w:p w14:paraId="63DE16D5" w14:textId="77777777" w:rsidR="00874916" w:rsidRPr="00910292" w:rsidRDefault="00874916" w:rsidP="00EA28C4">
            <w:pPr>
              <w:jc w:val="center"/>
              <w:rPr>
                <w:color w:val="000000"/>
                <w:sz w:val="18"/>
                <w:szCs w:val="18"/>
              </w:rPr>
            </w:pPr>
            <w:r w:rsidRPr="00910292">
              <w:rPr>
                <w:color w:val="000000"/>
                <w:sz w:val="18"/>
                <w:szCs w:val="18"/>
              </w:rPr>
              <w:t>14.37</w:t>
            </w:r>
          </w:p>
        </w:tc>
        <w:tc>
          <w:tcPr>
            <w:tcW w:w="904" w:type="dxa"/>
            <w:shd w:val="clear" w:color="auto" w:fill="auto"/>
            <w:noWrap/>
            <w:vAlign w:val="center"/>
            <w:hideMark/>
          </w:tcPr>
          <w:p w14:paraId="5A1ED6D9" w14:textId="77777777" w:rsidR="00874916" w:rsidRPr="00910292" w:rsidRDefault="00874916" w:rsidP="00EA28C4">
            <w:pPr>
              <w:jc w:val="center"/>
              <w:rPr>
                <w:color w:val="000000"/>
                <w:sz w:val="18"/>
                <w:szCs w:val="18"/>
              </w:rPr>
            </w:pPr>
            <w:r w:rsidRPr="00910292">
              <w:rPr>
                <w:color w:val="000000"/>
                <w:sz w:val="18"/>
                <w:szCs w:val="18"/>
              </w:rPr>
              <w:t>4.42%</w:t>
            </w:r>
          </w:p>
        </w:tc>
      </w:tr>
      <w:tr w:rsidR="00874916" w:rsidRPr="00910292" w14:paraId="6E0C3CA7" w14:textId="77777777" w:rsidTr="00EA28C4">
        <w:trPr>
          <w:trHeight w:val="270"/>
          <w:jc w:val="center"/>
        </w:trPr>
        <w:tc>
          <w:tcPr>
            <w:tcW w:w="2028" w:type="dxa"/>
            <w:shd w:val="clear" w:color="auto" w:fill="auto"/>
            <w:noWrap/>
            <w:vAlign w:val="center"/>
            <w:hideMark/>
          </w:tcPr>
          <w:p w14:paraId="68F48B32" w14:textId="77777777" w:rsidR="00874916" w:rsidRPr="00910292" w:rsidRDefault="00874916" w:rsidP="00EA28C4">
            <w:pPr>
              <w:jc w:val="center"/>
              <w:rPr>
                <w:color w:val="000000"/>
                <w:sz w:val="18"/>
                <w:szCs w:val="18"/>
              </w:rPr>
            </w:pPr>
            <w:r w:rsidRPr="00910292">
              <w:rPr>
                <w:color w:val="000000"/>
                <w:sz w:val="18"/>
                <w:szCs w:val="18"/>
              </w:rPr>
              <w:t>Japan</w:t>
            </w:r>
          </w:p>
        </w:tc>
        <w:tc>
          <w:tcPr>
            <w:tcW w:w="1403" w:type="dxa"/>
            <w:shd w:val="clear" w:color="auto" w:fill="auto"/>
            <w:noWrap/>
            <w:vAlign w:val="center"/>
            <w:hideMark/>
          </w:tcPr>
          <w:p w14:paraId="088CE0E6" w14:textId="77777777" w:rsidR="00874916" w:rsidRPr="00910292" w:rsidRDefault="00874916" w:rsidP="00EA28C4">
            <w:pPr>
              <w:jc w:val="center"/>
              <w:rPr>
                <w:color w:val="000000"/>
                <w:sz w:val="18"/>
                <w:szCs w:val="18"/>
              </w:rPr>
            </w:pPr>
            <w:r w:rsidRPr="00910292">
              <w:rPr>
                <w:color w:val="000000"/>
                <w:sz w:val="18"/>
                <w:szCs w:val="18"/>
              </w:rPr>
              <w:t>14.55</w:t>
            </w:r>
          </w:p>
        </w:tc>
        <w:tc>
          <w:tcPr>
            <w:tcW w:w="904" w:type="dxa"/>
            <w:shd w:val="clear" w:color="auto" w:fill="auto"/>
            <w:noWrap/>
            <w:vAlign w:val="center"/>
            <w:hideMark/>
          </w:tcPr>
          <w:p w14:paraId="1F9C81F7" w14:textId="77777777" w:rsidR="00874916" w:rsidRPr="00910292" w:rsidRDefault="00874916" w:rsidP="00EA28C4">
            <w:pPr>
              <w:jc w:val="center"/>
              <w:rPr>
                <w:color w:val="000000"/>
                <w:sz w:val="18"/>
                <w:szCs w:val="18"/>
              </w:rPr>
            </w:pPr>
            <w:r w:rsidRPr="00910292">
              <w:rPr>
                <w:color w:val="000000"/>
                <w:sz w:val="18"/>
                <w:szCs w:val="18"/>
              </w:rPr>
              <w:t>4.47%</w:t>
            </w:r>
          </w:p>
        </w:tc>
        <w:tc>
          <w:tcPr>
            <w:tcW w:w="2028" w:type="dxa"/>
            <w:shd w:val="clear" w:color="auto" w:fill="auto"/>
            <w:noWrap/>
            <w:vAlign w:val="center"/>
            <w:hideMark/>
          </w:tcPr>
          <w:p w14:paraId="5232B33A" w14:textId="77777777" w:rsidR="00874916" w:rsidRPr="00910292" w:rsidRDefault="00874916" w:rsidP="00EA28C4">
            <w:pPr>
              <w:jc w:val="center"/>
              <w:rPr>
                <w:color w:val="000000"/>
                <w:sz w:val="18"/>
                <w:szCs w:val="18"/>
              </w:rPr>
            </w:pPr>
            <w:r w:rsidRPr="00910292">
              <w:rPr>
                <w:color w:val="000000"/>
                <w:sz w:val="18"/>
                <w:szCs w:val="18"/>
              </w:rPr>
              <w:t>Togo</w:t>
            </w:r>
          </w:p>
        </w:tc>
        <w:tc>
          <w:tcPr>
            <w:tcW w:w="1403" w:type="dxa"/>
            <w:shd w:val="clear" w:color="auto" w:fill="auto"/>
            <w:noWrap/>
            <w:vAlign w:val="center"/>
            <w:hideMark/>
          </w:tcPr>
          <w:p w14:paraId="7E129162" w14:textId="77777777" w:rsidR="00874916" w:rsidRPr="00910292" w:rsidRDefault="00874916" w:rsidP="00EA28C4">
            <w:pPr>
              <w:jc w:val="center"/>
              <w:rPr>
                <w:color w:val="000000"/>
                <w:sz w:val="18"/>
                <w:szCs w:val="18"/>
              </w:rPr>
            </w:pPr>
            <w:r w:rsidRPr="00910292">
              <w:rPr>
                <w:color w:val="000000"/>
                <w:sz w:val="18"/>
                <w:szCs w:val="18"/>
              </w:rPr>
              <w:t>13.31</w:t>
            </w:r>
          </w:p>
        </w:tc>
        <w:tc>
          <w:tcPr>
            <w:tcW w:w="904" w:type="dxa"/>
            <w:shd w:val="clear" w:color="auto" w:fill="auto"/>
            <w:noWrap/>
            <w:vAlign w:val="center"/>
            <w:hideMark/>
          </w:tcPr>
          <w:p w14:paraId="29604A39" w14:textId="77777777" w:rsidR="00874916" w:rsidRPr="00910292" w:rsidRDefault="00874916" w:rsidP="00EA28C4">
            <w:pPr>
              <w:jc w:val="center"/>
              <w:rPr>
                <w:color w:val="000000"/>
                <w:sz w:val="18"/>
                <w:szCs w:val="18"/>
              </w:rPr>
            </w:pPr>
            <w:r w:rsidRPr="00910292">
              <w:rPr>
                <w:color w:val="000000"/>
                <w:sz w:val="18"/>
                <w:szCs w:val="18"/>
              </w:rPr>
              <w:t>4.09%</w:t>
            </w:r>
          </w:p>
        </w:tc>
      </w:tr>
      <w:tr w:rsidR="00874916" w:rsidRPr="00910292" w14:paraId="396E86EE" w14:textId="77777777" w:rsidTr="00EA28C4">
        <w:trPr>
          <w:trHeight w:val="270"/>
          <w:jc w:val="center"/>
        </w:trPr>
        <w:tc>
          <w:tcPr>
            <w:tcW w:w="2028" w:type="dxa"/>
            <w:shd w:val="clear" w:color="auto" w:fill="auto"/>
            <w:noWrap/>
            <w:vAlign w:val="center"/>
            <w:hideMark/>
          </w:tcPr>
          <w:p w14:paraId="667FCB9A" w14:textId="77777777" w:rsidR="00874916" w:rsidRPr="00910292" w:rsidRDefault="00874916" w:rsidP="00EA28C4">
            <w:pPr>
              <w:jc w:val="center"/>
              <w:rPr>
                <w:color w:val="000000"/>
                <w:sz w:val="18"/>
                <w:szCs w:val="18"/>
              </w:rPr>
            </w:pPr>
            <w:r w:rsidRPr="00910292">
              <w:rPr>
                <w:color w:val="000000"/>
                <w:sz w:val="18"/>
                <w:szCs w:val="18"/>
              </w:rPr>
              <w:t>Mauritania</w:t>
            </w:r>
          </w:p>
        </w:tc>
        <w:tc>
          <w:tcPr>
            <w:tcW w:w="1403" w:type="dxa"/>
            <w:shd w:val="clear" w:color="auto" w:fill="auto"/>
            <w:noWrap/>
            <w:vAlign w:val="center"/>
            <w:hideMark/>
          </w:tcPr>
          <w:p w14:paraId="4FB2B361" w14:textId="77777777" w:rsidR="00874916" w:rsidRPr="00910292" w:rsidRDefault="00874916" w:rsidP="00EA28C4">
            <w:pPr>
              <w:jc w:val="center"/>
              <w:rPr>
                <w:color w:val="000000"/>
                <w:sz w:val="18"/>
                <w:szCs w:val="18"/>
              </w:rPr>
            </w:pPr>
            <w:r w:rsidRPr="00910292">
              <w:rPr>
                <w:color w:val="000000"/>
                <w:sz w:val="18"/>
                <w:szCs w:val="18"/>
              </w:rPr>
              <w:t>14.10</w:t>
            </w:r>
          </w:p>
        </w:tc>
        <w:tc>
          <w:tcPr>
            <w:tcW w:w="904" w:type="dxa"/>
            <w:shd w:val="clear" w:color="auto" w:fill="auto"/>
            <w:noWrap/>
            <w:vAlign w:val="center"/>
            <w:hideMark/>
          </w:tcPr>
          <w:p w14:paraId="15986150" w14:textId="77777777" w:rsidR="00874916" w:rsidRPr="00910292" w:rsidRDefault="00874916" w:rsidP="00EA28C4">
            <w:pPr>
              <w:jc w:val="center"/>
              <w:rPr>
                <w:color w:val="000000"/>
                <w:sz w:val="18"/>
                <w:szCs w:val="18"/>
              </w:rPr>
            </w:pPr>
            <w:r w:rsidRPr="00910292">
              <w:rPr>
                <w:color w:val="000000"/>
                <w:sz w:val="18"/>
                <w:szCs w:val="18"/>
              </w:rPr>
              <w:t>4.33%</w:t>
            </w:r>
          </w:p>
        </w:tc>
        <w:tc>
          <w:tcPr>
            <w:tcW w:w="2028" w:type="dxa"/>
            <w:shd w:val="clear" w:color="auto" w:fill="auto"/>
            <w:noWrap/>
            <w:vAlign w:val="center"/>
            <w:hideMark/>
          </w:tcPr>
          <w:p w14:paraId="11DA0212" w14:textId="77777777" w:rsidR="00874916" w:rsidRPr="00910292" w:rsidRDefault="00874916" w:rsidP="00EA28C4">
            <w:pPr>
              <w:jc w:val="center"/>
              <w:rPr>
                <w:color w:val="000000"/>
                <w:sz w:val="18"/>
                <w:szCs w:val="18"/>
              </w:rPr>
            </w:pPr>
            <w:r w:rsidRPr="00910292">
              <w:rPr>
                <w:color w:val="000000"/>
                <w:sz w:val="18"/>
                <w:szCs w:val="18"/>
              </w:rPr>
              <w:t>Japan</w:t>
            </w:r>
          </w:p>
        </w:tc>
        <w:tc>
          <w:tcPr>
            <w:tcW w:w="1403" w:type="dxa"/>
            <w:shd w:val="clear" w:color="auto" w:fill="auto"/>
            <w:noWrap/>
            <w:vAlign w:val="center"/>
            <w:hideMark/>
          </w:tcPr>
          <w:p w14:paraId="738E355E" w14:textId="77777777" w:rsidR="00874916" w:rsidRPr="00910292" w:rsidRDefault="00874916" w:rsidP="00EA28C4">
            <w:pPr>
              <w:jc w:val="center"/>
              <w:rPr>
                <w:color w:val="000000"/>
                <w:sz w:val="18"/>
                <w:szCs w:val="18"/>
              </w:rPr>
            </w:pPr>
            <w:r w:rsidRPr="00910292">
              <w:rPr>
                <w:color w:val="000000"/>
                <w:sz w:val="18"/>
                <w:szCs w:val="18"/>
              </w:rPr>
              <w:t>13.07</w:t>
            </w:r>
          </w:p>
        </w:tc>
        <w:tc>
          <w:tcPr>
            <w:tcW w:w="904" w:type="dxa"/>
            <w:shd w:val="clear" w:color="auto" w:fill="auto"/>
            <w:noWrap/>
            <w:vAlign w:val="center"/>
            <w:hideMark/>
          </w:tcPr>
          <w:p w14:paraId="31A24645" w14:textId="77777777" w:rsidR="00874916" w:rsidRPr="00910292" w:rsidRDefault="00874916" w:rsidP="00EA28C4">
            <w:pPr>
              <w:jc w:val="center"/>
              <w:rPr>
                <w:color w:val="000000"/>
                <w:sz w:val="18"/>
                <w:szCs w:val="18"/>
              </w:rPr>
            </w:pPr>
            <w:r w:rsidRPr="00910292">
              <w:rPr>
                <w:color w:val="000000"/>
                <w:sz w:val="18"/>
                <w:szCs w:val="18"/>
              </w:rPr>
              <w:t>4.02%</w:t>
            </w:r>
          </w:p>
        </w:tc>
      </w:tr>
      <w:tr w:rsidR="00874916" w:rsidRPr="00910292" w14:paraId="7B74A70A" w14:textId="77777777" w:rsidTr="00EA28C4">
        <w:trPr>
          <w:trHeight w:val="270"/>
          <w:jc w:val="center"/>
        </w:trPr>
        <w:tc>
          <w:tcPr>
            <w:tcW w:w="2028" w:type="dxa"/>
            <w:shd w:val="clear" w:color="auto" w:fill="auto"/>
            <w:noWrap/>
            <w:vAlign w:val="center"/>
            <w:hideMark/>
          </w:tcPr>
          <w:p w14:paraId="603B2556" w14:textId="77777777" w:rsidR="00874916" w:rsidRPr="00910292" w:rsidRDefault="00874916" w:rsidP="00EA28C4">
            <w:pPr>
              <w:jc w:val="center"/>
              <w:rPr>
                <w:color w:val="000000"/>
                <w:sz w:val="18"/>
                <w:szCs w:val="18"/>
              </w:rPr>
            </w:pPr>
            <w:r w:rsidRPr="00910292">
              <w:rPr>
                <w:color w:val="000000"/>
                <w:sz w:val="18"/>
                <w:szCs w:val="18"/>
              </w:rPr>
              <w:t>Russian Federation</w:t>
            </w:r>
          </w:p>
        </w:tc>
        <w:tc>
          <w:tcPr>
            <w:tcW w:w="1403" w:type="dxa"/>
            <w:shd w:val="clear" w:color="auto" w:fill="auto"/>
            <w:noWrap/>
            <w:vAlign w:val="center"/>
            <w:hideMark/>
          </w:tcPr>
          <w:p w14:paraId="58143C04" w14:textId="77777777" w:rsidR="00874916" w:rsidRPr="00910292" w:rsidRDefault="00874916" w:rsidP="00EA28C4">
            <w:pPr>
              <w:jc w:val="center"/>
              <w:rPr>
                <w:color w:val="000000"/>
                <w:sz w:val="18"/>
                <w:szCs w:val="18"/>
              </w:rPr>
            </w:pPr>
            <w:r w:rsidRPr="00910292">
              <w:rPr>
                <w:color w:val="000000"/>
                <w:sz w:val="18"/>
                <w:szCs w:val="18"/>
              </w:rPr>
              <w:t>13.93</w:t>
            </w:r>
          </w:p>
        </w:tc>
        <w:tc>
          <w:tcPr>
            <w:tcW w:w="904" w:type="dxa"/>
            <w:shd w:val="clear" w:color="auto" w:fill="auto"/>
            <w:noWrap/>
            <w:vAlign w:val="center"/>
            <w:hideMark/>
          </w:tcPr>
          <w:p w14:paraId="1B4F5540" w14:textId="77777777" w:rsidR="00874916" w:rsidRPr="00910292" w:rsidRDefault="00874916" w:rsidP="00EA28C4">
            <w:pPr>
              <w:jc w:val="center"/>
              <w:rPr>
                <w:color w:val="000000"/>
                <w:sz w:val="18"/>
                <w:szCs w:val="18"/>
              </w:rPr>
            </w:pPr>
            <w:r w:rsidRPr="00910292">
              <w:rPr>
                <w:color w:val="000000"/>
                <w:sz w:val="18"/>
                <w:szCs w:val="18"/>
              </w:rPr>
              <w:t>4.28%</w:t>
            </w:r>
          </w:p>
        </w:tc>
        <w:tc>
          <w:tcPr>
            <w:tcW w:w="2028" w:type="dxa"/>
            <w:shd w:val="clear" w:color="auto" w:fill="auto"/>
            <w:noWrap/>
            <w:vAlign w:val="center"/>
            <w:hideMark/>
          </w:tcPr>
          <w:p w14:paraId="4D862C06" w14:textId="77777777" w:rsidR="00874916" w:rsidRPr="00910292" w:rsidRDefault="00874916" w:rsidP="00EA28C4">
            <w:pPr>
              <w:jc w:val="center"/>
              <w:rPr>
                <w:color w:val="000000"/>
                <w:sz w:val="18"/>
                <w:szCs w:val="18"/>
              </w:rPr>
            </w:pPr>
            <w:r w:rsidRPr="00910292">
              <w:rPr>
                <w:color w:val="000000"/>
                <w:sz w:val="18"/>
                <w:szCs w:val="18"/>
              </w:rPr>
              <w:t>Mauritania</w:t>
            </w:r>
          </w:p>
        </w:tc>
        <w:tc>
          <w:tcPr>
            <w:tcW w:w="1403" w:type="dxa"/>
            <w:shd w:val="clear" w:color="auto" w:fill="auto"/>
            <w:noWrap/>
            <w:vAlign w:val="center"/>
            <w:hideMark/>
          </w:tcPr>
          <w:p w14:paraId="2F53CFBA" w14:textId="77777777" w:rsidR="00874916" w:rsidRPr="00910292" w:rsidRDefault="00874916" w:rsidP="00EA28C4">
            <w:pPr>
              <w:jc w:val="center"/>
              <w:rPr>
                <w:color w:val="000000"/>
                <w:sz w:val="18"/>
                <w:szCs w:val="18"/>
              </w:rPr>
            </w:pPr>
            <w:r w:rsidRPr="00910292">
              <w:rPr>
                <w:color w:val="000000"/>
                <w:sz w:val="18"/>
                <w:szCs w:val="18"/>
              </w:rPr>
              <w:t>12.87</w:t>
            </w:r>
          </w:p>
        </w:tc>
        <w:tc>
          <w:tcPr>
            <w:tcW w:w="904" w:type="dxa"/>
            <w:shd w:val="clear" w:color="auto" w:fill="auto"/>
            <w:noWrap/>
            <w:vAlign w:val="center"/>
            <w:hideMark/>
          </w:tcPr>
          <w:p w14:paraId="3D54DB7A" w14:textId="77777777" w:rsidR="00874916" w:rsidRPr="00910292" w:rsidRDefault="00874916" w:rsidP="00EA28C4">
            <w:pPr>
              <w:jc w:val="center"/>
              <w:rPr>
                <w:color w:val="000000"/>
                <w:sz w:val="18"/>
                <w:szCs w:val="18"/>
              </w:rPr>
            </w:pPr>
            <w:r w:rsidRPr="00910292">
              <w:rPr>
                <w:color w:val="000000"/>
                <w:sz w:val="18"/>
                <w:szCs w:val="18"/>
              </w:rPr>
              <w:t>3.95%</w:t>
            </w:r>
          </w:p>
        </w:tc>
      </w:tr>
      <w:tr w:rsidR="00874916" w:rsidRPr="00910292" w14:paraId="55D06F0F" w14:textId="77777777" w:rsidTr="00EA28C4">
        <w:trPr>
          <w:trHeight w:val="270"/>
          <w:jc w:val="center"/>
        </w:trPr>
        <w:tc>
          <w:tcPr>
            <w:tcW w:w="2028" w:type="dxa"/>
            <w:shd w:val="clear" w:color="auto" w:fill="auto"/>
            <w:noWrap/>
            <w:vAlign w:val="center"/>
            <w:hideMark/>
          </w:tcPr>
          <w:p w14:paraId="45393506" w14:textId="77777777" w:rsidR="00874916" w:rsidRPr="00910292" w:rsidRDefault="00874916" w:rsidP="00EA28C4">
            <w:pPr>
              <w:jc w:val="center"/>
              <w:rPr>
                <w:color w:val="000000"/>
                <w:sz w:val="18"/>
                <w:szCs w:val="18"/>
              </w:rPr>
            </w:pPr>
            <w:r w:rsidRPr="00910292">
              <w:rPr>
                <w:color w:val="000000"/>
                <w:sz w:val="18"/>
                <w:szCs w:val="18"/>
              </w:rPr>
              <w:t>Senegal</w:t>
            </w:r>
          </w:p>
        </w:tc>
        <w:tc>
          <w:tcPr>
            <w:tcW w:w="1403" w:type="dxa"/>
            <w:shd w:val="clear" w:color="auto" w:fill="auto"/>
            <w:noWrap/>
            <w:vAlign w:val="center"/>
            <w:hideMark/>
          </w:tcPr>
          <w:p w14:paraId="3EB413E7" w14:textId="77777777" w:rsidR="00874916" w:rsidRPr="00910292" w:rsidRDefault="00874916" w:rsidP="00EA28C4">
            <w:pPr>
              <w:jc w:val="center"/>
              <w:rPr>
                <w:color w:val="000000"/>
                <w:sz w:val="18"/>
                <w:szCs w:val="18"/>
              </w:rPr>
            </w:pPr>
            <w:r w:rsidRPr="00910292">
              <w:rPr>
                <w:color w:val="000000"/>
                <w:sz w:val="18"/>
                <w:szCs w:val="18"/>
              </w:rPr>
              <w:t>13.33</w:t>
            </w:r>
          </w:p>
        </w:tc>
        <w:tc>
          <w:tcPr>
            <w:tcW w:w="904" w:type="dxa"/>
            <w:shd w:val="clear" w:color="auto" w:fill="auto"/>
            <w:noWrap/>
            <w:vAlign w:val="center"/>
            <w:hideMark/>
          </w:tcPr>
          <w:p w14:paraId="1D6C4DE7" w14:textId="77777777" w:rsidR="00874916" w:rsidRPr="00910292" w:rsidRDefault="00874916" w:rsidP="00EA28C4">
            <w:pPr>
              <w:jc w:val="center"/>
              <w:rPr>
                <w:color w:val="000000"/>
                <w:sz w:val="18"/>
                <w:szCs w:val="18"/>
              </w:rPr>
            </w:pPr>
            <w:r w:rsidRPr="00910292">
              <w:rPr>
                <w:color w:val="000000"/>
                <w:sz w:val="18"/>
                <w:szCs w:val="18"/>
              </w:rPr>
              <w:t>4.09%</w:t>
            </w:r>
          </w:p>
        </w:tc>
        <w:tc>
          <w:tcPr>
            <w:tcW w:w="2028" w:type="dxa"/>
            <w:shd w:val="clear" w:color="auto" w:fill="auto"/>
            <w:noWrap/>
            <w:vAlign w:val="center"/>
            <w:hideMark/>
          </w:tcPr>
          <w:p w14:paraId="5EF5473F" w14:textId="77777777" w:rsidR="00874916" w:rsidRPr="00910292" w:rsidRDefault="00874916" w:rsidP="00EA28C4">
            <w:pPr>
              <w:jc w:val="center"/>
              <w:rPr>
                <w:color w:val="000000"/>
                <w:sz w:val="18"/>
                <w:szCs w:val="18"/>
              </w:rPr>
            </w:pPr>
            <w:r w:rsidRPr="00910292">
              <w:rPr>
                <w:color w:val="000000"/>
                <w:sz w:val="18"/>
                <w:szCs w:val="18"/>
              </w:rPr>
              <w:t>Russian Federation</w:t>
            </w:r>
          </w:p>
        </w:tc>
        <w:tc>
          <w:tcPr>
            <w:tcW w:w="1403" w:type="dxa"/>
            <w:shd w:val="clear" w:color="auto" w:fill="auto"/>
            <w:noWrap/>
            <w:vAlign w:val="center"/>
            <w:hideMark/>
          </w:tcPr>
          <w:p w14:paraId="02BB1BCD" w14:textId="77777777" w:rsidR="00874916" w:rsidRPr="00910292" w:rsidRDefault="00874916" w:rsidP="00EA28C4">
            <w:pPr>
              <w:jc w:val="center"/>
              <w:rPr>
                <w:color w:val="000000"/>
                <w:sz w:val="18"/>
                <w:szCs w:val="18"/>
              </w:rPr>
            </w:pPr>
            <w:r w:rsidRPr="00910292">
              <w:rPr>
                <w:color w:val="000000"/>
                <w:sz w:val="18"/>
                <w:szCs w:val="18"/>
              </w:rPr>
              <w:t>12.77</w:t>
            </w:r>
          </w:p>
        </w:tc>
        <w:tc>
          <w:tcPr>
            <w:tcW w:w="904" w:type="dxa"/>
            <w:shd w:val="clear" w:color="auto" w:fill="auto"/>
            <w:noWrap/>
            <w:vAlign w:val="center"/>
            <w:hideMark/>
          </w:tcPr>
          <w:p w14:paraId="5F2627C4" w14:textId="77777777" w:rsidR="00874916" w:rsidRPr="00910292" w:rsidRDefault="00874916" w:rsidP="00EA28C4">
            <w:pPr>
              <w:jc w:val="center"/>
              <w:rPr>
                <w:color w:val="000000"/>
                <w:sz w:val="18"/>
                <w:szCs w:val="18"/>
              </w:rPr>
            </w:pPr>
            <w:r w:rsidRPr="00910292">
              <w:rPr>
                <w:color w:val="000000"/>
                <w:sz w:val="18"/>
                <w:szCs w:val="18"/>
              </w:rPr>
              <w:t>3.93%</w:t>
            </w:r>
          </w:p>
        </w:tc>
      </w:tr>
      <w:tr w:rsidR="00874916" w:rsidRPr="00910292" w14:paraId="1D90EC51" w14:textId="77777777" w:rsidTr="00EA28C4">
        <w:trPr>
          <w:trHeight w:val="270"/>
          <w:jc w:val="center"/>
        </w:trPr>
        <w:tc>
          <w:tcPr>
            <w:tcW w:w="2028" w:type="dxa"/>
            <w:tcBorders>
              <w:bottom w:val="single" w:sz="4" w:space="0" w:color="auto"/>
            </w:tcBorders>
            <w:shd w:val="clear" w:color="auto" w:fill="auto"/>
            <w:noWrap/>
            <w:vAlign w:val="center"/>
            <w:hideMark/>
          </w:tcPr>
          <w:p w14:paraId="38416FA9" w14:textId="77777777" w:rsidR="00874916" w:rsidRPr="00910292" w:rsidRDefault="00874916" w:rsidP="00EA28C4">
            <w:pPr>
              <w:jc w:val="center"/>
              <w:rPr>
                <w:color w:val="000000"/>
                <w:sz w:val="18"/>
                <w:szCs w:val="18"/>
              </w:rPr>
            </w:pPr>
            <w:r w:rsidRPr="00910292">
              <w:rPr>
                <w:color w:val="000000"/>
                <w:sz w:val="18"/>
                <w:szCs w:val="18"/>
              </w:rPr>
              <w:t>Germany</w:t>
            </w:r>
          </w:p>
        </w:tc>
        <w:tc>
          <w:tcPr>
            <w:tcW w:w="1403" w:type="dxa"/>
            <w:tcBorders>
              <w:bottom w:val="single" w:sz="4" w:space="0" w:color="auto"/>
            </w:tcBorders>
            <w:shd w:val="clear" w:color="auto" w:fill="auto"/>
            <w:noWrap/>
            <w:vAlign w:val="center"/>
            <w:hideMark/>
          </w:tcPr>
          <w:p w14:paraId="41657EBC" w14:textId="77777777" w:rsidR="00874916" w:rsidRPr="00910292" w:rsidRDefault="00874916" w:rsidP="00EA28C4">
            <w:pPr>
              <w:jc w:val="center"/>
              <w:rPr>
                <w:color w:val="000000"/>
                <w:sz w:val="18"/>
                <w:szCs w:val="18"/>
              </w:rPr>
            </w:pPr>
            <w:r w:rsidRPr="00910292">
              <w:rPr>
                <w:color w:val="000000"/>
                <w:sz w:val="18"/>
                <w:szCs w:val="18"/>
              </w:rPr>
              <w:t>12.54</w:t>
            </w:r>
          </w:p>
        </w:tc>
        <w:tc>
          <w:tcPr>
            <w:tcW w:w="904" w:type="dxa"/>
            <w:tcBorders>
              <w:bottom w:val="single" w:sz="4" w:space="0" w:color="auto"/>
            </w:tcBorders>
            <w:shd w:val="clear" w:color="auto" w:fill="auto"/>
            <w:noWrap/>
            <w:vAlign w:val="center"/>
            <w:hideMark/>
          </w:tcPr>
          <w:p w14:paraId="6DBBD20E" w14:textId="77777777" w:rsidR="00874916" w:rsidRPr="00910292" w:rsidRDefault="00874916" w:rsidP="00EA28C4">
            <w:pPr>
              <w:jc w:val="center"/>
              <w:rPr>
                <w:color w:val="000000"/>
                <w:sz w:val="18"/>
                <w:szCs w:val="18"/>
              </w:rPr>
            </w:pPr>
            <w:r w:rsidRPr="00910292">
              <w:rPr>
                <w:color w:val="000000"/>
                <w:sz w:val="18"/>
                <w:szCs w:val="18"/>
              </w:rPr>
              <w:t>3.85%</w:t>
            </w:r>
          </w:p>
        </w:tc>
        <w:tc>
          <w:tcPr>
            <w:tcW w:w="2028" w:type="dxa"/>
            <w:tcBorders>
              <w:bottom w:val="single" w:sz="4" w:space="0" w:color="auto"/>
            </w:tcBorders>
            <w:shd w:val="clear" w:color="auto" w:fill="auto"/>
            <w:noWrap/>
            <w:vAlign w:val="center"/>
            <w:hideMark/>
          </w:tcPr>
          <w:p w14:paraId="5976422B" w14:textId="77777777" w:rsidR="00874916" w:rsidRPr="00910292" w:rsidRDefault="00874916" w:rsidP="00EA28C4">
            <w:pPr>
              <w:jc w:val="center"/>
              <w:rPr>
                <w:color w:val="000000"/>
                <w:sz w:val="18"/>
                <w:szCs w:val="18"/>
              </w:rPr>
            </w:pPr>
            <w:r w:rsidRPr="00910292">
              <w:rPr>
                <w:color w:val="000000"/>
                <w:sz w:val="18"/>
                <w:szCs w:val="18"/>
              </w:rPr>
              <w:t>Germany</w:t>
            </w:r>
          </w:p>
        </w:tc>
        <w:tc>
          <w:tcPr>
            <w:tcW w:w="1403" w:type="dxa"/>
            <w:tcBorders>
              <w:bottom w:val="single" w:sz="4" w:space="0" w:color="auto"/>
            </w:tcBorders>
            <w:shd w:val="clear" w:color="auto" w:fill="auto"/>
            <w:noWrap/>
            <w:vAlign w:val="center"/>
            <w:hideMark/>
          </w:tcPr>
          <w:p w14:paraId="28D558CB" w14:textId="77777777" w:rsidR="00874916" w:rsidRPr="00910292" w:rsidRDefault="00874916" w:rsidP="00EA28C4">
            <w:pPr>
              <w:jc w:val="center"/>
              <w:rPr>
                <w:color w:val="000000"/>
                <w:sz w:val="18"/>
                <w:szCs w:val="18"/>
              </w:rPr>
            </w:pPr>
            <w:r w:rsidRPr="00910292">
              <w:rPr>
                <w:color w:val="000000"/>
                <w:sz w:val="18"/>
                <w:szCs w:val="18"/>
              </w:rPr>
              <w:t>12.48</w:t>
            </w:r>
          </w:p>
        </w:tc>
        <w:tc>
          <w:tcPr>
            <w:tcW w:w="904" w:type="dxa"/>
            <w:tcBorders>
              <w:bottom w:val="single" w:sz="4" w:space="0" w:color="auto"/>
            </w:tcBorders>
            <w:shd w:val="clear" w:color="auto" w:fill="auto"/>
            <w:noWrap/>
            <w:vAlign w:val="center"/>
            <w:hideMark/>
          </w:tcPr>
          <w:p w14:paraId="1BBC302D" w14:textId="77777777" w:rsidR="00874916" w:rsidRPr="00910292" w:rsidRDefault="00874916" w:rsidP="00EA28C4">
            <w:pPr>
              <w:jc w:val="center"/>
              <w:rPr>
                <w:color w:val="000000"/>
                <w:sz w:val="18"/>
                <w:szCs w:val="18"/>
              </w:rPr>
            </w:pPr>
            <w:r w:rsidRPr="00910292">
              <w:rPr>
                <w:color w:val="000000"/>
                <w:sz w:val="18"/>
                <w:szCs w:val="18"/>
              </w:rPr>
              <w:t>3.84%</w:t>
            </w:r>
          </w:p>
        </w:tc>
      </w:tr>
      <w:tr w:rsidR="00874916" w:rsidRPr="00910292" w14:paraId="2BDBCBD7" w14:textId="77777777" w:rsidTr="00EA28C4">
        <w:trPr>
          <w:trHeight w:val="270"/>
          <w:jc w:val="center"/>
        </w:trPr>
        <w:tc>
          <w:tcPr>
            <w:tcW w:w="2028" w:type="dxa"/>
            <w:tcBorders>
              <w:top w:val="single" w:sz="4" w:space="0" w:color="auto"/>
              <w:bottom w:val="nil"/>
            </w:tcBorders>
            <w:shd w:val="clear" w:color="auto" w:fill="auto"/>
            <w:noWrap/>
            <w:vAlign w:val="center"/>
            <w:hideMark/>
          </w:tcPr>
          <w:p w14:paraId="5BC69B38" w14:textId="77777777" w:rsidR="00874916" w:rsidRPr="00910292" w:rsidRDefault="00874916" w:rsidP="00EA28C4">
            <w:pPr>
              <w:jc w:val="center"/>
              <w:rPr>
                <w:color w:val="000000"/>
                <w:sz w:val="18"/>
                <w:szCs w:val="18"/>
              </w:rPr>
            </w:pPr>
            <w:r w:rsidRPr="002C524B">
              <w:rPr>
                <w:color w:val="000000"/>
                <w:sz w:val="18"/>
                <w:szCs w:val="18"/>
              </w:rPr>
              <w:t>World</w:t>
            </w:r>
          </w:p>
        </w:tc>
        <w:tc>
          <w:tcPr>
            <w:tcW w:w="1403" w:type="dxa"/>
            <w:tcBorders>
              <w:top w:val="single" w:sz="4" w:space="0" w:color="auto"/>
              <w:bottom w:val="nil"/>
            </w:tcBorders>
            <w:shd w:val="clear" w:color="auto" w:fill="auto"/>
            <w:noWrap/>
            <w:vAlign w:val="center"/>
            <w:hideMark/>
          </w:tcPr>
          <w:p w14:paraId="6D3D8B3B" w14:textId="77777777" w:rsidR="00874916" w:rsidRPr="00910292" w:rsidRDefault="00874916" w:rsidP="00EA28C4">
            <w:pPr>
              <w:jc w:val="center"/>
              <w:rPr>
                <w:color w:val="000000"/>
                <w:sz w:val="18"/>
                <w:szCs w:val="18"/>
              </w:rPr>
            </w:pPr>
            <w:r w:rsidRPr="002C524B">
              <w:rPr>
                <w:color w:val="000000"/>
                <w:sz w:val="18"/>
                <w:szCs w:val="18"/>
              </w:rPr>
              <w:t>301.60</w:t>
            </w:r>
          </w:p>
        </w:tc>
        <w:tc>
          <w:tcPr>
            <w:tcW w:w="904" w:type="dxa"/>
            <w:tcBorders>
              <w:top w:val="single" w:sz="4" w:space="0" w:color="auto"/>
              <w:bottom w:val="nil"/>
            </w:tcBorders>
            <w:shd w:val="clear" w:color="auto" w:fill="auto"/>
            <w:noWrap/>
            <w:vAlign w:val="center"/>
            <w:hideMark/>
          </w:tcPr>
          <w:p w14:paraId="6D13591B" w14:textId="77777777" w:rsidR="00874916" w:rsidRPr="00910292" w:rsidRDefault="00874916" w:rsidP="00EA28C4">
            <w:pPr>
              <w:jc w:val="center"/>
              <w:rPr>
                <w:color w:val="000000"/>
                <w:sz w:val="18"/>
                <w:szCs w:val="18"/>
              </w:rPr>
            </w:pPr>
            <w:r w:rsidRPr="002C524B">
              <w:rPr>
                <w:color w:val="000000"/>
                <w:sz w:val="18"/>
                <w:szCs w:val="18"/>
              </w:rPr>
              <w:t>—</w:t>
            </w:r>
          </w:p>
        </w:tc>
        <w:tc>
          <w:tcPr>
            <w:tcW w:w="2028" w:type="dxa"/>
            <w:tcBorders>
              <w:top w:val="single" w:sz="4" w:space="0" w:color="auto"/>
              <w:bottom w:val="nil"/>
            </w:tcBorders>
            <w:shd w:val="clear" w:color="auto" w:fill="auto"/>
            <w:noWrap/>
            <w:vAlign w:val="center"/>
            <w:hideMark/>
          </w:tcPr>
          <w:p w14:paraId="1A4E589F" w14:textId="77777777" w:rsidR="00874916" w:rsidRPr="00910292" w:rsidRDefault="00874916" w:rsidP="00EA28C4">
            <w:pPr>
              <w:jc w:val="center"/>
              <w:rPr>
                <w:color w:val="000000"/>
                <w:sz w:val="18"/>
                <w:szCs w:val="18"/>
              </w:rPr>
            </w:pPr>
            <w:r w:rsidRPr="002C524B">
              <w:rPr>
                <w:color w:val="000000"/>
                <w:sz w:val="18"/>
                <w:szCs w:val="18"/>
              </w:rPr>
              <w:t>World</w:t>
            </w:r>
          </w:p>
        </w:tc>
        <w:tc>
          <w:tcPr>
            <w:tcW w:w="1403" w:type="dxa"/>
            <w:tcBorders>
              <w:top w:val="single" w:sz="4" w:space="0" w:color="auto"/>
              <w:bottom w:val="nil"/>
            </w:tcBorders>
            <w:shd w:val="clear" w:color="auto" w:fill="auto"/>
            <w:noWrap/>
            <w:vAlign w:val="center"/>
            <w:hideMark/>
          </w:tcPr>
          <w:p w14:paraId="4AAA9052" w14:textId="77777777" w:rsidR="00874916" w:rsidRPr="00910292" w:rsidRDefault="00874916" w:rsidP="00EA28C4">
            <w:pPr>
              <w:jc w:val="center"/>
              <w:rPr>
                <w:color w:val="000000"/>
                <w:sz w:val="18"/>
                <w:szCs w:val="18"/>
              </w:rPr>
            </w:pPr>
            <w:r w:rsidRPr="002C524B">
              <w:rPr>
                <w:color w:val="000000"/>
                <w:sz w:val="18"/>
                <w:szCs w:val="18"/>
              </w:rPr>
              <w:t>325.34</w:t>
            </w:r>
          </w:p>
        </w:tc>
        <w:tc>
          <w:tcPr>
            <w:tcW w:w="904" w:type="dxa"/>
            <w:tcBorders>
              <w:top w:val="single" w:sz="4" w:space="0" w:color="auto"/>
              <w:bottom w:val="nil"/>
            </w:tcBorders>
            <w:shd w:val="clear" w:color="auto" w:fill="auto"/>
            <w:noWrap/>
            <w:vAlign w:val="center"/>
            <w:hideMark/>
          </w:tcPr>
          <w:p w14:paraId="0C6F7B59" w14:textId="77777777" w:rsidR="00874916" w:rsidRPr="00910292" w:rsidRDefault="00874916" w:rsidP="00EA28C4">
            <w:pPr>
              <w:jc w:val="center"/>
              <w:rPr>
                <w:color w:val="000000"/>
                <w:sz w:val="18"/>
                <w:szCs w:val="18"/>
              </w:rPr>
            </w:pPr>
            <w:r w:rsidRPr="002C524B">
              <w:rPr>
                <w:color w:val="000000"/>
                <w:sz w:val="18"/>
                <w:szCs w:val="18"/>
              </w:rPr>
              <w:t>—</w:t>
            </w:r>
          </w:p>
        </w:tc>
      </w:tr>
      <w:tr w:rsidR="00874916" w:rsidRPr="00910292" w14:paraId="490BC9DB" w14:textId="77777777" w:rsidTr="00EA28C4">
        <w:trPr>
          <w:trHeight w:val="270"/>
          <w:jc w:val="center"/>
        </w:trPr>
        <w:tc>
          <w:tcPr>
            <w:tcW w:w="2028" w:type="dxa"/>
            <w:tcBorders>
              <w:top w:val="nil"/>
            </w:tcBorders>
            <w:shd w:val="clear" w:color="auto" w:fill="auto"/>
            <w:noWrap/>
            <w:vAlign w:val="center"/>
            <w:hideMark/>
          </w:tcPr>
          <w:p w14:paraId="2A27CE06" w14:textId="77777777" w:rsidR="00874916" w:rsidRPr="00910292" w:rsidRDefault="00874916" w:rsidP="00EA28C4">
            <w:pPr>
              <w:jc w:val="center"/>
              <w:rPr>
                <w:color w:val="000000"/>
                <w:sz w:val="18"/>
                <w:szCs w:val="18"/>
              </w:rPr>
            </w:pPr>
            <w:r w:rsidRPr="002C524B">
              <w:rPr>
                <w:color w:val="000000"/>
                <w:sz w:val="18"/>
                <w:szCs w:val="18"/>
              </w:rPr>
              <w:t>Total</w:t>
            </w:r>
          </w:p>
        </w:tc>
        <w:tc>
          <w:tcPr>
            <w:tcW w:w="1403" w:type="dxa"/>
            <w:tcBorders>
              <w:top w:val="nil"/>
            </w:tcBorders>
            <w:shd w:val="clear" w:color="auto" w:fill="auto"/>
            <w:noWrap/>
            <w:vAlign w:val="center"/>
            <w:hideMark/>
          </w:tcPr>
          <w:p w14:paraId="54178AA1" w14:textId="77777777" w:rsidR="00874916" w:rsidRPr="00910292" w:rsidRDefault="00874916" w:rsidP="00EA28C4">
            <w:pPr>
              <w:jc w:val="center"/>
              <w:rPr>
                <w:color w:val="000000"/>
                <w:sz w:val="18"/>
                <w:szCs w:val="18"/>
              </w:rPr>
            </w:pPr>
            <w:r w:rsidRPr="002C524B">
              <w:rPr>
                <w:color w:val="000000"/>
                <w:sz w:val="18"/>
                <w:szCs w:val="18"/>
              </w:rPr>
              <w:t>—</w:t>
            </w:r>
          </w:p>
        </w:tc>
        <w:tc>
          <w:tcPr>
            <w:tcW w:w="904" w:type="dxa"/>
            <w:tcBorders>
              <w:top w:val="nil"/>
            </w:tcBorders>
            <w:shd w:val="clear" w:color="auto" w:fill="auto"/>
            <w:noWrap/>
            <w:vAlign w:val="center"/>
            <w:hideMark/>
          </w:tcPr>
          <w:p w14:paraId="262E2326" w14:textId="77777777" w:rsidR="00874916" w:rsidRPr="00910292" w:rsidRDefault="00874916" w:rsidP="00EA28C4">
            <w:pPr>
              <w:jc w:val="center"/>
              <w:rPr>
                <w:color w:val="000000"/>
                <w:sz w:val="18"/>
                <w:szCs w:val="18"/>
              </w:rPr>
            </w:pPr>
            <w:r w:rsidRPr="002C524B">
              <w:rPr>
                <w:color w:val="000000"/>
                <w:sz w:val="18"/>
                <w:szCs w:val="18"/>
              </w:rPr>
              <w:t>60.09%</w:t>
            </w:r>
          </w:p>
        </w:tc>
        <w:tc>
          <w:tcPr>
            <w:tcW w:w="2028" w:type="dxa"/>
            <w:tcBorders>
              <w:top w:val="nil"/>
            </w:tcBorders>
            <w:shd w:val="clear" w:color="auto" w:fill="auto"/>
            <w:noWrap/>
            <w:vAlign w:val="center"/>
            <w:hideMark/>
          </w:tcPr>
          <w:p w14:paraId="5307286B" w14:textId="77777777" w:rsidR="00874916" w:rsidRPr="00910292" w:rsidRDefault="00874916" w:rsidP="00EA28C4">
            <w:pPr>
              <w:jc w:val="center"/>
              <w:rPr>
                <w:color w:val="000000"/>
                <w:sz w:val="18"/>
                <w:szCs w:val="18"/>
              </w:rPr>
            </w:pPr>
            <w:r w:rsidRPr="002C524B">
              <w:rPr>
                <w:color w:val="000000"/>
                <w:sz w:val="18"/>
                <w:szCs w:val="18"/>
              </w:rPr>
              <w:t>Total</w:t>
            </w:r>
          </w:p>
        </w:tc>
        <w:tc>
          <w:tcPr>
            <w:tcW w:w="1403" w:type="dxa"/>
            <w:tcBorders>
              <w:top w:val="nil"/>
            </w:tcBorders>
            <w:shd w:val="clear" w:color="auto" w:fill="auto"/>
            <w:noWrap/>
            <w:vAlign w:val="center"/>
            <w:hideMark/>
          </w:tcPr>
          <w:p w14:paraId="54A672E0" w14:textId="77777777" w:rsidR="00874916" w:rsidRPr="00910292" w:rsidRDefault="00874916" w:rsidP="00EA28C4">
            <w:pPr>
              <w:jc w:val="center"/>
              <w:rPr>
                <w:color w:val="000000"/>
                <w:sz w:val="18"/>
                <w:szCs w:val="18"/>
              </w:rPr>
            </w:pPr>
            <w:r w:rsidRPr="002C524B">
              <w:rPr>
                <w:color w:val="000000"/>
                <w:sz w:val="18"/>
                <w:szCs w:val="18"/>
              </w:rPr>
              <w:t>—</w:t>
            </w:r>
          </w:p>
        </w:tc>
        <w:tc>
          <w:tcPr>
            <w:tcW w:w="904" w:type="dxa"/>
            <w:tcBorders>
              <w:top w:val="nil"/>
            </w:tcBorders>
            <w:shd w:val="clear" w:color="auto" w:fill="auto"/>
            <w:noWrap/>
            <w:vAlign w:val="center"/>
            <w:hideMark/>
          </w:tcPr>
          <w:p w14:paraId="1091EBB2" w14:textId="77777777" w:rsidR="00874916" w:rsidRPr="00910292" w:rsidRDefault="00874916" w:rsidP="00EA28C4">
            <w:pPr>
              <w:jc w:val="center"/>
              <w:rPr>
                <w:color w:val="000000"/>
                <w:sz w:val="18"/>
                <w:szCs w:val="18"/>
              </w:rPr>
            </w:pPr>
            <w:r w:rsidRPr="002C524B">
              <w:rPr>
                <w:color w:val="000000"/>
                <w:sz w:val="18"/>
                <w:szCs w:val="18"/>
              </w:rPr>
              <w:t>62.60%</w:t>
            </w:r>
          </w:p>
        </w:tc>
      </w:tr>
    </w:tbl>
    <w:p w14:paraId="22C8B774" w14:textId="77777777" w:rsidR="001F0BEC" w:rsidRDefault="001F0BEC" w:rsidP="00874916">
      <w:pPr>
        <w:pStyle w:val="3"/>
        <w:rPr>
          <w:rFonts w:ascii="Times New Roman" w:hAnsi="Times New Roman" w:cs="Times New Roman"/>
        </w:rPr>
      </w:pPr>
    </w:p>
    <w:p w14:paraId="77CE01EF" w14:textId="77777777" w:rsidR="001F0BEC" w:rsidRDefault="001F0BEC">
      <w:pPr>
        <w:rPr>
          <w:rFonts w:eastAsia="SimSun"/>
          <w:b/>
          <w:color w:val="2F2F2F"/>
          <w:kern w:val="2"/>
          <w:szCs w:val="21"/>
          <w:lang w:eastAsia="zh-CN"/>
        </w:rPr>
      </w:pPr>
      <w:r>
        <w:br w:type="page"/>
      </w:r>
    </w:p>
    <w:p w14:paraId="644BA741" w14:textId="7CB9E967" w:rsidR="00874916" w:rsidRPr="00FC5EFF" w:rsidRDefault="001F0BEC" w:rsidP="001F0BEC">
      <w:pPr>
        <w:pStyle w:val="2"/>
        <w:numPr>
          <w:ilvl w:val="0"/>
          <w:numId w:val="0"/>
        </w:numPr>
        <w:spacing w:before="100" w:beforeAutospacing="1" w:afterLines="0" w:after="0" w:line="240" w:lineRule="auto"/>
        <w:ind w:left="420" w:hanging="420"/>
        <w:rPr>
          <w:rFonts w:cs="Times New Roman"/>
        </w:rPr>
      </w:pPr>
      <w:r>
        <w:rPr>
          <w:rFonts w:cs="Times New Roman"/>
        </w:rPr>
        <w:lastRenderedPageBreak/>
        <w:t>2.</w:t>
      </w:r>
      <w:r w:rsidR="00874916" w:rsidRPr="00FC5EFF">
        <w:rPr>
          <w:rFonts w:cs="Times New Roman" w:hint="eastAsia"/>
        </w:rPr>
        <w:t xml:space="preserve">3 </w:t>
      </w:r>
      <w:r w:rsidR="00874916" w:rsidRPr="00FC5EFF">
        <w:rPr>
          <w:rFonts w:cs="Times New Roman"/>
        </w:rPr>
        <w:t>India tea export</w:t>
      </w:r>
    </w:p>
    <w:p w14:paraId="455C5A81" w14:textId="77CA7351" w:rsidR="00874916" w:rsidRPr="002C524B" w:rsidRDefault="001F0BEC" w:rsidP="003B4565">
      <w:pPr>
        <w:spacing w:after="100" w:afterAutospacing="1"/>
      </w:pPr>
      <w:r>
        <w:br/>
      </w:r>
      <w:r w:rsidR="00874916">
        <w:t>T</w:t>
      </w:r>
      <w:r w:rsidR="00874916">
        <w:rPr>
          <w:rFonts w:hint="eastAsia"/>
        </w:rPr>
        <w:t xml:space="preserve">he top five importing countries of </w:t>
      </w:r>
      <w:r w:rsidR="00874916">
        <w:t>India</w:t>
      </w:r>
      <w:r w:rsidR="00874916">
        <w:rPr>
          <w:rFonts w:hint="eastAsia"/>
        </w:rPr>
        <w:t xml:space="preserve"> tea exports are </w:t>
      </w:r>
      <w:r w:rsidR="00874916" w:rsidRPr="002C524B">
        <w:t xml:space="preserve">Russia, </w:t>
      </w:r>
      <w:r w:rsidR="00874916">
        <w:t xml:space="preserve">Iran, </w:t>
      </w:r>
      <w:r w:rsidR="00874916">
        <w:rPr>
          <w:rFonts w:hint="eastAsia"/>
        </w:rPr>
        <w:t>UK</w:t>
      </w:r>
      <w:r w:rsidR="00874916" w:rsidRPr="002C524B">
        <w:t>, Pakistan and the</w:t>
      </w:r>
      <w:r>
        <w:t xml:space="preserve"> US</w:t>
      </w:r>
      <w:r w:rsidR="00874916">
        <w:rPr>
          <w:rFonts w:hint="eastAsia"/>
        </w:rPr>
        <w:t xml:space="preserve">. </w:t>
      </w:r>
      <w:r w:rsidR="00874916">
        <w:t>I</w:t>
      </w:r>
      <w:r w:rsidR="00874916">
        <w:rPr>
          <w:rFonts w:hint="eastAsia"/>
        </w:rPr>
        <w:t xml:space="preserve">n </w:t>
      </w:r>
      <w:r w:rsidR="00874916" w:rsidRPr="002C524B">
        <w:t>2015, the five countries accounted for India's tea exports were 20.21</w:t>
      </w:r>
      <w:r>
        <w:t xml:space="preserve"> percent, </w:t>
      </w:r>
      <w:r w:rsidR="00874916" w:rsidRPr="002C524B">
        <w:t>10.81</w:t>
      </w:r>
      <w:r>
        <w:t xml:space="preserve"> percent</w:t>
      </w:r>
      <w:r w:rsidR="00874916" w:rsidRPr="002C524B">
        <w:t>, 8.64</w:t>
      </w:r>
      <w:r>
        <w:t xml:space="preserve"> percent</w:t>
      </w:r>
      <w:r w:rsidR="00874916" w:rsidRPr="002C524B">
        <w:t>, 8.35</w:t>
      </w:r>
      <w:r>
        <w:t xml:space="preserve"> percent</w:t>
      </w:r>
      <w:r w:rsidR="00874916" w:rsidRPr="002C524B">
        <w:t xml:space="preserve"> and 6.51</w:t>
      </w:r>
      <w:r>
        <w:t xml:space="preserve"> percent</w:t>
      </w:r>
      <w:r w:rsidR="00874916" w:rsidRPr="002C524B">
        <w:t>.</w:t>
      </w:r>
    </w:p>
    <w:tbl>
      <w:tblPr>
        <w:tblW w:w="5000" w:type="pct"/>
        <w:jc w:val="center"/>
        <w:tblLayout w:type="fixed"/>
        <w:tblLook w:val="04A0" w:firstRow="1" w:lastRow="0" w:firstColumn="1" w:lastColumn="0" w:noHBand="0" w:noVBand="1"/>
      </w:tblPr>
      <w:tblGrid>
        <w:gridCol w:w="1214"/>
        <w:gridCol w:w="969"/>
        <w:gridCol w:w="698"/>
        <w:gridCol w:w="1237"/>
        <w:gridCol w:w="966"/>
        <w:gridCol w:w="676"/>
        <w:gridCol w:w="1261"/>
        <w:gridCol w:w="968"/>
        <w:gridCol w:w="651"/>
      </w:tblGrid>
      <w:tr w:rsidR="00874916" w:rsidRPr="00B54118" w14:paraId="1CB7BB33" w14:textId="77777777" w:rsidTr="00EA28C4">
        <w:trPr>
          <w:trHeight w:val="270"/>
          <w:jc w:val="center"/>
        </w:trPr>
        <w:tc>
          <w:tcPr>
            <w:tcW w:w="702" w:type="pct"/>
            <w:tcBorders>
              <w:top w:val="single" w:sz="12" w:space="0" w:color="auto"/>
              <w:left w:val="nil"/>
              <w:bottom w:val="single" w:sz="4" w:space="0" w:color="auto"/>
              <w:right w:val="nil"/>
            </w:tcBorders>
            <w:shd w:val="clear" w:color="auto" w:fill="auto"/>
            <w:noWrap/>
            <w:vAlign w:val="center"/>
            <w:hideMark/>
          </w:tcPr>
          <w:p w14:paraId="0308E44E" w14:textId="77777777" w:rsidR="00874916" w:rsidRPr="00B54118" w:rsidRDefault="00874916" w:rsidP="00EA28C4">
            <w:pPr>
              <w:jc w:val="center"/>
              <w:rPr>
                <w:color w:val="000000"/>
                <w:sz w:val="18"/>
                <w:szCs w:val="18"/>
              </w:rPr>
            </w:pPr>
          </w:p>
        </w:tc>
        <w:tc>
          <w:tcPr>
            <w:tcW w:w="561" w:type="pct"/>
            <w:tcBorders>
              <w:top w:val="single" w:sz="12" w:space="0" w:color="auto"/>
              <w:left w:val="nil"/>
              <w:bottom w:val="single" w:sz="4" w:space="0" w:color="auto"/>
              <w:right w:val="nil"/>
            </w:tcBorders>
            <w:shd w:val="clear" w:color="auto" w:fill="auto"/>
            <w:noWrap/>
            <w:vAlign w:val="center"/>
            <w:hideMark/>
          </w:tcPr>
          <w:p w14:paraId="072B24DC" w14:textId="77777777" w:rsidR="00874916" w:rsidRPr="00B54118" w:rsidRDefault="00874916" w:rsidP="00EA28C4">
            <w:pPr>
              <w:jc w:val="center"/>
              <w:rPr>
                <w:color w:val="000000"/>
                <w:sz w:val="18"/>
                <w:szCs w:val="18"/>
              </w:rPr>
            </w:pPr>
            <w:r w:rsidRPr="00B54118">
              <w:rPr>
                <w:color w:val="000000"/>
                <w:sz w:val="18"/>
                <w:szCs w:val="18"/>
              </w:rPr>
              <w:t>2011</w:t>
            </w:r>
          </w:p>
        </w:tc>
        <w:tc>
          <w:tcPr>
            <w:tcW w:w="404" w:type="pct"/>
            <w:tcBorders>
              <w:top w:val="single" w:sz="12" w:space="0" w:color="auto"/>
              <w:left w:val="nil"/>
              <w:bottom w:val="single" w:sz="4" w:space="0" w:color="auto"/>
              <w:right w:val="single" w:sz="4" w:space="0" w:color="auto"/>
            </w:tcBorders>
            <w:shd w:val="clear" w:color="auto" w:fill="auto"/>
            <w:noWrap/>
            <w:vAlign w:val="center"/>
            <w:hideMark/>
          </w:tcPr>
          <w:p w14:paraId="1D31B8F5" w14:textId="77777777" w:rsidR="00874916" w:rsidRPr="00B54118" w:rsidRDefault="00874916" w:rsidP="00EA28C4">
            <w:pPr>
              <w:jc w:val="center"/>
              <w:rPr>
                <w:color w:val="000000"/>
                <w:sz w:val="18"/>
                <w:szCs w:val="18"/>
              </w:rPr>
            </w:pPr>
          </w:p>
        </w:tc>
        <w:tc>
          <w:tcPr>
            <w:tcW w:w="716" w:type="pct"/>
            <w:tcBorders>
              <w:top w:val="single" w:sz="12" w:space="0" w:color="auto"/>
              <w:left w:val="nil"/>
              <w:bottom w:val="single" w:sz="4" w:space="0" w:color="auto"/>
              <w:right w:val="nil"/>
            </w:tcBorders>
            <w:shd w:val="clear" w:color="auto" w:fill="auto"/>
            <w:noWrap/>
            <w:vAlign w:val="center"/>
            <w:hideMark/>
          </w:tcPr>
          <w:p w14:paraId="17915FD8" w14:textId="77777777" w:rsidR="00874916" w:rsidRPr="00B54118" w:rsidRDefault="00874916" w:rsidP="00EA28C4">
            <w:pPr>
              <w:jc w:val="center"/>
              <w:rPr>
                <w:color w:val="000000"/>
                <w:sz w:val="18"/>
                <w:szCs w:val="18"/>
              </w:rPr>
            </w:pPr>
          </w:p>
        </w:tc>
        <w:tc>
          <w:tcPr>
            <w:tcW w:w="559" w:type="pct"/>
            <w:tcBorders>
              <w:top w:val="single" w:sz="12" w:space="0" w:color="auto"/>
              <w:left w:val="nil"/>
              <w:bottom w:val="single" w:sz="4" w:space="0" w:color="auto"/>
              <w:right w:val="nil"/>
            </w:tcBorders>
            <w:shd w:val="clear" w:color="auto" w:fill="auto"/>
            <w:noWrap/>
            <w:vAlign w:val="center"/>
            <w:hideMark/>
          </w:tcPr>
          <w:p w14:paraId="3F16ABB0" w14:textId="77777777" w:rsidR="00874916" w:rsidRPr="00B54118" w:rsidRDefault="00874916" w:rsidP="00EA28C4">
            <w:pPr>
              <w:jc w:val="center"/>
              <w:rPr>
                <w:color w:val="000000"/>
                <w:sz w:val="18"/>
                <w:szCs w:val="18"/>
              </w:rPr>
            </w:pPr>
            <w:r w:rsidRPr="00B54118">
              <w:rPr>
                <w:color w:val="000000"/>
                <w:sz w:val="18"/>
                <w:szCs w:val="18"/>
              </w:rPr>
              <w:t>2012</w:t>
            </w:r>
          </w:p>
        </w:tc>
        <w:tc>
          <w:tcPr>
            <w:tcW w:w="391" w:type="pct"/>
            <w:tcBorders>
              <w:top w:val="single" w:sz="12" w:space="0" w:color="auto"/>
              <w:left w:val="nil"/>
              <w:bottom w:val="single" w:sz="4" w:space="0" w:color="auto"/>
              <w:right w:val="single" w:sz="4" w:space="0" w:color="auto"/>
            </w:tcBorders>
            <w:shd w:val="clear" w:color="auto" w:fill="auto"/>
            <w:noWrap/>
            <w:vAlign w:val="center"/>
            <w:hideMark/>
          </w:tcPr>
          <w:p w14:paraId="63C54255" w14:textId="77777777" w:rsidR="00874916" w:rsidRPr="00B54118" w:rsidRDefault="00874916" w:rsidP="00EA28C4">
            <w:pPr>
              <w:jc w:val="center"/>
              <w:rPr>
                <w:color w:val="000000"/>
                <w:sz w:val="18"/>
                <w:szCs w:val="18"/>
              </w:rPr>
            </w:pPr>
          </w:p>
        </w:tc>
        <w:tc>
          <w:tcPr>
            <w:tcW w:w="730" w:type="pct"/>
            <w:tcBorders>
              <w:top w:val="single" w:sz="12" w:space="0" w:color="auto"/>
              <w:left w:val="nil"/>
              <w:bottom w:val="single" w:sz="4" w:space="0" w:color="auto"/>
              <w:right w:val="nil"/>
            </w:tcBorders>
            <w:shd w:val="clear" w:color="auto" w:fill="auto"/>
            <w:noWrap/>
            <w:vAlign w:val="center"/>
            <w:hideMark/>
          </w:tcPr>
          <w:p w14:paraId="218EB2AA" w14:textId="77777777" w:rsidR="00874916" w:rsidRPr="00B54118" w:rsidRDefault="00874916" w:rsidP="00EA28C4">
            <w:pPr>
              <w:jc w:val="center"/>
              <w:rPr>
                <w:color w:val="000000"/>
                <w:sz w:val="18"/>
                <w:szCs w:val="18"/>
              </w:rPr>
            </w:pPr>
          </w:p>
        </w:tc>
        <w:tc>
          <w:tcPr>
            <w:tcW w:w="560" w:type="pct"/>
            <w:tcBorders>
              <w:top w:val="single" w:sz="12" w:space="0" w:color="auto"/>
              <w:left w:val="nil"/>
              <w:bottom w:val="single" w:sz="4" w:space="0" w:color="auto"/>
              <w:right w:val="nil"/>
            </w:tcBorders>
            <w:shd w:val="clear" w:color="auto" w:fill="auto"/>
            <w:noWrap/>
            <w:vAlign w:val="center"/>
            <w:hideMark/>
          </w:tcPr>
          <w:p w14:paraId="7A68D9ED" w14:textId="77777777" w:rsidR="00874916" w:rsidRPr="00B54118" w:rsidRDefault="00874916" w:rsidP="00EA28C4">
            <w:pPr>
              <w:jc w:val="center"/>
              <w:rPr>
                <w:color w:val="000000"/>
                <w:sz w:val="18"/>
                <w:szCs w:val="18"/>
              </w:rPr>
            </w:pPr>
            <w:r w:rsidRPr="00B54118">
              <w:rPr>
                <w:color w:val="000000"/>
                <w:sz w:val="18"/>
                <w:szCs w:val="18"/>
              </w:rPr>
              <w:t>2013</w:t>
            </w:r>
          </w:p>
        </w:tc>
        <w:tc>
          <w:tcPr>
            <w:tcW w:w="377" w:type="pct"/>
            <w:tcBorders>
              <w:top w:val="single" w:sz="12" w:space="0" w:color="auto"/>
              <w:left w:val="nil"/>
              <w:bottom w:val="single" w:sz="4" w:space="0" w:color="auto"/>
              <w:right w:val="nil"/>
            </w:tcBorders>
            <w:shd w:val="clear" w:color="auto" w:fill="auto"/>
            <w:noWrap/>
            <w:vAlign w:val="center"/>
            <w:hideMark/>
          </w:tcPr>
          <w:p w14:paraId="237D65D1" w14:textId="77777777" w:rsidR="00874916" w:rsidRPr="00B54118" w:rsidRDefault="00874916" w:rsidP="00EA28C4">
            <w:pPr>
              <w:jc w:val="center"/>
              <w:rPr>
                <w:color w:val="000000"/>
                <w:sz w:val="18"/>
                <w:szCs w:val="18"/>
              </w:rPr>
            </w:pPr>
          </w:p>
        </w:tc>
      </w:tr>
      <w:tr w:rsidR="00874916" w:rsidRPr="00B54118" w14:paraId="411F20A0" w14:textId="77777777" w:rsidTr="00EA28C4">
        <w:trPr>
          <w:trHeight w:val="270"/>
          <w:jc w:val="center"/>
        </w:trPr>
        <w:tc>
          <w:tcPr>
            <w:tcW w:w="702" w:type="pct"/>
            <w:tcBorders>
              <w:top w:val="nil"/>
              <w:left w:val="nil"/>
              <w:bottom w:val="nil"/>
              <w:right w:val="nil"/>
            </w:tcBorders>
            <w:shd w:val="clear" w:color="auto" w:fill="auto"/>
            <w:noWrap/>
            <w:vAlign w:val="center"/>
            <w:hideMark/>
          </w:tcPr>
          <w:p w14:paraId="4F9556D0" w14:textId="77777777" w:rsidR="00874916" w:rsidRPr="00B54118" w:rsidRDefault="00874916" w:rsidP="00EA28C4">
            <w:pPr>
              <w:jc w:val="center"/>
              <w:rPr>
                <w:color w:val="000000"/>
                <w:sz w:val="18"/>
                <w:szCs w:val="18"/>
              </w:rPr>
            </w:pPr>
            <w:r w:rsidRPr="00B54118">
              <w:rPr>
                <w:color w:val="000000"/>
                <w:sz w:val="18"/>
                <w:szCs w:val="18"/>
              </w:rPr>
              <w:t>Importer</w:t>
            </w:r>
          </w:p>
        </w:tc>
        <w:tc>
          <w:tcPr>
            <w:tcW w:w="561" w:type="pct"/>
            <w:tcBorders>
              <w:top w:val="nil"/>
              <w:left w:val="nil"/>
              <w:bottom w:val="nil"/>
              <w:right w:val="nil"/>
            </w:tcBorders>
            <w:shd w:val="clear" w:color="auto" w:fill="auto"/>
            <w:noWrap/>
            <w:vAlign w:val="center"/>
            <w:hideMark/>
          </w:tcPr>
          <w:p w14:paraId="2F3047C0" w14:textId="77777777" w:rsidR="00874916" w:rsidRPr="00B54118" w:rsidRDefault="00874916" w:rsidP="00EA28C4">
            <w:pPr>
              <w:jc w:val="center"/>
              <w:rPr>
                <w:color w:val="000000"/>
                <w:sz w:val="18"/>
                <w:szCs w:val="18"/>
              </w:rPr>
            </w:pPr>
            <w:r w:rsidRPr="00B54118">
              <w:rPr>
                <w:color w:val="000000"/>
                <w:sz w:val="18"/>
                <w:szCs w:val="18"/>
              </w:rPr>
              <w:t xml:space="preserve">Thousand </w:t>
            </w:r>
            <w:r>
              <w:rPr>
                <w:color w:val="000000"/>
                <w:sz w:val="18"/>
                <w:szCs w:val="18"/>
              </w:rPr>
              <w:t>Tons</w:t>
            </w:r>
          </w:p>
        </w:tc>
        <w:tc>
          <w:tcPr>
            <w:tcW w:w="404" w:type="pct"/>
            <w:tcBorders>
              <w:top w:val="nil"/>
              <w:left w:val="nil"/>
              <w:bottom w:val="nil"/>
              <w:right w:val="single" w:sz="4" w:space="0" w:color="auto"/>
            </w:tcBorders>
            <w:shd w:val="clear" w:color="auto" w:fill="auto"/>
            <w:noWrap/>
            <w:vAlign w:val="center"/>
            <w:hideMark/>
          </w:tcPr>
          <w:p w14:paraId="6A3D5096" w14:textId="77777777" w:rsidR="00874916" w:rsidRPr="00B54118" w:rsidRDefault="00874916" w:rsidP="00EA28C4">
            <w:pPr>
              <w:jc w:val="center"/>
              <w:rPr>
                <w:color w:val="000000"/>
                <w:sz w:val="18"/>
                <w:szCs w:val="18"/>
              </w:rPr>
            </w:pPr>
            <w:r w:rsidRPr="00B54118">
              <w:rPr>
                <w:color w:val="000000"/>
                <w:sz w:val="18"/>
                <w:szCs w:val="18"/>
              </w:rPr>
              <w:t>Percent</w:t>
            </w:r>
          </w:p>
        </w:tc>
        <w:tc>
          <w:tcPr>
            <w:tcW w:w="716" w:type="pct"/>
            <w:tcBorders>
              <w:top w:val="nil"/>
              <w:left w:val="nil"/>
              <w:bottom w:val="nil"/>
              <w:right w:val="nil"/>
            </w:tcBorders>
            <w:shd w:val="clear" w:color="auto" w:fill="auto"/>
            <w:noWrap/>
            <w:vAlign w:val="center"/>
            <w:hideMark/>
          </w:tcPr>
          <w:p w14:paraId="4D498167" w14:textId="77777777" w:rsidR="00874916" w:rsidRPr="00B54118" w:rsidRDefault="00874916" w:rsidP="00EA28C4">
            <w:pPr>
              <w:jc w:val="center"/>
              <w:rPr>
                <w:color w:val="000000"/>
                <w:sz w:val="18"/>
                <w:szCs w:val="18"/>
              </w:rPr>
            </w:pPr>
            <w:r w:rsidRPr="00B54118">
              <w:rPr>
                <w:color w:val="000000"/>
                <w:sz w:val="18"/>
                <w:szCs w:val="18"/>
              </w:rPr>
              <w:t>Importer</w:t>
            </w:r>
          </w:p>
        </w:tc>
        <w:tc>
          <w:tcPr>
            <w:tcW w:w="559" w:type="pct"/>
            <w:tcBorders>
              <w:top w:val="nil"/>
              <w:left w:val="nil"/>
              <w:bottom w:val="nil"/>
              <w:right w:val="nil"/>
            </w:tcBorders>
            <w:shd w:val="clear" w:color="auto" w:fill="auto"/>
            <w:noWrap/>
            <w:vAlign w:val="center"/>
            <w:hideMark/>
          </w:tcPr>
          <w:p w14:paraId="17F63060" w14:textId="77777777" w:rsidR="00874916" w:rsidRPr="00B54118" w:rsidRDefault="00874916" w:rsidP="00EA28C4">
            <w:pPr>
              <w:jc w:val="center"/>
              <w:rPr>
                <w:color w:val="000000"/>
                <w:sz w:val="18"/>
                <w:szCs w:val="18"/>
              </w:rPr>
            </w:pPr>
            <w:r w:rsidRPr="00B54118">
              <w:rPr>
                <w:color w:val="000000"/>
                <w:sz w:val="18"/>
                <w:szCs w:val="18"/>
              </w:rPr>
              <w:t xml:space="preserve">Thousand </w:t>
            </w:r>
            <w:r>
              <w:rPr>
                <w:color w:val="000000"/>
                <w:sz w:val="18"/>
                <w:szCs w:val="18"/>
              </w:rPr>
              <w:t>Tons</w:t>
            </w:r>
          </w:p>
        </w:tc>
        <w:tc>
          <w:tcPr>
            <w:tcW w:w="391" w:type="pct"/>
            <w:tcBorders>
              <w:top w:val="nil"/>
              <w:left w:val="nil"/>
              <w:bottom w:val="nil"/>
              <w:right w:val="single" w:sz="4" w:space="0" w:color="auto"/>
            </w:tcBorders>
            <w:shd w:val="clear" w:color="auto" w:fill="auto"/>
            <w:noWrap/>
            <w:vAlign w:val="center"/>
            <w:hideMark/>
          </w:tcPr>
          <w:p w14:paraId="5AAA9230" w14:textId="77777777" w:rsidR="00874916" w:rsidRPr="00B54118" w:rsidRDefault="00874916" w:rsidP="00EA28C4">
            <w:pPr>
              <w:jc w:val="center"/>
              <w:rPr>
                <w:color w:val="000000"/>
                <w:sz w:val="18"/>
                <w:szCs w:val="18"/>
              </w:rPr>
            </w:pPr>
            <w:r w:rsidRPr="00B54118">
              <w:rPr>
                <w:color w:val="000000"/>
                <w:sz w:val="18"/>
                <w:szCs w:val="18"/>
              </w:rPr>
              <w:t>Percent</w:t>
            </w:r>
          </w:p>
        </w:tc>
        <w:tc>
          <w:tcPr>
            <w:tcW w:w="730" w:type="pct"/>
            <w:tcBorders>
              <w:top w:val="nil"/>
              <w:left w:val="nil"/>
              <w:bottom w:val="nil"/>
              <w:right w:val="nil"/>
            </w:tcBorders>
            <w:shd w:val="clear" w:color="auto" w:fill="auto"/>
            <w:noWrap/>
            <w:vAlign w:val="center"/>
            <w:hideMark/>
          </w:tcPr>
          <w:p w14:paraId="5CB727EF" w14:textId="77777777" w:rsidR="00874916" w:rsidRPr="00B54118" w:rsidRDefault="00874916" w:rsidP="00EA28C4">
            <w:pPr>
              <w:jc w:val="center"/>
              <w:rPr>
                <w:color w:val="000000"/>
                <w:sz w:val="18"/>
                <w:szCs w:val="18"/>
              </w:rPr>
            </w:pPr>
            <w:r w:rsidRPr="00B54118">
              <w:rPr>
                <w:color w:val="000000"/>
                <w:sz w:val="18"/>
                <w:szCs w:val="18"/>
              </w:rPr>
              <w:t>Importer</w:t>
            </w:r>
          </w:p>
        </w:tc>
        <w:tc>
          <w:tcPr>
            <w:tcW w:w="560" w:type="pct"/>
            <w:tcBorders>
              <w:top w:val="nil"/>
              <w:left w:val="nil"/>
              <w:bottom w:val="nil"/>
              <w:right w:val="nil"/>
            </w:tcBorders>
            <w:shd w:val="clear" w:color="auto" w:fill="auto"/>
            <w:noWrap/>
            <w:vAlign w:val="center"/>
            <w:hideMark/>
          </w:tcPr>
          <w:p w14:paraId="7983D642" w14:textId="77777777" w:rsidR="00874916" w:rsidRPr="00B54118" w:rsidRDefault="00874916" w:rsidP="00EA28C4">
            <w:pPr>
              <w:jc w:val="center"/>
              <w:rPr>
                <w:color w:val="000000"/>
                <w:sz w:val="18"/>
                <w:szCs w:val="18"/>
              </w:rPr>
            </w:pPr>
            <w:r w:rsidRPr="00B54118">
              <w:rPr>
                <w:color w:val="000000"/>
                <w:sz w:val="18"/>
                <w:szCs w:val="18"/>
              </w:rPr>
              <w:t xml:space="preserve">Thousand </w:t>
            </w:r>
            <w:r>
              <w:rPr>
                <w:color w:val="000000"/>
                <w:sz w:val="18"/>
                <w:szCs w:val="18"/>
              </w:rPr>
              <w:t>Tons</w:t>
            </w:r>
          </w:p>
        </w:tc>
        <w:tc>
          <w:tcPr>
            <w:tcW w:w="377" w:type="pct"/>
            <w:tcBorders>
              <w:top w:val="nil"/>
              <w:left w:val="nil"/>
              <w:bottom w:val="nil"/>
              <w:right w:val="nil"/>
            </w:tcBorders>
            <w:shd w:val="clear" w:color="auto" w:fill="auto"/>
            <w:noWrap/>
            <w:vAlign w:val="center"/>
            <w:hideMark/>
          </w:tcPr>
          <w:p w14:paraId="51BFAB65" w14:textId="77777777" w:rsidR="00874916" w:rsidRPr="00B54118" w:rsidRDefault="00874916" w:rsidP="00EA28C4">
            <w:pPr>
              <w:jc w:val="center"/>
              <w:rPr>
                <w:color w:val="000000"/>
                <w:sz w:val="18"/>
                <w:szCs w:val="18"/>
              </w:rPr>
            </w:pPr>
            <w:r w:rsidRPr="00B54118">
              <w:rPr>
                <w:color w:val="000000"/>
                <w:sz w:val="18"/>
                <w:szCs w:val="18"/>
              </w:rPr>
              <w:t>Percent</w:t>
            </w:r>
          </w:p>
        </w:tc>
      </w:tr>
      <w:tr w:rsidR="00874916" w:rsidRPr="00B54118" w14:paraId="1737A23E" w14:textId="77777777" w:rsidTr="00EA28C4">
        <w:trPr>
          <w:trHeight w:val="270"/>
          <w:jc w:val="center"/>
        </w:trPr>
        <w:tc>
          <w:tcPr>
            <w:tcW w:w="702" w:type="pct"/>
            <w:tcBorders>
              <w:top w:val="single" w:sz="4" w:space="0" w:color="auto"/>
              <w:left w:val="nil"/>
              <w:bottom w:val="nil"/>
              <w:right w:val="nil"/>
            </w:tcBorders>
            <w:shd w:val="clear" w:color="auto" w:fill="auto"/>
            <w:noWrap/>
            <w:vAlign w:val="center"/>
            <w:hideMark/>
          </w:tcPr>
          <w:p w14:paraId="62337948" w14:textId="77777777" w:rsidR="00874916" w:rsidRPr="00B54118" w:rsidRDefault="00874916" w:rsidP="00EA28C4">
            <w:pPr>
              <w:jc w:val="center"/>
              <w:rPr>
                <w:color w:val="000000"/>
                <w:sz w:val="18"/>
                <w:szCs w:val="18"/>
              </w:rPr>
            </w:pPr>
            <w:r w:rsidRPr="00B54118">
              <w:rPr>
                <w:color w:val="000000"/>
                <w:sz w:val="18"/>
                <w:szCs w:val="18"/>
              </w:rPr>
              <w:t>Russian Federation</w:t>
            </w:r>
          </w:p>
        </w:tc>
        <w:tc>
          <w:tcPr>
            <w:tcW w:w="561" w:type="pct"/>
            <w:tcBorders>
              <w:top w:val="single" w:sz="4" w:space="0" w:color="auto"/>
              <w:left w:val="nil"/>
              <w:bottom w:val="nil"/>
              <w:right w:val="nil"/>
            </w:tcBorders>
            <w:shd w:val="clear" w:color="auto" w:fill="auto"/>
            <w:noWrap/>
            <w:vAlign w:val="center"/>
            <w:hideMark/>
          </w:tcPr>
          <w:p w14:paraId="6BC0B338" w14:textId="77777777" w:rsidR="00874916" w:rsidRPr="00B54118" w:rsidRDefault="00874916" w:rsidP="00EA28C4">
            <w:pPr>
              <w:jc w:val="center"/>
              <w:rPr>
                <w:color w:val="000000"/>
                <w:sz w:val="18"/>
                <w:szCs w:val="18"/>
              </w:rPr>
            </w:pPr>
            <w:r w:rsidRPr="00B54118">
              <w:rPr>
                <w:color w:val="000000"/>
                <w:sz w:val="18"/>
                <w:szCs w:val="18"/>
              </w:rPr>
              <w:t>46.44</w:t>
            </w:r>
          </w:p>
        </w:tc>
        <w:tc>
          <w:tcPr>
            <w:tcW w:w="404" w:type="pct"/>
            <w:tcBorders>
              <w:top w:val="single" w:sz="4" w:space="0" w:color="auto"/>
              <w:left w:val="nil"/>
              <w:bottom w:val="nil"/>
              <w:right w:val="single" w:sz="4" w:space="0" w:color="auto"/>
            </w:tcBorders>
            <w:shd w:val="clear" w:color="auto" w:fill="auto"/>
            <w:noWrap/>
            <w:vAlign w:val="center"/>
            <w:hideMark/>
          </w:tcPr>
          <w:p w14:paraId="5AA8530B" w14:textId="77777777" w:rsidR="00874916" w:rsidRPr="00B54118" w:rsidRDefault="00874916" w:rsidP="00EA28C4">
            <w:pPr>
              <w:jc w:val="center"/>
              <w:rPr>
                <w:color w:val="000000"/>
                <w:sz w:val="18"/>
                <w:szCs w:val="18"/>
              </w:rPr>
            </w:pPr>
            <w:r w:rsidRPr="00B54118">
              <w:rPr>
                <w:color w:val="000000"/>
                <w:sz w:val="18"/>
                <w:szCs w:val="18"/>
              </w:rPr>
              <w:t>17.95%</w:t>
            </w:r>
          </w:p>
        </w:tc>
        <w:tc>
          <w:tcPr>
            <w:tcW w:w="716" w:type="pct"/>
            <w:tcBorders>
              <w:top w:val="single" w:sz="4" w:space="0" w:color="auto"/>
              <w:left w:val="nil"/>
              <w:bottom w:val="nil"/>
              <w:right w:val="nil"/>
            </w:tcBorders>
            <w:shd w:val="clear" w:color="auto" w:fill="auto"/>
            <w:noWrap/>
            <w:vAlign w:val="center"/>
            <w:hideMark/>
          </w:tcPr>
          <w:p w14:paraId="0686B5D3" w14:textId="77777777" w:rsidR="00874916" w:rsidRPr="00B54118" w:rsidRDefault="00874916" w:rsidP="00EA28C4">
            <w:pPr>
              <w:jc w:val="center"/>
              <w:rPr>
                <w:color w:val="000000"/>
                <w:sz w:val="18"/>
                <w:szCs w:val="18"/>
              </w:rPr>
            </w:pPr>
            <w:r w:rsidRPr="00B54118">
              <w:rPr>
                <w:color w:val="000000"/>
                <w:sz w:val="18"/>
                <w:szCs w:val="18"/>
              </w:rPr>
              <w:t>Russian Federation</w:t>
            </w:r>
          </w:p>
        </w:tc>
        <w:tc>
          <w:tcPr>
            <w:tcW w:w="559" w:type="pct"/>
            <w:tcBorders>
              <w:top w:val="single" w:sz="4" w:space="0" w:color="auto"/>
              <w:left w:val="nil"/>
              <w:bottom w:val="nil"/>
              <w:right w:val="nil"/>
            </w:tcBorders>
            <w:shd w:val="clear" w:color="auto" w:fill="auto"/>
            <w:noWrap/>
            <w:vAlign w:val="center"/>
            <w:hideMark/>
          </w:tcPr>
          <w:p w14:paraId="78FA178C" w14:textId="77777777" w:rsidR="00874916" w:rsidRPr="00B54118" w:rsidRDefault="00874916" w:rsidP="00EA28C4">
            <w:pPr>
              <w:jc w:val="center"/>
              <w:rPr>
                <w:color w:val="000000"/>
                <w:sz w:val="18"/>
                <w:szCs w:val="18"/>
              </w:rPr>
            </w:pPr>
            <w:r w:rsidRPr="00B54118">
              <w:rPr>
                <w:color w:val="000000"/>
                <w:sz w:val="18"/>
                <w:szCs w:val="18"/>
              </w:rPr>
              <w:t>44.01</w:t>
            </w:r>
          </w:p>
        </w:tc>
        <w:tc>
          <w:tcPr>
            <w:tcW w:w="391" w:type="pct"/>
            <w:tcBorders>
              <w:top w:val="single" w:sz="4" w:space="0" w:color="auto"/>
              <w:left w:val="nil"/>
              <w:bottom w:val="nil"/>
              <w:right w:val="single" w:sz="4" w:space="0" w:color="auto"/>
            </w:tcBorders>
            <w:shd w:val="clear" w:color="auto" w:fill="auto"/>
            <w:noWrap/>
            <w:vAlign w:val="center"/>
            <w:hideMark/>
          </w:tcPr>
          <w:p w14:paraId="2D664308" w14:textId="77777777" w:rsidR="00874916" w:rsidRPr="00B54118" w:rsidRDefault="00874916" w:rsidP="00EA28C4">
            <w:pPr>
              <w:jc w:val="center"/>
              <w:rPr>
                <w:color w:val="000000"/>
                <w:sz w:val="18"/>
                <w:szCs w:val="18"/>
              </w:rPr>
            </w:pPr>
            <w:r w:rsidRPr="00B54118">
              <w:rPr>
                <w:color w:val="000000"/>
                <w:sz w:val="18"/>
                <w:szCs w:val="18"/>
              </w:rPr>
              <w:t>10.19%</w:t>
            </w:r>
          </w:p>
        </w:tc>
        <w:tc>
          <w:tcPr>
            <w:tcW w:w="730" w:type="pct"/>
            <w:tcBorders>
              <w:top w:val="single" w:sz="4" w:space="0" w:color="auto"/>
              <w:left w:val="nil"/>
              <w:bottom w:val="nil"/>
              <w:right w:val="nil"/>
            </w:tcBorders>
            <w:shd w:val="clear" w:color="auto" w:fill="auto"/>
            <w:noWrap/>
            <w:vAlign w:val="center"/>
            <w:hideMark/>
          </w:tcPr>
          <w:p w14:paraId="47265668" w14:textId="77777777" w:rsidR="00874916" w:rsidRPr="00B54118" w:rsidRDefault="00874916" w:rsidP="00EA28C4">
            <w:pPr>
              <w:jc w:val="center"/>
              <w:rPr>
                <w:color w:val="000000"/>
                <w:sz w:val="18"/>
                <w:szCs w:val="18"/>
              </w:rPr>
            </w:pPr>
            <w:r w:rsidRPr="00B54118">
              <w:rPr>
                <w:color w:val="000000"/>
                <w:sz w:val="18"/>
                <w:szCs w:val="18"/>
              </w:rPr>
              <w:t>Russian Federation</w:t>
            </w:r>
          </w:p>
        </w:tc>
        <w:tc>
          <w:tcPr>
            <w:tcW w:w="560" w:type="pct"/>
            <w:tcBorders>
              <w:top w:val="single" w:sz="4" w:space="0" w:color="auto"/>
              <w:left w:val="nil"/>
              <w:bottom w:val="nil"/>
              <w:right w:val="nil"/>
            </w:tcBorders>
            <w:shd w:val="clear" w:color="auto" w:fill="auto"/>
            <w:noWrap/>
            <w:vAlign w:val="center"/>
            <w:hideMark/>
          </w:tcPr>
          <w:p w14:paraId="24CDBF15" w14:textId="77777777" w:rsidR="00874916" w:rsidRPr="00B54118" w:rsidRDefault="00874916" w:rsidP="00EA28C4">
            <w:pPr>
              <w:jc w:val="center"/>
              <w:rPr>
                <w:color w:val="000000"/>
                <w:sz w:val="18"/>
                <w:szCs w:val="18"/>
              </w:rPr>
            </w:pPr>
            <w:r w:rsidRPr="00B54118">
              <w:rPr>
                <w:color w:val="000000"/>
                <w:sz w:val="18"/>
                <w:szCs w:val="18"/>
              </w:rPr>
              <w:t>43.06</w:t>
            </w:r>
          </w:p>
        </w:tc>
        <w:tc>
          <w:tcPr>
            <w:tcW w:w="377" w:type="pct"/>
            <w:tcBorders>
              <w:top w:val="single" w:sz="4" w:space="0" w:color="auto"/>
              <w:left w:val="nil"/>
              <w:bottom w:val="nil"/>
              <w:right w:val="nil"/>
            </w:tcBorders>
            <w:shd w:val="clear" w:color="auto" w:fill="auto"/>
            <w:noWrap/>
            <w:vAlign w:val="center"/>
            <w:hideMark/>
          </w:tcPr>
          <w:p w14:paraId="0428404E" w14:textId="77777777" w:rsidR="00874916" w:rsidRPr="00B54118" w:rsidRDefault="00874916" w:rsidP="00EA28C4">
            <w:pPr>
              <w:jc w:val="center"/>
              <w:rPr>
                <w:color w:val="000000"/>
                <w:sz w:val="18"/>
                <w:szCs w:val="18"/>
              </w:rPr>
            </w:pPr>
            <w:r w:rsidRPr="00B54118">
              <w:rPr>
                <w:color w:val="000000"/>
                <w:sz w:val="18"/>
                <w:szCs w:val="18"/>
              </w:rPr>
              <w:t>16.90%</w:t>
            </w:r>
          </w:p>
        </w:tc>
      </w:tr>
      <w:tr w:rsidR="00874916" w:rsidRPr="00B54118" w14:paraId="6F435DC2" w14:textId="77777777" w:rsidTr="00EA28C4">
        <w:trPr>
          <w:trHeight w:val="270"/>
          <w:jc w:val="center"/>
        </w:trPr>
        <w:tc>
          <w:tcPr>
            <w:tcW w:w="702" w:type="pct"/>
            <w:tcBorders>
              <w:top w:val="nil"/>
              <w:left w:val="nil"/>
              <w:bottom w:val="nil"/>
              <w:right w:val="nil"/>
            </w:tcBorders>
            <w:shd w:val="clear" w:color="auto" w:fill="auto"/>
            <w:noWrap/>
            <w:vAlign w:val="center"/>
            <w:hideMark/>
          </w:tcPr>
          <w:p w14:paraId="4C57D6F3" w14:textId="77777777" w:rsidR="00874916" w:rsidRPr="00B54118" w:rsidRDefault="00874916" w:rsidP="00EA28C4">
            <w:pPr>
              <w:jc w:val="center"/>
              <w:rPr>
                <w:color w:val="000000"/>
                <w:sz w:val="18"/>
                <w:szCs w:val="18"/>
              </w:rPr>
            </w:pPr>
            <w:r w:rsidRPr="00B54118">
              <w:rPr>
                <w:color w:val="000000"/>
                <w:sz w:val="18"/>
                <w:szCs w:val="18"/>
              </w:rPr>
              <w:t>United Kingdom</w:t>
            </w:r>
          </w:p>
        </w:tc>
        <w:tc>
          <w:tcPr>
            <w:tcW w:w="561" w:type="pct"/>
            <w:tcBorders>
              <w:top w:val="nil"/>
              <w:left w:val="nil"/>
              <w:bottom w:val="nil"/>
              <w:right w:val="nil"/>
            </w:tcBorders>
            <w:shd w:val="clear" w:color="auto" w:fill="auto"/>
            <w:noWrap/>
            <w:vAlign w:val="center"/>
            <w:hideMark/>
          </w:tcPr>
          <w:p w14:paraId="60DE0B7B" w14:textId="77777777" w:rsidR="00874916" w:rsidRPr="00B54118" w:rsidRDefault="00874916" w:rsidP="00EA28C4">
            <w:pPr>
              <w:jc w:val="center"/>
              <w:rPr>
                <w:color w:val="000000"/>
                <w:sz w:val="18"/>
                <w:szCs w:val="18"/>
              </w:rPr>
            </w:pPr>
            <w:r w:rsidRPr="00B54118">
              <w:rPr>
                <w:color w:val="000000"/>
                <w:sz w:val="18"/>
                <w:szCs w:val="18"/>
              </w:rPr>
              <w:t>31.40</w:t>
            </w:r>
          </w:p>
        </w:tc>
        <w:tc>
          <w:tcPr>
            <w:tcW w:w="404" w:type="pct"/>
            <w:tcBorders>
              <w:top w:val="nil"/>
              <w:left w:val="nil"/>
              <w:bottom w:val="nil"/>
              <w:right w:val="single" w:sz="4" w:space="0" w:color="auto"/>
            </w:tcBorders>
            <w:shd w:val="clear" w:color="auto" w:fill="auto"/>
            <w:noWrap/>
            <w:vAlign w:val="center"/>
            <w:hideMark/>
          </w:tcPr>
          <w:p w14:paraId="416B5A68" w14:textId="77777777" w:rsidR="00874916" w:rsidRPr="00B54118" w:rsidRDefault="00874916" w:rsidP="00EA28C4">
            <w:pPr>
              <w:jc w:val="center"/>
              <w:rPr>
                <w:color w:val="000000"/>
                <w:sz w:val="18"/>
                <w:szCs w:val="18"/>
              </w:rPr>
            </w:pPr>
            <w:r w:rsidRPr="00B54118">
              <w:rPr>
                <w:color w:val="000000"/>
                <w:sz w:val="18"/>
                <w:szCs w:val="18"/>
              </w:rPr>
              <w:t>12.13%</w:t>
            </w:r>
          </w:p>
        </w:tc>
        <w:tc>
          <w:tcPr>
            <w:tcW w:w="716" w:type="pct"/>
            <w:tcBorders>
              <w:top w:val="nil"/>
              <w:left w:val="nil"/>
              <w:bottom w:val="nil"/>
              <w:right w:val="nil"/>
            </w:tcBorders>
            <w:shd w:val="clear" w:color="auto" w:fill="auto"/>
            <w:noWrap/>
            <w:vAlign w:val="center"/>
            <w:hideMark/>
          </w:tcPr>
          <w:p w14:paraId="4E7810C3" w14:textId="77777777" w:rsidR="00874916" w:rsidRPr="00B54118" w:rsidRDefault="00874916" w:rsidP="00EA28C4">
            <w:pPr>
              <w:jc w:val="center"/>
              <w:rPr>
                <w:color w:val="000000"/>
                <w:sz w:val="18"/>
                <w:szCs w:val="18"/>
              </w:rPr>
            </w:pPr>
            <w:r w:rsidRPr="00B54118">
              <w:rPr>
                <w:color w:val="000000"/>
                <w:sz w:val="18"/>
                <w:szCs w:val="18"/>
              </w:rPr>
              <w:t>Pakistan</w:t>
            </w:r>
          </w:p>
        </w:tc>
        <w:tc>
          <w:tcPr>
            <w:tcW w:w="559" w:type="pct"/>
            <w:tcBorders>
              <w:top w:val="nil"/>
              <w:left w:val="nil"/>
              <w:bottom w:val="nil"/>
              <w:right w:val="nil"/>
            </w:tcBorders>
            <w:shd w:val="clear" w:color="auto" w:fill="auto"/>
            <w:noWrap/>
            <w:vAlign w:val="center"/>
            <w:hideMark/>
          </w:tcPr>
          <w:p w14:paraId="6F27DF88" w14:textId="77777777" w:rsidR="00874916" w:rsidRPr="00B54118" w:rsidRDefault="00874916" w:rsidP="00EA28C4">
            <w:pPr>
              <w:jc w:val="center"/>
              <w:rPr>
                <w:color w:val="000000"/>
                <w:sz w:val="18"/>
                <w:szCs w:val="18"/>
              </w:rPr>
            </w:pPr>
            <w:r w:rsidRPr="00B54118">
              <w:rPr>
                <w:color w:val="000000"/>
                <w:sz w:val="18"/>
                <w:szCs w:val="18"/>
              </w:rPr>
              <w:t>22.93</w:t>
            </w:r>
          </w:p>
        </w:tc>
        <w:tc>
          <w:tcPr>
            <w:tcW w:w="391" w:type="pct"/>
            <w:tcBorders>
              <w:top w:val="nil"/>
              <w:left w:val="nil"/>
              <w:bottom w:val="nil"/>
              <w:right w:val="single" w:sz="4" w:space="0" w:color="auto"/>
            </w:tcBorders>
            <w:shd w:val="clear" w:color="auto" w:fill="auto"/>
            <w:noWrap/>
            <w:vAlign w:val="center"/>
            <w:hideMark/>
          </w:tcPr>
          <w:p w14:paraId="67B74450" w14:textId="77777777" w:rsidR="00874916" w:rsidRPr="00B54118" w:rsidRDefault="00874916" w:rsidP="00EA28C4">
            <w:pPr>
              <w:jc w:val="center"/>
              <w:rPr>
                <w:color w:val="000000"/>
                <w:sz w:val="18"/>
                <w:szCs w:val="18"/>
              </w:rPr>
            </w:pPr>
            <w:r w:rsidRPr="00B54118">
              <w:rPr>
                <w:color w:val="000000"/>
                <w:sz w:val="18"/>
                <w:szCs w:val="18"/>
              </w:rPr>
              <w:t>9.27%</w:t>
            </w:r>
          </w:p>
        </w:tc>
        <w:tc>
          <w:tcPr>
            <w:tcW w:w="730" w:type="pct"/>
            <w:tcBorders>
              <w:top w:val="nil"/>
              <w:left w:val="nil"/>
              <w:bottom w:val="nil"/>
              <w:right w:val="nil"/>
            </w:tcBorders>
            <w:shd w:val="clear" w:color="auto" w:fill="auto"/>
            <w:noWrap/>
            <w:vAlign w:val="center"/>
            <w:hideMark/>
          </w:tcPr>
          <w:p w14:paraId="7CC49E14" w14:textId="77777777" w:rsidR="00874916" w:rsidRPr="00B54118" w:rsidRDefault="00874916" w:rsidP="00EA28C4">
            <w:pPr>
              <w:jc w:val="center"/>
              <w:rPr>
                <w:color w:val="000000"/>
                <w:sz w:val="18"/>
                <w:szCs w:val="18"/>
              </w:rPr>
            </w:pPr>
            <w:r w:rsidRPr="00B54118">
              <w:rPr>
                <w:color w:val="000000"/>
                <w:sz w:val="18"/>
                <w:szCs w:val="18"/>
              </w:rPr>
              <w:t>United Arab Emirates</w:t>
            </w:r>
          </w:p>
        </w:tc>
        <w:tc>
          <w:tcPr>
            <w:tcW w:w="560" w:type="pct"/>
            <w:tcBorders>
              <w:top w:val="nil"/>
              <w:left w:val="nil"/>
              <w:bottom w:val="nil"/>
              <w:right w:val="nil"/>
            </w:tcBorders>
            <w:shd w:val="clear" w:color="auto" w:fill="auto"/>
            <w:noWrap/>
            <w:vAlign w:val="center"/>
            <w:hideMark/>
          </w:tcPr>
          <w:p w14:paraId="1DF1707C" w14:textId="77777777" w:rsidR="00874916" w:rsidRPr="00B54118" w:rsidRDefault="00874916" w:rsidP="00EA28C4">
            <w:pPr>
              <w:jc w:val="center"/>
              <w:rPr>
                <w:color w:val="000000"/>
                <w:sz w:val="18"/>
                <w:szCs w:val="18"/>
              </w:rPr>
            </w:pPr>
            <w:r w:rsidRPr="00B54118">
              <w:rPr>
                <w:color w:val="000000"/>
                <w:sz w:val="18"/>
                <w:szCs w:val="18"/>
              </w:rPr>
              <w:t>26.25</w:t>
            </w:r>
          </w:p>
        </w:tc>
        <w:tc>
          <w:tcPr>
            <w:tcW w:w="377" w:type="pct"/>
            <w:tcBorders>
              <w:top w:val="nil"/>
              <w:left w:val="nil"/>
              <w:bottom w:val="nil"/>
              <w:right w:val="nil"/>
            </w:tcBorders>
            <w:shd w:val="clear" w:color="auto" w:fill="auto"/>
            <w:noWrap/>
            <w:vAlign w:val="center"/>
            <w:hideMark/>
          </w:tcPr>
          <w:p w14:paraId="52750B67" w14:textId="77777777" w:rsidR="00874916" w:rsidRPr="00B54118" w:rsidRDefault="00874916" w:rsidP="00EA28C4">
            <w:pPr>
              <w:jc w:val="center"/>
              <w:rPr>
                <w:color w:val="000000"/>
                <w:sz w:val="18"/>
                <w:szCs w:val="18"/>
              </w:rPr>
            </w:pPr>
            <w:r w:rsidRPr="00B54118">
              <w:rPr>
                <w:color w:val="000000"/>
                <w:sz w:val="18"/>
                <w:szCs w:val="18"/>
              </w:rPr>
              <w:t>10.30%</w:t>
            </w:r>
          </w:p>
        </w:tc>
      </w:tr>
      <w:tr w:rsidR="00874916" w:rsidRPr="00B54118" w14:paraId="45568560" w14:textId="77777777" w:rsidTr="00EA28C4">
        <w:trPr>
          <w:trHeight w:val="270"/>
          <w:jc w:val="center"/>
        </w:trPr>
        <w:tc>
          <w:tcPr>
            <w:tcW w:w="702" w:type="pct"/>
            <w:tcBorders>
              <w:top w:val="nil"/>
              <w:left w:val="nil"/>
              <w:bottom w:val="nil"/>
              <w:right w:val="nil"/>
            </w:tcBorders>
            <w:shd w:val="clear" w:color="auto" w:fill="auto"/>
            <w:noWrap/>
            <w:vAlign w:val="center"/>
            <w:hideMark/>
          </w:tcPr>
          <w:p w14:paraId="0670D889" w14:textId="77777777" w:rsidR="00874916" w:rsidRPr="00B54118" w:rsidRDefault="00874916" w:rsidP="00EA28C4">
            <w:pPr>
              <w:jc w:val="center"/>
              <w:rPr>
                <w:color w:val="000000"/>
                <w:sz w:val="18"/>
                <w:szCs w:val="18"/>
              </w:rPr>
            </w:pPr>
            <w:r w:rsidRPr="00B54118">
              <w:rPr>
                <w:color w:val="000000"/>
                <w:sz w:val="18"/>
                <w:szCs w:val="18"/>
              </w:rPr>
              <w:t>Pakistan</w:t>
            </w:r>
          </w:p>
        </w:tc>
        <w:tc>
          <w:tcPr>
            <w:tcW w:w="561" w:type="pct"/>
            <w:tcBorders>
              <w:top w:val="nil"/>
              <w:left w:val="nil"/>
              <w:bottom w:val="nil"/>
              <w:right w:val="nil"/>
            </w:tcBorders>
            <w:shd w:val="clear" w:color="auto" w:fill="auto"/>
            <w:noWrap/>
            <w:vAlign w:val="center"/>
            <w:hideMark/>
          </w:tcPr>
          <w:p w14:paraId="322FB964" w14:textId="77777777" w:rsidR="00874916" w:rsidRPr="00B54118" w:rsidRDefault="00874916" w:rsidP="00EA28C4">
            <w:pPr>
              <w:jc w:val="center"/>
              <w:rPr>
                <w:color w:val="000000"/>
                <w:sz w:val="18"/>
                <w:szCs w:val="18"/>
              </w:rPr>
            </w:pPr>
            <w:r w:rsidRPr="00B54118">
              <w:rPr>
                <w:color w:val="000000"/>
                <w:sz w:val="18"/>
                <w:szCs w:val="18"/>
              </w:rPr>
              <w:t>24.87</w:t>
            </w:r>
          </w:p>
        </w:tc>
        <w:tc>
          <w:tcPr>
            <w:tcW w:w="404" w:type="pct"/>
            <w:tcBorders>
              <w:top w:val="nil"/>
              <w:left w:val="nil"/>
              <w:bottom w:val="nil"/>
              <w:right w:val="single" w:sz="4" w:space="0" w:color="auto"/>
            </w:tcBorders>
            <w:shd w:val="clear" w:color="auto" w:fill="auto"/>
            <w:noWrap/>
            <w:vAlign w:val="center"/>
            <w:hideMark/>
          </w:tcPr>
          <w:p w14:paraId="6BE7FEF4" w14:textId="77777777" w:rsidR="00874916" w:rsidRPr="00B54118" w:rsidRDefault="00874916" w:rsidP="00EA28C4">
            <w:pPr>
              <w:jc w:val="center"/>
              <w:rPr>
                <w:color w:val="000000"/>
                <w:sz w:val="18"/>
                <w:szCs w:val="18"/>
              </w:rPr>
            </w:pPr>
            <w:r w:rsidRPr="00B54118">
              <w:rPr>
                <w:color w:val="000000"/>
                <w:sz w:val="18"/>
                <w:szCs w:val="18"/>
              </w:rPr>
              <w:t>9.61%</w:t>
            </w:r>
          </w:p>
        </w:tc>
        <w:tc>
          <w:tcPr>
            <w:tcW w:w="716" w:type="pct"/>
            <w:tcBorders>
              <w:top w:val="nil"/>
              <w:left w:val="nil"/>
              <w:bottom w:val="nil"/>
              <w:right w:val="nil"/>
            </w:tcBorders>
            <w:shd w:val="clear" w:color="auto" w:fill="auto"/>
            <w:noWrap/>
            <w:vAlign w:val="center"/>
            <w:hideMark/>
          </w:tcPr>
          <w:p w14:paraId="3E2CB760" w14:textId="77777777" w:rsidR="00874916" w:rsidRPr="00B54118" w:rsidRDefault="00874916" w:rsidP="00EA28C4">
            <w:pPr>
              <w:jc w:val="center"/>
              <w:rPr>
                <w:color w:val="000000"/>
                <w:sz w:val="18"/>
                <w:szCs w:val="18"/>
              </w:rPr>
            </w:pPr>
            <w:r w:rsidRPr="00B54118">
              <w:rPr>
                <w:color w:val="000000"/>
                <w:sz w:val="18"/>
                <w:szCs w:val="18"/>
              </w:rPr>
              <w:t>United Kingdom</w:t>
            </w:r>
          </w:p>
        </w:tc>
        <w:tc>
          <w:tcPr>
            <w:tcW w:w="559" w:type="pct"/>
            <w:tcBorders>
              <w:top w:val="nil"/>
              <w:left w:val="nil"/>
              <w:bottom w:val="nil"/>
              <w:right w:val="nil"/>
            </w:tcBorders>
            <w:shd w:val="clear" w:color="auto" w:fill="auto"/>
            <w:noWrap/>
            <w:vAlign w:val="center"/>
            <w:hideMark/>
          </w:tcPr>
          <w:p w14:paraId="5483A488" w14:textId="77777777" w:rsidR="00874916" w:rsidRPr="00B54118" w:rsidRDefault="00874916" w:rsidP="00EA28C4">
            <w:pPr>
              <w:jc w:val="center"/>
              <w:rPr>
                <w:color w:val="000000"/>
                <w:sz w:val="18"/>
                <w:szCs w:val="18"/>
              </w:rPr>
            </w:pPr>
            <w:r w:rsidRPr="00B54118">
              <w:rPr>
                <w:color w:val="000000"/>
                <w:sz w:val="18"/>
                <w:szCs w:val="18"/>
              </w:rPr>
              <w:t>20.85</w:t>
            </w:r>
          </w:p>
        </w:tc>
        <w:tc>
          <w:tcPr>
            <w:tcW w:w="391" w:type="pct"/>
            <w:tcBorders>
              <w:top w:val="nil"/>
              <w:left w:val="nil"/>
              <w:bottom w:val="nil"/>
              <w:right w:val="single" w:sz="4" w:space="0" w:color="auto"/>
            </w:tcBorders>
            <w:shd w:val="clear" w:color="auto" w:fill="auto"/>
            <w:noWrap/>
            <w:vAlign w:val="center"/>
            <w:hideMark/>
          </w:tcPr>
          <w:p w14:paraId="594BDA42" w14:textId="77777777" w:rsidR="00874916" w:rsidRPr="00B54118" w:rsidRDefault="00874916" w:rsidP="00EA28C4">
            <w:pPr>
              <w:jc w:val="center"/>
              <w:rPr>
                <w:color w:val="000000"/>
                <w:sz w:val="18"/>
                <w:szCs w:val="18"/>
              </w:rPr>
            </w:pPr>
            <w:r w:rsidRPr="00B54118">
              <w:rPr>
                <w:color w:val="000000"/>
                <w:sz w:val="18"/>
                <w:szCs w:val="18"/>
              </w:rPr>
              <w:t>8.74%</w:t>
            </w:r>
          </w:p>
        </w:tc>
        <w:tc>
          <w:tcPr>
            <w:tcW w:w="730" w:type="pct"/>
            <w:tcBorders>
              <w:top w:val="nil"/>
              <w:left w:val="nil"/>
              <w:bottom w:val="nil"/>
              <w:right w:val="nil"/>
            </w:tcBorders>
            <w:shd w:val="clear" w:color="auto" w:fill="auto"/>
            <w:noWrap/>
            <w:vAlign w:val="center"/>
            <w:hideMark/>
          </w:tcPr>
          <w:p w14:paraId="4E01028C" w14:textId="77777777" w:rsidR="00874916" w:rsidRPr="00B54118" w:rsidRDefault="00874916" w:rsidP="00EA28C4">
            <w:pPr>
              <w:jc w:val="center"/>
              <w:rPr>
                <w:color w:val="000000"/>
                <w:sz w:val="18"/>
                <w:szCs w:val="18"/>
              </w:rPr>
            </w:pPr>
            <w:r w:rsidRPr="00B54118">
              <w:rPr>
                <w:color w:val="000000"/>
                <w:sz w:val="18"/>
                <w:szCs w:val="18"/>
              </w:rPr>
              <w:t>Iran, Islamic Republic of</w:t>
            </w:r>
          </w:p>
        </w:tc>
        <w:tc>
          <w:tcPr>
            <w:tcW w:w="560" w:type="pct"/>
            <w:tcBorders>
              <w:top w:val="nil"/>
              <w:left w:val="nil"/>
              <w:bottom w:val="nil"/>
              <w:right w:val="nil"/>
            </w:tcBorders>
            <w:shd w:val="clear" w:color="auto" w:fill="auto"/>
            <w:noWrap/>
            <w:vAlign w:val="center"/>
            <w:hideMark/>
          </w:tcPr>
          <w:p w14:paraId="17CB9645" w14:textId="77777777" w:rsidR="00874916" w:rsidRPr="00B54118" w:rsidRDefault="00874916" w:rsidP="00EA28C4">
            <w:pPr>
              <w:jc w:val="center"/>
              <w:rPr>
                <w:color w:val="000000"/>
                <w:sz w:val="18"/>
                <w:szCs w:val="18"/>
              </w:rPr>
            </w:pPr>
            <w:r w:rsidRPr="00B54118">
              <w:rPr>
                <w:color w:val="000000"/>
                <w:sz w:val="18"/>
                <w:szCs w:val="18"/>
              </w:rPr>
              <w:t>26.19</w:t>
            </w:r>
          </w:p>
        </w:tc>
        <w:tc>
          <w:tcPr>
            <w:tcW w:w="377" w:type="pct"/>
            <w:tcBorders>
              <w:top w:val="nil"/>
              <w:left w:val="nil"/>
              <w:bottom w:val="nil"/>
              <w:right w:val="nil"/>
            </w:tcBorders>
            <w:shd w:val="clear" w:color="auto" w:fill="auto"/>
            <w:noWrap/>
            <w:vAlign w:val="center"/>
            <w:hideMark/>
          </w:tcPr>
          <w:p w14:paraId="78508DA2" w14:textId="77777777" w:rsidR="00874916" w:rsidRPr="00B54118" w:rsidRDefault="00874916" w:rsidP="00EA28C4">
            <w:pPr>
              <w:jc w:val="center"/>
              <w:rPr>
                <w:color w:val="000000"/>
                <w:sz w:val="18"/>
                <w:szCs w:val="18"/>
              </w:rPr>
            </w:pPr>
            <w:r w:rsidRPr="00B54118">
              <w:rPr>
                <w:color w:val="000000"/>
                <w:sz w:val="18"/>
                <w:szCs w:val="18"/>
              </w:rPr>
              <w:t>10.28%</w:t>
            </w:r>
          </w:p>
        </w:tc>
      </w:tr>
      <w:tr w:rsidR="00874916" w:rsidRPr="00B54118" w14:paraId="19F062F8" w14:textId="77777777" w:rsidTr="00EA28C4">
        <w:trPr>
          <w:trHeight w:val="270"/>
          <w:jc w:val="center"/>
        </w:trPr>
        <w:tc>
          <w:tcPr>
            <w:tcW w:w="702" w:type="pct"/>
            <w:tcBorders>
              <w:top w:val="nil"/>
              <w:left w:val="nil"/>
              <w:bottom w:val="nil"/>
              <w:right w:val="nil"/>
            </w:tcBorders>
            <w:shd w:val="clear" w:color="auto" w:fill="auto"/>
            <w:noWrap/>
            <w:vAlign w:val="center"/>
            <w:hideMark/>
          </w:tcPr>
          <w:p w14:paraId="234781BA" w14:textId="77777777" w:rsidR="00874916" w:rsidRPr="00B54118" w:rsidRDefault="00874916" w:rsidP="00EA28C4">
            <w:pPr>
              <w:jc w:val="center"/>
              <w:rPr>
                <w:color w:val="000000"/>
                <w:sz w:val="18"/>
                <w:szCs w:val="18"/>
              </w:rPr>
            </w:pPr>
            <w:r w:rsidRPr="00B54118">
              <w:rPr>
                <w:color w:val="000000"/>
                <w:sz w:val="18"/>
                <w:szCs w:val="18"/>
              </w:rPr>
              <w:t>United Arab Emirates</w:t>
            </w:r>
          </w:p>
        </w:tc>
        <w:tc>
          <w:tcPr>
            <w:tcW w:w="561" w:type="pct"/>
            <w:tcBorders>
              <w:top w:val="nil"/>
              <w:left w:val="nil"/>
              <w:bottom w:val="nil"/>
              <w:right w:val="nil"/>
            </w:tcBorders>
            <w:shd w:val="clear" w:color="auto" w:fill="auto"/>
            <w:noWrap/>
            <w:vAlign w:val="center"/>
            <w:hideMark/>
          </w:tcPr>
          <w:p w14:paraId="09488BD9" w14:textId="77777777" w:rsidR="00874916" w:rsidRPr="00B54118" w:rsidRDefault="00874916" w:rsidP="00EA28C4">
            <w:pPr>
              <w:jc w:val="center"/>
              <w:rPr>
                <w:color w:val="000000"/>
                <w:sz w:val="18"/>
                <w:szCs w:val="18"/>
              </w:rPr>
            </w:pPr>
            <w:r w:rsidRPr="00B54118">
              <w:rPr>
                <w:color w:val="000000"/>
                <w:sz w:val="18"/>
                <w:szCs w:val="18"/>
              </w:rPr>
              <w:t>22.29</w:t>
            </w:r>
          </w:p>
        </w:tc>
        <w:tc>
          <w:tcPr>
            <w:tcW w:w="404" w:type="pct"/>
            <w:tcBorders>
              <w:top w:val="nil"/>
              <w:left w:val="nil"/>
              <w:bottom w:val="nil"/>
              <w:right w:val="single" w:sz="4" w:space="0" w:color="auto"/>
            </w:tcBorders>
            <w:shd w:val="clear" w:color="auto" w:fill="auto"/>
            <w:noWrap/>
            <w:vAlign w:val="center"/>
            <w:hideMark/>
          </w:tcPr>
          <w:p w14:paraId="3F29BE0D" w14:textId="77777777" w:rsidR="00874916" w:rsidRPr="00B54118" w:rsidRDefault="00874916" w:rsidP="00EA28C4">
            <w:pPr>
              <w:jc w:val="center"/>
              <w:rPr>
                <w:color w:val="000000"/>
                <w:sz w:val="18"/>
                <w:szCs w:val="18"/>
              </w:rPr>
            </w:pPr>
            <w:r w:rsidRPr="00B54118">
              <w:rPr>
                <w:color w:val="000000"/>
                <w:sz w:val="18"/>
                <w:szCs w:val="18"/>
              </w:rPr>
              <w:t>8.61%</w:t>
            </w:r>
          </w:p>
        </w:tc>
        <w:tc>
          <w:tcPr>
            <w:tcW w:w="716" w:type="pct"/>
            <w:tcBorders>
              <w:top w:val="nil"/>
              <w:left w:val="nil"/>
              <w:bottom w:val="nil"/>
              <w:right w:val="nil"/>
            </w:tcBorders>
            <w:shd w:val="clear" w:color="auto" w:fill="auto"/>
            <w:noWrap/>
            <w:vAlign w:val="center"/>
            <w:hideMark/>
          </w:tcPr>
          <w:p w14:paraId="3F6CD7BB" w14:textId="77777777" w:rsidR="00874916" w:rsidRPr="00B54118" w:rsidRDefault="00874916" w:rsidP="00EA28C4">
            <w:pPr>
              <w:jc w:val="center"/>
              <w:rPr>
                <w:color w:val="000000"/>
                <w:sz w:val="18"/>
                <w:szCs w:val="18"/>
              </w:rPr>
            </w:pPr>
            <w:r w:rsidRPr="00B54118">
              <w:rPr>
                <w:color w:val="000000"/>
                <w:sz w:val="18"/>
                <w:szCs w:val="18"/>
              </w:rPr>
              <w:t>United Arab Emirates</w:t>
            </w:r>
          </w:p>
        </w:tc>
        <w:tc>
          <w:tcPr>
            <w:tcW w:w="559" w:type="pct"/>
            <w:tcBorders>
              <w:top w:val="nil"/>
              <w:left w:val="nil"/>
              <w:bottom w:val="nil"/>
              <w:right w:val="nil"/>
            </w:tcBorders>
            <w:shd w:val="clear" w:color="auto" w:fill="auto"/>
            <w:noWrap/>
            <w:vAlign w:val="center"/>
            <w:hideMark/>
          </w:tcPr>
          <w:p w14:paraId="4D9D070F" w14:textId="77777777" w:rsidR="00874916" w:rsidRPr="00B54118" w:rsidRDefault="00874916" w:rsidP="00EA28C4">
            <w:pPr>
              <w:jc w:val="center"/>
              <w:rPr>
                <w:color w:val="000000"/>
                <w:sz w:val="18"/>
                <w:szCs w:val="18"/>
              </w:rPr>
            </w:pPr>
            <w:r w:rsidRPr="00B54118">
              <w:rPr>
                <w:color w:val="000000"/>
                <w:sz w:val="18"/>
                <w:szCs w:val="18"/>
              </w:rPr>
              <w:t>19.68</w:t>
            </w:r>
          </w:p>
        </w:tc>
        <w:tc>
          <w:tcPr>
            <w:tcW w:w="391" w:type="pct"/>
            <w:tcBorders>
              <w:top w:val="nil"/>
              <w:left w:val="nil"/>
              <w:bottom w:val="nil"/>
              <w:right w:val="single" w:sz="4" w:space="0" w:color="auto"/>
            </w:tcBorders>
            <w:shd w:val="clear" w:color="auto" w:fill="auto"/>
            <w:noWrap/>
            <w:vAlign w:val="center"/>
            <w:hideMark/>
          </w:tcPr>
          <w:p w14:paraId="1C24BA65" w14:textId="77777777" w:rsidR="00874916" w:rsidRPr="00B54118" w:rsidRDefault="00874916" w:rsidP="00EA28C4">
            <w:pPr>
              <w:jc w:val="center"/>
              <w:rPr>
                <w:color w:val="000000"/>
                <w:sz w:val="18"/>
                <w:szCs w:val="18"/>
              </w:rPr>
            </w:pPr>
            <w:r w:rsidRPr="00B54118">
              <w:rPr>
                <w:color w:val="000000"/>
                <w:sz w:val="18"/>
                <w:szCs w:val="18"/>
              </w:rPr>
              <w:t>6.43%</w:t>
            </w:r>
          </w:p>
        </w:tc>
        <w:tc>
          <w:tcPr>
            <w:tcW w:w="730" w:type="pct"/>
            <w:tcBorders>
              <w:top w:val="nil"/>
              <w:left w:val="nil"/>
              <w:bottom w:val="nil"/>
              <w:right w:val="nil"/>
            </w:tcBorders>
            <w:shd w:val="clear" w:color="auto" w:fill="auto"/>
            <w:noWrap/>
            <w:vAlign w:val="center"/>
            <w:hideMark/>
          </w:tcPr>
          <w:p w14:paraId="480F7667" w14:textId="77777777" w:rsidR="00874916" w:rsidRPr="00B54118" w:rsidRDefault="00874916" w:rsidP="00EA28C4">
            <w:pPr>
              <w:jc w:val="center"/>
              <w:rPr>
                <w:color w:val="000000"/>
                <w:sz w:val="18"/>
                <w:szCs w:val="18"/>
              </w:rPr>
            </w:pPr>
            <w:r w:rsidRPr="00B54118">
              <w:rPr>
                <w:color w:val="000000"/>
                <w:sz w:val="18"/>
                <w:szCs w:val="18"/>
              </w:rPr>
              <w:t>Pakistan</w:t>
            </w:r>
          </w:p>
        </w:tc>
        <w:tc>
          <w:tcPr>
            <w:tcW w:w="560" w:type="pct"/>
            <w:tcBorders>
              <w:top w:val="nil"/>
              <w:left w:val="nil"/>
              <w:bottom w:val="nil"/>
              <w:right w:val="nil"/>
            </w:tcBorders>
            <w:shd w:val="clear" w:color="auto" w:fill="auto"/>
            <w:noWrap/>
            <w:vAlign w:val="center"/>
            <w:hideMark/>
          </w:tcPr>
          <w:p w14:paraId="143E32B9" w14:textId="77777777" w:rsidR="00874916" w:rsidRPr="00B54118" w:rsidRDefault="00874916" w:rsidP="00EA28C4">
            <w:pPr>
              <w:jc w:val="center"/>
              <w:rPr>
                <w:color w:val="000000"/>
                <w:sz w:val="18"/>
                <w:szCs w:val="18"/>
              </w:rPr>
            </w:pPr>
            <w:r w:rsidRPr="00B54118">
              <w:rPr>
                <w:color w:val="000000"/>
                <w:sz w:val="18"/>
                <w:szCs w:val="18"/>
              </w:rPr>
              <w:t>22.12</w:t>
            </w:r>
          </w:p>
        </w:tc>
        <w:tc>
          <w:tcPr>
            <w:tcW w:w="377" w:type="pct"/>
            <w:tcBorders>
              <w:top w:val="nil"/>
              <w:left w:val="nil"/>
              <w:bottom w:val="nil"/>
              <w:right w:val="nil"/>
            </w:tcBorders>
            <w:shd w:val="clear" w:color="auto" w:fill="auto"/>
            <w:noWrap/>
            <w:vAlign w:val="center"/>
            <w:hideMark/>
          </w:tcPr>
          <w:p w14:paraId="312CACDD" w14:textId="77777777" w:rsidR="00874916" w:rsidRPr="00B54118" w:rsidRDefault="00874916" w:rsidP="00EA28C4">
            <w:pPr>
              <w:jc w:val="center"/>
              <w:rPr>
                <w:color w:val="000000"/>
                <w:sz w:val="18"/>
                <w:szCs w:val="18"/>
              </w:rPr>
            </w:pPr>
            <w:r w:rsidRPr="00B54118">
              <w:rPr>
                <w:color w:val="000000"/>
                <w:sz w:val="18"/>
                <w:szCs w:val="18"/>
              </w:rPr>
              <w:t>8.68%</w:t>
            </w:r>
          </w:p>
        </w:tc>
      </w:tr>
      <w:tr w:rsidR="00874916" w:rsidRPr="00B54118" w14:paraId="115B335F" w14:textId="77777777" w:rsidTr="00EA28C4">
        <w:trPr>
          <w:trHeight w:val="270"/>
          <w:jc w:val="center"/>
        </w:trPr>
        <w:tc>
          <w:tcPr>
            <w:tcW w:w="702" w:type="pct"/>
            <w:tcBorders>
              <w:top w:val="nil"/>
              <w:left w:val="nil"/>
              <w:bottom w:val="nil"/>
              <w:right w:val="nil"/>
            </w:tcBorders>
            <w:shd w:val="clear" w:color="auto" w:fill="auto"/>
            <w:noWrap/>
            <w:vAlign w:val="center"/>
            <w:hideMark/>
          </w:tcPr>
          <w:p w14:paraId="36117EEA" w14:textId="77777777" w:rsidR="00874916" w:rsidRPr="00B54118" w:rsidRDefault="00874916" w:rsidP="00EA28C4">
            <w:pPr>
              <w:jc w:val="center"/>
              <w:rPr>
                <w:color w:val="000000"/>
                <w:sz w:val="18"/>
                <w:szCs w:val="18"/>
              </w:rPr>
            </w:pPr>
            <w:r w:rsidRPr="00B54118">
              <w:rPr>
                <w:color w:val="000000"/>
                <w:sz w:val="18"/>
                <w:szCs w:val="18"/>
              </w:rPr>
              <w:t>Kazakhstan</w:t>
            </w:r>
          </w:p>
        </w:tc>
        <w:tc>
          <w:tcPr>
            <w:tcW w:w="561" w:type="pct"/>
            <w:tcBorders>
              <w:top w:val="nil"/>
              <w:left w:val="nil"/>
              <w:bottom w:val="nil"/>
              <w:right w:val="nil"/>
            </w:tcBorders>
            <w:shd w:val="clear" w:color="auto" w:fill="auto"/>
            <w:noWrap/>
            <w:vAlign w:val="center"/>
            <w:hideMark/>
          </w:tcPr>
          <w:p w14:paraId="583EA109" w14:textId="77777777" w:rsidR="00874916" w:rsidRPr="00B54118" w:rsidRDefault="00874916" w:rsidP="00EA28C4">
            <w:pPr>
              <w:jc w:val="center"/>
              <w:rPr>
                <w:color w:val="000000"/>
                <w:sz w:val="18"/>
                <w:szCs w:val="18"/>
              </w:rPr>
            </w:pPr>
            <w:r w:rsidRPr="00B54118">
              <w:rPr>
                <w:color w:val="000000"/>
                <w:sz w:val="18"/>
                <w:szCs w:val="18"/>
              </w:rPr>
              <w:t>16.65</w:t>
            </w:r>
          </w:p>
        </w:tc>
        <w:tc>
          <w:tcPr>
            <w:tcW w:w="404" w:type="pct"/>
            <w:tcBorders>
              <w:top w:val="nil"/>
              <w:left w:val="nil"/>
              <w:bottom w:val="nil"/>
              <w:right w:val="single" w:sz="4" w:space="0" w:color="auto"/>
            </w:tcBorders>
            <w:shd w:val="clear" w:color="auto" w:fill="auto"/>
            <w:noWrap/>
            <w:vAlign w:val="center"/>
            <w:hideMark/>
          </w:tcPr>
          <w:p w14:paraId="75B4C1CA" w14:textId="77777777" w:rsidR="00874916" w:rsidRPr="00B54118" w:rsidRDefault="00874916" w:rsidP="00EA28C4">
            <w:pPr>
              <w:jc w:val="center"/>
              <w:rPr>
                <w:color w:val="000000"/>
                <w:sz w:val="18"/>
                <w:szCs w:val="18"/>
              </w:rPr>
            </w:pPr>
            <w:r w:rsidRPr="00B54118">
              <w:rPr>
                <w:color w:val="000000"/>
                <w:sz w:val="18"/>
                <w:szCs w:val="18"/>
              </w:rPr>
              <w:t>6.44%</w:t>
            </w:r>
          </w:p>
        </w:tc>
        <w:tc>
          <w:tcPr>
            <w:tcW w:w="716" w:type="pct"/>
            <w:tcBorders>
              <w:top w:val="nil"/>
              <w:left w:val="nil"/>
              <w:bottom w:val="nil"/>
              <w:right w:val="nil"/>
            </w:tcBorders>
            <w:shd w:val="clear" w:color="auto" w:fill="auto"/>
            <w:noWrap/>
            <w:vAlign w:val="center"/>
            <w:hideMark/>
          </w:tcPr>
          <w:p w14:paraId="327B5553" w14:textId="77777777" w:rsidR="00874916" w:rsidRPr="00B54118" w:rsidRDefault="00874916" w:rsidP="00EA28C4">
            <w:pPr>
              <w:jc w:val="center"/>
              <w:rPr>
                <w:color w:val="000000"/>
                <w:sz w:val="18"/>
                <w:szCs w:val="18"/>
              </w:rPr>
            </w:pPr>
            <w:r w:rsidRPr="00B54118">
              <w:rPr>
                <w:color w:val="000000"/>
                <w:sz w:val="18"/>
                <w:szCs w:val="18"/>
              </w:rPr>
              <w:t>Kazakhstan</w:t>
            </w:r>
          </w:p>
        </w:tc>
        <w:tc>
          <w:tcPr>
            <w:tcW w:w="559" w:type="pct"/>
            <w:tcBorders>
              <w:top w:val="nil"/>
              <w:left w:val="nil"/>
              <w:bottom w:val="nil"/>
              <w:right w:val="nil"/>
            </w:tcBorders>
            <w:shd w:val="clear" w:color="auto" w:fill="auto"/>
            <w:noWrap/>
            <w:vAlign w:val="center"/>
            <w:hideMark/>
          </w:tcPr>
          <w:p w14:paraId="40851D34" w14:textId="77777777" w:rsidR="00874916" w:rsidRPr="00B54118" w:rsidRDefault="00874916" w:rsidP="00EA28C4">
            <w:pPr>
              <w:jc w:val="center"/>
              <w:rPr>
                <w:color w:val="000000"/>
                <w:sz w:val="18"/>
                <w:szCs w:val="18"/>
              </w:rPr>
            </w:pPr>
            <w:r w:rsidRPr="00B54118">
              <w:rPr>
                <w:color w:val="000000"/>
                <w:sz w:val="18"/>
                <w:szCs w:val="18"/>
              </w:rPr>
              <w:t>14.48</w:t>
            </w:r>
          </w:p>
        </w:tc>
        <w:tc>
          <w:tcPr>
            <w:tcW w:w="391" w:type="pct"/>
            <w:tcBorders>
              <w:top w:val="nil"/>
              <w:left w:val="nil"/>
              <w:bottom w:val="nil"/>
              <w:right w:val="single" w:sz="4" w:space="0" w:color="auto"/>
            </w:tcBorders>
            <w:shd w:val="clear" w:color="auto" w:fill="auto"/>
            <w:noWrap/>
            <w:vAlign w:val="center"/>
            <w:hideMark/>
          </w:tcPr>
          <w:p w14:paraId="4DBE3BBE" w14:textId="77777777" w:rsidR="00874916" w:rsidRPr="00B54118" w:rsidRDefault="00874916" w:rsidP="00EA28C4">
            <w:pPr>
              <w:jc w:val="center"/>
              <w:rPr>
                <w:color w:val="000000"/>
                <w:sz w:val="18"/>
                <w:szCs w:val="18"/>
              </w:rPr>
            </w:pPr>
            <w:r w:rsidRPr="00B54118">
              <w:rPr>
                <w:color w:val="000000"/>
                <w:sz w:val="18"/>
                <w:szCs w:val="18"/>
              </w:rPr>
              <w:t>6.20%</w:t>
            </w:r>
          </w:p>
        </w:tc>
        <w:tc>
          <w:tcPr>
            <w:tcW w:w="730" w:type="pct"/>
            <w:tcBorders>
              <w:top w:val="nil"/>
              <w:left w:val="nil"/>
              <w:bottom w:val="nil"/>
              <w:right w:val="nil"/>
            </w:tcBorders>
            <w:shd w:val="clear" w:color="auto" w:fill="auto"/>
            <w:noWrap/>
            <w:vAlign w:val="center"/>
            <w:hideMark/>
          </w:tcPr>
          <w:p w14:paraId="1606B86D" w14:textId="77777777" w:rsidR="00874916" w:rsidRPr="00B54118" w:rsidRDefault="00874916" w:rsidP="00EA28C4">
            <w:pPr>
              <w:jc w:val="center"/>
              <w:rPr>
                <w:color w:val="000000"/>
                <w:sz w:val="18"/>
                <w:szCs w:val="18"/>
              </w:rPr>
            </w:pPr>
            <w:r w:rsidRPr="00B54118">
              <w:rPr>
                <w:color w:val="000000"/>
                <w:sz w:val="18"/>
                <w:szCs w:val="18"/>
              </w:rPr>
              <w:t>United Kingdom</w:t>
            </w:r>
          </w:p>
        </w:tc>
        <w:tc>
          <w:tcPr>
            <w:tcW w:w="560" w:type="pct"/>
            <w:tcBorders>
              <w:top w:val="nil"/>
              <w:left w:val="nil"/>
              <w:bottom w:val="nil"/>
              <w:right w:val="nil"/>
            </w:tcBorders>
            <w:shd w:val="clear" w:color="auto" w:fill="auto"/>
            <w:noWrap/>
            <w:vAlign w:val="center"/>
            <w:hideMark/>
          </w:tcPr>
          <w:p w14:paraId="1ADDDD41" w14:textId="77777777" w:rsidR="00874916" w:rsidRPr="00B54118" w:rsidRDefault="00874916" w:rsidP="00EA28C4">
            <w:pPr>
              <w:jc w:val="center"/>
              <w:rPr>
                <w:color w:val="000000"/>
                <w:sz w:val="18"/>
                <w:szCs w:val="18"/>
              </w:rPr>
            </w:pPr>
            <w:r w:rsidRPr="00B54118">
              <w:rPr>
                <w:color w:val="000000"/>
                <w:sz w:val="18"/>
                <w:szCs w:val="18"/>
              </w:rPr>
              <w:t>18.32</w:t>
            </w:r>
          </w:p>
        </w:tc>
        <w:tc>
          <w:tcPr>
            <w:tcW w:w="377" w:type="pct"/>
            <w:tcBorders>
              <w:top w:val="nil"/>
              <w:left w:val="nil"/>
              <w:bottom w:val="nil"/>
              <w:right w:val="nil"/>
            </w:tcBorders>
            <w:shd w:val="clear" w:color="auto" w:fill="auto"/>
            <w:noWrap/>
            <w:vAlign w:val="center"/>
            <w:hideMark/>
          </w:tcPr>
          <w:p w14:paraId="4C7DCE2B" w14:textId="77777777" w:rsidR="00874916" w:rsidRPr="00B54118" w:rsidRDefault="00874916" w:rsidP="00EA28C4">
            <w:pPr>
              <w:jc w:val="center"/>
              <w:rPr>
                <w:color w:val="000000"/>
                <w:sz w:val="18"/>
                <w:szCs w:val="18"/>
              </w:rPr>
            </w:pPr>
            <w:r w:rsidRPr="00B54118">
              <w:rPr>
                <w:color w:val="000000"/>
                <w:sz w:val="18"/>
                <w:szCs w:val="18"/>
              </w:rPr>
              <w:t>7.19%</w:t>
            </w:r>
          </w:p>
        </w:tc>
      </w:tr>
      <w:tr w:rsidR="00874916" w:rsidRPr="00B54118" w14:paraId="47DBDF02" w14:textId="77777777" w:rsidTr="00EA28C4">
        <w:trPr>
          <w:trHeight w:val="270"/>
          <w:jc w:val="center"/>
        </w:trPr>
        <w:tc>
          <w:tcPr>
            <w:tcW w:w="702" w:type="pct"/>
            <w:tcBorders>
              <w:top w:val="nil"/>
              <w:left w:val="nil"/>
              <w:bottom w:val="nil"/>
              <w:right w:val="nil"/>
            </w:tcBorders>
            <w:shd w:val="clear" w:color="auto" w:fill="auto"/>
            <w:noWrap/>
            <w:vAlign w:val="center"/>
            <w:hideMark/>
          </w:tcPr>
          <w:p w14:paraId="72CE7EA1" w14:textId="77777777" w:rsidR="00874916" w:rsidRPr="00B54118" w:rsidRDefault="00874916" w:rsidP="00EA28C4">
            <w:pPr>
              <w:jc w:val="center"/>
              <w:rPr>
                <w:color w:val="000000"/>
                <w:sz w:val="18"/>
                <w:szCs w:val="18"/>
              </w:rPr>
            </w:pPr>
            <w:r w:rsidRPr="00B54118">
              <w:rPr>
                <w:color w:val="000000"/>
                <w:sz w:val="18"/>
                <w:szCs w:val="18"/>
              </w:rPr>
              <w:t>United States of America</w:t>
            </w:r>
          </w:p>
        </w:tc>
        <w:tc>
          <w:tcPr>
            <w:tcW w:w="561" w:type="pct"/>
            <w:tcBorders>
              <w:top w:val="nil"/>
              <w:left w:val="nil"/>
              <w:bottom w:val="nil"/>
              <w:right w:val="nil"/>
            </w:tcBorders>
            <w:shd w:val="clear" w:color="auto" w:fill="auto"/>
            <w:noWrap/>
            <w:vAlign w:val="center"/>
            <w:hideMark/>
          </w:tcPr>
          <w:p w14:paraId="76DCCC63" w14:textId="77777777" w:rsidR="00874916" w:rsidRPr="00B54118" w:rsidRDefault="00874916" w:rsidP="00EA28C4">
            <w:pPr>
              <w:jc w:val="center"/>
              <w:rPr>
                <w:color w:val="000000"/>
                <w:sz w:val="18"/>
                <w:szCs w:val="18"/>
              </w:rPr>
            </w:pPr>
            <w:r w:rsidRPr="00B54118">
              <w:rPr>
                <w:color w:val="000000"/>
                <w:sz w:val="18"/>
                <w:szCs w:val="18"/>
              </w:rPr>
              <w:t>16.22</w:t>
            </w:r>
          </w:p>
        </w:tc>
        <w:tc>
          <w:tcPr>
            <w:tcW w:w="404" w:type="pct"/>
            <w:tcBorders>
              <w:top w:val="nil"/>
              <w:left w:val="nil"/>
              <w:bottom w:val="nil"/>
              <w:right w:val="single" w:sz="4" w:space="0" w:color="auto"/>
            </w:tcBorders>
            <w:shd w:val="clear" w:color="auto" w:fill="auto"/>
            <w:noWrap/>
            <w:vAlign w:val="center"/>
            <w:hideMark/>
          </w:tcPr>
          <w:p w14:paraId="0F99F35F" w14:textId="77777777" w:rsidR="00874916" w:rsidRPr="00B54118" w:rsidRDefault="00874916" w:rsidP="00EA28C4">
            <w:pPr>
              <w:jc w:val="center"/>
              <w:rPr>
                <w:color w:val="000000"/>
                <w:sz w:val="18"/>
                <w:szCs w:val="18"/>
              </w:rPr>
            </w:pPr>
            <w:r w:rsidRPr="00B54118">
              <w:rPr>
                <w:color w:val="000000"/>
                <w:sz w:val="18"/>
                <w:szCs w:val="18"/>
              </w:rPr>
              <w:t>6.27%</w:t>
            </w:r>
          </w:p>
        </w:tc>
        <w:tc>
          <w:tcPr>
            <w:tcW w:w="716" w:type="pct"/>
            <w:tcBorders>
              <w:top w:val="nil"/>
              <w:left w:val="nil"/>
              <w:bottom w:val="nil"/>
              <w:right w:val="nil"/>
            </w:tcBorders>
            <w:shd w:val="clear" w:color="auto" w:fill="auto"/>
            <w:noWrap/>
            <w:vAlign w:val="center"/>
            <w:hideMark/>
          </w:tcPr>
          <w:p w14:paraId="201A2B4D" w14:textId="77777777" w:rsidR="00874916" w:rsidRPr="00B54118" w:rsidRDefault="00874916" w:rsidP="00EA28C4">
            <w:pPr>
              <w:jc w:val="center"/>
              <w:rPr>
                <w:color w:val="000000"/>
                <w:sz w:val="18"/>
                <w:szCs w:val="18"/>
              </w:rPr>
            </w:pPr>
            <w:r w:rsidRPr="00B54118">
              <w:rPr>
                <w:color w:val="000000"/>
                <w:sz w:val="18"/>
                <w:szCs w:val="18"/>
              </w:rPr>
              <w:t>United States of America</w:t>
            </w:r>
          </w:p>
        </w:tc>
        <w:tc>
          <w:tcPr>
            <w:tcW w:w="559" w:type="pct"/>
            <w:tcBorders>
              <w:top w:val="nil"/>
              <w:left w:val="nil"/>
              <w:bottom w:val="nil"/>
              <w:right w:val="nil"/>
            </w:tcBorders>
            <w:shd w:val="clear" w:color="auto" w:fill="auto"/>
            <w:noWrap/>
            <w:vAlign w:val="center"/>
            <w:hideMark/>
          </w:tcPr>
          <w:p w14:paraId="26FBEDC2" w14:textId="77777777" w:rsidR="00874916" w:rsidRPr="00B54118" w:rsidRDefault="00874916" w:rsidP="00EA28C4">
            <w:pPr>
              <w:jc w:val="center"/>
              <w:rPr>
                <w:color w:val="000000"/>
                <w:sz w:val="18"/>
                <w:szCs w:val="18"/>
              </w:rPr>
            </w:pPr>
            <w:r w:rsidRPr="00B54118">
              <w:rPr>
                <w:color w:val="000000"/>
                <w:sz w:val="18"/>
                <w:szCs w:val="18"/>
              </w:rPr>
              <w:t>13.97</w:t>
            </w:r>
          </w:p>
        </w:tc>
        <w:tc>
          <w:tcPr>
            <w:tcW w:w="391" w:type="pct"/>
            <w:tcBorders>
              <w:top w:val="nil"/>
              <w:left w:val="nil"/>
              <w:bottom w:val="nil"/>
              <w:right w:val="single" w:sz="4" w:space="0" w:color="auto"/>
            </w:tcBorders>
            <w:shd w:val="clear" w:color="auto" w:fill="auto"/>
            <w:noWrap/>
            <w:vAlign w:val="center"/>
            <w:hideMark/>
          </w:tcPr>
          <w:p w14:paraId="29DCFB94" w14:textId="77777777" w:rsidR="00874916" w:rsidRPr="00B54118" w:rsidRDefault="00874916" w:rsidP="00EA28C4">
            <w:pPr>
              <w:jc w:val="center"/>
              <w:rPr>
                <w:color w:val="000000"/>
                <w:sz w:val="18"/>
                <w:szCs w:val="18"/>
              </w:rPr>
            </w:pPr>
            <w:r w:rsidRPr="00B54118">
              <w:rPr>
                <w:color w:val="000000"/>
                <w:sz w:val="18"/>
                <w:szCs w:val="18"/>
              </w:rPr>
              <w:t>6.20%</w:t>
            </w:r>
          </w:p>
        </w:tc>
        <w:tc>
          <w:tcPr>
            <w:tcW w:w="730" w:type="pct"/>
            <w:tcBorders>
              <w:top w:val="nil"/>
              <w:left w:val="nil"/>
              <w:bottom w:val="nil"/>
              <w:right w:val="nil"/>
            </w:tcBorders>
            <w:shd w:val="clear" w:color="auto" w:fill="auto"/>
            <w:noWrap/>
            <w:vAlign w:val="center"/>
            <w:hideMark/>
          </w:tcPr>
          <w:p w14:paraId="1DAC16EA" w14:textId="77777777" w:rsidR="00874916" w:rsidRPr="00B54118" w:rsidRDefault="00874916" w:rsidP="00EA28C4">
            <w:pPr>
              <w:jc w:val="center"/>
              <w:rPr>
                <w:color w:val="000000"/>
                <w:sz w:val="18"/>
                <w:szCs w:val="18"/>
              </w:rPr>
            </w:pPr>
            <w:r w:rsidRPr="00B54118">
              <w:rPr>
                <w:color w:val="000000"/>
                <w:sz w:val="18"/>
                <w:szCs w:val="18"/>
              </w:rPr>
              <w:t>United States of America</w:t>
            </w:r>
          </w:p>
        </w:tc>
        <w:tc>
          <w:tcPr>
            <w:tcW w:w="560" w:type="pct"/>
            <w:tcBorders>
              <w:top w:val="nil"/>
              <w:left w:val="nil"/>
              <w:bottom w:val="nil"/>
              <w:right w:val="nil"/>
            </w:tcBorders>
            <w:shd w:val="clear" w:color="auto" w:fill="auto"/>
            <w:noWrap/>
            <w:vAlign w:val="center"/>
            <w:hideMark/>
          </w:tcPr>
          <w:p w14:paraId="6DF7C0AF" w14:textId="77777777" w:rsidR="00874916" w:rsidRPr="00B54118" w:rsidRDefault="00874916" w:rsidP="00EA28C4">
            <w:pPr>
              <w:jc w:val="center"/>
              <w:rPr>
                <w:color w:val="000000"/>
                <w:sz w:val="18"/>
                <w:szCs w:val="18"/>
              </w:rPr>
            </w:pPr>
            <w:r w:rsidRPr="00B54118">
              <w:rPr>
                <w:color w:val="000000"/>
                <w:sz w:val="18"/>
                <w:szCs w:val="18"/>
              </w:rPr>
              <w:t>16.07</w:t>
            </w:r>
          </w:p>
        </w:tc>
        <w:tc>
          <w:tcPr>
            <w:tcW w:w="377" w:type="pct"/>
            <w:tcBorders>
              <w:top w:val="nil"/>
              <w:left w:val="nil"/>
              <w:bottom w:val="nil"/>
              <w:right w:val="nil"/>
            </w:tcBorders>
            <w:shd w:val="clear" w:color="auto" w:fill="auto"/>
            <w:noWrap/>
            <w:vAlign w:val="center"/>
            <w:hideMark/>
          </w:tcPr>
          <w:p w14:paraId="54A7E3D2" w14:textId="77777777" w:rsidR="00874916" w:rsidRPr="00B54118" w:rsidRDefault="00874916" w:rsidP="00EA28C4">
            <w:pPr>
              <w:jc w:val="center"/>
              <w:rPr>
                <w:color w:val="000000"/>
                <w:sz w:val="18"/>
                <w:szCs w:val="18"/>
              </w:rPr>
            </w:pPr>
            <w:r w:rsidRPr="00B54118">
              <w:rPr>
                <w:color w:val="000000"/>
                <w:sz w:val="18"/>
                <w:szCs w:val="18"/>
              </w:rPr>
              <w:t>6.30%</w:t>
            </w:r>
          </w:p>
        </w:tc>
      </w:tr>
      <w:tr w:rsidR="00874916" w:rsidRPr="00B54118" w14:paraId="6C7F1358" w14:textId="77777777" w:rsidTr="00EA28C4">
        <w:trPr>
          <w:trHeight w:val="270"/>
          <w:jc w:val="center"/>
        </w:trPr>
        <w:tc>
          <w:tcPr>
            <w:tcW w:w="702" w:type="pct"/>
            <w:tcBorders>
              <w:top w:val="nil"/>
              <w:left w:val="nil"/>
              <w:bottom w:val="nil"/>
              <w:right w:val="nil"/>
            </w:tcBorders>
            <w:shd w:val="clear" w:color="auto" w:fill="auto"/>
            <w:noWrap/>
            <w:vAlign w:val="center"/>
            <w:hideMark/>
          </w:tcPr>
          <w:p w14:paraId="590722E5" w14:textId="77777777" w:rsidR="00874916" w:rsidRPr="00B54118" w:rsidRDefault="00874916" w:rsidP="00EA28C4">
            <w:pPr>
              <w:jc w:val="center"/>
              <w:rPr>
                <w:color w:val="000000"/>
                <w:sz w:val="18"/>
                <w:szCs w:val="18"/>
              </w:rPr>
            </w:pPr>
            <w:r w:rsidRPr="00B54118">
              <w:rPr>
                <w:color w:val="000000"/>
                <w:sz w:val="18"/>
                <w:szCs w:val="18"/>
              </w:rPr>
              <w:t>Iran, Islamic Republic of</w:t>
            </w:r>
          </w:p>
        </w:tc>
        <w:tc>
          <w:tcPr>
            <w:tcW w:w="561" w:type="pct"/>
            <w:tcBorders>
              <w:top w:val="nil"/>
              <w:left w:val="nil"/>
              <w:bottom w:val="nil"/>
              <w:right w:val="nil"/>
            </w:tcBorders>
            <w:shd w:val="clear" w:color="auto" w:fill="auto"/>
            <w:noWrap/>
            <w:vAlign w:val="center"/>
            <w:hideMark/>
          </w:tcPr>
          <w:p w14:paraId="01D29CDD" w14:textId="77777777" w:rsidR="00874916" w:rsidRPr="00B54118" w:rsidRDefault="00874916" w:rsidP="00EA28C4">
            <w:pPr>
              <w:jc w:val="center"/>
              <w:rPr>
                <w:color w:val="000000"/>
                <w:sz w:val="18"/>
                <w:szCs w:val="18"/>
              </w:rPr>
            </w:pPr>
            <w:r w:rsidRPr="00B54118">
              <w:rPr>
                <w:color w:val="000000"/>
                <w:sz w:val="18"/>
                <w:szCs w:val="18"/>
              </w:rPr>
              <w:t>14.64</w:t>
            </w:r>
          </w:p>
        </w:tc>
        <w:tc>
          <w:tcPr>
            <w:tcW w:w="404" w:type="pct"/>
            <w:tcBorders>
              <w:top w:val="nil"/>
              <w:left w:val="nil"/>
              <w:bottom w:val="nil"/>
              <w:right w:val="single" w:sz="4" w:space="0" w:color="auto"/>
            </w:tcBorders>
            <w:shd w:val="clear" w:color="auto" w:fill="auto"/>
            <w:noWrap/>
            <w:vAlign w:val="center"/>
            <w:hideMark/>
          </w:tcPr>
          <w:p w14:paraId="07D86C75" w14:textId="77777777" w:rsidR="00874916" w:rsidRPr="00B54118" w:rsidRDefault="00874916" w:rsidP="00EA28C4">
            <w:pPr>
              <w:jc w:val="center"/>
              <w:rPr>
                <w:color w:val="000000"/>
                <w:sz w:val="18"/>
                <w:szCs w:val="18"/>
              </w:rPr>
            </w:pPr>
            <w:r w:rsidRPr="00B54118">
              <w:rPr>
                <w:color w:val="000000"/>
                <w:sz w:val="18"/>
                <w:szCs w:val="18"/>
              </w:rPr>
              <w:t>5.66%</w:t>
            </w:r>
          </w:p>
        </w:tc>
        <w:tc>
          <w:tcPr>
            <w:tcW w:w="716" w:type="pct"/>
            <w:tcBorders>
              <w:top w:val="nil"/>
              <w:left w:val="nil"/>
              <w:bottom w:val="nil"/>
              <w:right w:val="nil"/>
            </w:tcBorders>
            <w:shd w:val="clear" w:color="auto" w:fill="auto"/>
            <w:noWrap/>
            <w:vAlign w:val="center"/>
            <w:hideMark/>
          </w:tcPr>
          <w:p w14:paraId="14C57164" w14:textId="77777777" w:rsidR="00874916" w:rsidRPr="00B54118" w:rsidRDefault="00874916" w:rsidP="00EA28C4">
            <w:pPr>
              <w:jc w:val="center"/>
              <w:rPr>
                <w:color w:val="000000"/>
                <w:sz w:val="18"/>
                <w:szCs w:val="18"/>
              </w:rPr>
            </w:pPr>
            <w:r w:rsidRPr="00B54118">
              <w:rPr>
                <w:color w:val="000000"/>
                <w:sz w:val="18"/>
                <w:szCs w:val="18"/>
              </w:rPr>
              <w:t>Iran, Islamic Republic of</w:t>
            </w:r>
          </w:p>
        </w:tc>
        <w:tc>
          <w:tcPr>
            <w:tcW w:w="559" w:type="pct"/>
            <w:tcBorders>
              <w:top w:val="nil"/>
              <w:left w:val="nil"/>
              <w:bottom w:val="nil"/>
              <w:right w:val="nil"/>
            </w:tcBorders>
            <w:shd w:val="clear" w:color="auto" w:fill="auto"/>
            <w:noWrap/>
            <w:vAlign w:val="center"/>
            <w:hideMark/>
          </w:tcPr>
          <w:p w14:paraId="759BCC3A" w14:textId="77777777" w:rsidR="00874916" w:rsidRPr="00B54118" w:rsidRDefault="00874916" w:rsidP="00EA28C4">
            <w:pPr>
              <w:jc w:val="center"/>
              <w:rPr>
                <w:color w:val="000000"/>
                <w:sz w:val="18"/>
                <w:szCs w:val="18"/>
              </w:rPr>
            </w:pPr>
            <w:r w:rsidRPr="00B54118">
              <w:rPr>
                <w:color w:val="000000"/>
                <w:sz w:val="18"/>
                <w:szCs w:val="18"/>
              </w:rPr>
              <w:t>13.96</w:t>
            </w:r>
          </w:p>
        </w:tc>
        <w:tc>
          <w:tcPr>
            <w:tcW w:w="391" w:type="pct"/>
            <w:tcBorders>
              <w:top w:val="nil"/>
              <w:left w:val="nil"/>
              <w:bottom w:val="nil"/>
              <w:right w:val="single" w:sz="4" w:space="0" w:color="auto"/>
            </w:tcBorders>
            <w:shd w:val="clear" w:color="auto" w:fill="auto"/>
            <w:noWrap/>
            <w:vAlign w:val="center"/>
            <w:hideMark/>
          </w:tcPr>
          <w:p w14:paraId="74F6C5E4" w14:textId="77777777" w:rsidR="00874916" w:rsidRPr="00B54118" w:rsidRDefault="00874916" w:rsidP="00EA28C4">
            <w:pPr>
              <w:jc w:val="center"/>
              <w:rPr>
                <w:color w:val="000000"/>
                <w:sz w:val="18"/>
                <w:szCs w:val="18"/>
              </w:rPr>
            </w:pPr>
            <w:r w:rsidRPr="00B54118">
              <w:rPr>
                <w:color w:val="000000"/>
                <w:sz w:val="18"/>
                <w:szCs w:val="18"/>
              </w:rPr>
              <w:t>4.18%</w:t>
            </w:r>
          </w:p>
        </w:tc>
        <w:tc>
          <w:tcPr>
            <w:tcW w:w="730" w:type="pct"/>
            <w:tcBorders>
              <w:top w:val="nil"/>
              <w:left w:val="nil"/>
              <w:bottom w:val="nil"/>
              <w:right w:val="nil"/>
            </w:tcBorders>
            <w:shd w:val="clear" w:color="auto" w:fill="auto"/>
            <w:noWrap/>
            <w:vAlign w:val="center"/>
            <w:hideMark/>
          </w:tcPr>
          <w:p w14:paraId="3A12A4F4" w14:textId="77777777" w:rsidR="00874916" w:rsidRPr="00B54118" w:rsidRDefault="00874916" w:rsidP="00EA28C4">
            <w:pPr>
              <w:jc w:val="center"/>
              <w:rPr>
                <w:color w:val="000000"/>
                <w:sz w:val="18"/>
                <w:szCs w:val="18"/>
              </w:rPr>
            </w:pPr>
            <w:r w:rsidRPr="00B54118">
              <w:rPr>
                <w:color w:val="000000"/>
                <w:sz w:val="18"/>
                <w:szCs w:val="18"/>
              </w:rPr>
              <w:t>Bangladesh</w:t>
            </w:r>
          </w:p>
        </w:tc>
        <w:tc>
          <w:tcPr>
            <w:tcW w:w="560" w:type="pct"/>
            <w:tcBorders>
              <w:top w:val="nil"/>
              <w:left w:val="nil"/>
              <w:bottom w:val="nil"/>
              <w:right w:val="nil"/>
            </w:tcBorders>
            <w:shd w:val="clear" w:color="auto" w:fill="auto"/>
            <w:noWrap/>
            <w:vAlign w:val="center"/>
            <w:hideMark/>
          </w:tcPr>
          <w:p w14:paraId="784EF87B" w14:textId="77777777" w:rsidR="00874916" w:rsidRPr="00B54118" w:rsidRDefault="00874916" w:rsidP="00EA28C4">
            <w:pPr>
              <w:jc w:val="center"/>
              <w:rPr>
                <w:color w:val="000000"/>
                <w:sz w:val="18"/>
                <w:szCs w:val="18"/>
              </w:rPr>
            </w:pPr>
            <w:r w:rsidRPr="00B54118">
              <w:rPr>
                <w:color w:val="000000"/>
                <w:sz w:val="18"/>
                <w:szCs w:val="18"/>
              </w:rPr>
              <w:t>13.32</w:t>
            </w:r>
          </w:p>
        </w:tc>
        <w:tc>
          <w:tcPr>
            <w:tcW w:w="377" w:type="pct"/>
            <w:tcBorders>
              <w:top w:val="nil"/>
              <w:left w:val="nil"/>
              <w:bottom w:val="nil"/>
              <w:right w:val="nil"/>
            </w:tcBorders>
            <w:shd w:val="clear" w:color="auto" w:fill="auto"/>
            <w:noWrap/>
            <w:vAlign w:val="center"/>
            <w:hideMark/>
          </w:tcPr>
          <w:p w14:paraId="089F90B5" w14:textId="77777777" w:rsidR="00874916" w:rsidRPr="00B54118" w:rsidRDefault="00874916" w:rsidP="00EA28C4">
            <w:pPr>
              <w:jc w:val="center"/>
              <w:rPr>
                <w:color w:val="000000"/>
                <w:sz w:val="18"/>
                <w:szCs w:val="18"/>
              </w:rPr>
            </w:pPr>
            <w:r w:rsidRPr="00B54118">
              <w:rPr>
                <w:color w:val="000000"/>
                <w:sz w:val="18"/>
                <w:szCs w:val="18"/>
              </w:rPr>
              <w:t>5.23%</w:t>
            </w:r>
          </w:p>
        </w:tc>
      </w:tr>
      <w:tr w:rsidR="00874916" w:rsidRPr="00B54118" w14:paraId="2A28035E" w14:textId="77777777" w:rsidTr="00EA28C4">
        <w:trPr>
          <w:trHeight w:val="270"/>
          <w:jc w:val="center"/>
        </w:trPr>
        <w:tc>
          <w:tcPr>
            <w:tcW w:w="702" w:type="pct"/>
            <w:tcBorders>
              <w:top w:val="nil"/>
              <w:left w:val="nil"/>
              <w:bottom w:val="nil"/>
              <w:right w:val="nil"/>
            </w:tcBorders>
            <w:shd w:val="clear" w:color="auto" w:fill="auto"/>
            <w:noWrap/>
            <w:vAlign w:val="center"/>
            <w:hideMark/>
          </w:tcPr>
          <w:p w14:paraId="6215FB85" w14:textId="77777777" w:rsidR="00874916" w:rsidRPr="00B54118" w:rsidRDefault="00874916" w:rsidP="00EA28C4">
            <w:pPr>
              <w:jc w:val="center"/>
              <w:rPr>
                <w:color w:val="000000"/>
                <w:sz w:val="18"/>
                <w:szCs w:val="18"/>
              </w:rPr>
            </w:pPr>
            <w:r w:rsidRPr="00B54118">
              <w:rPr>
                <w:color w:val="000000"/>
                <w:sz w:val="18"/>
                <w:szCs w:val="18"/>
              </w:rPr>
              <w:t>Australia</w:t>
            </w:r>
          </w:p>
        </w:tc>
        <w:tc>
          <w:tcPr>
            <w:tcW w:w="561" w:type="pct"/>
            <w:tcBorders>
              <w:top w:val="nil"/>
              <w:left w:val="nil"/>
              <w:bottom w:val="nil"/>
              <w:right w:val="nil"/>
            </w:tcBorders>
            <w:shd w:val="clear" w:color="auto" w:fill="auto"/>
            <w:noWrap/>
            <w:vAlign w:val="center"/>
            <w:hideMark/>
          </w:tcPr>
          <w:p w14:paraId="005F1488" w14:textId="77777777" w:rsidR="00874916" w:rsidRPr="00B54118" w:rsidRDefault="00874916" w:rsidP="00EA28C4">
            <w:pPr>
              <w:jc w:val="center"/>
              <w:rPr>
                <w:color w:val="000000"/>
                <w:sz w:val="18"/>
                <w:szCs w:val="18"/>
              </w:rPr>
            </w:pPr>
            <w:r w:rsidRPr="00B54118">
              <w:rPr>
                <w:color w:val="000000"/>
                <w:sz w:val="18"/>
                <w:szCs w:val="18"/>
              </w:rPr>
              <w:t>9.09</w:t>
            </w:r>
          </w:p>
        </w:tc>
        <w:tc>
          <w:tcPr>
            <w:tcW w:w="404" w:type="pct"/>
            <w:tcBorders>
              <w:top w:val="nil"/>
              <w:left w:val="nil"/>
              <w:bottom w:val="nil"/>
              <w:right w:val="single" w:sz="4" w:space="0" w:color="auto"/>
            </w:tcBorders>
            <w:shd w:val="clear" w:color="auto" w:fill="auto"/>
            <w:noWrap/>
            <w:vAlign w:val="center"/>
            <w:hideMark/>
          </w:tcPr>
          <w:p w14:paraId="5AA35882" w14:textId="77777777" w:rsidR="00874916" w:rsidRPr="00B54118" w:rsidRDefault="00874916" w:rsidP="00EA28C4">
            <w:pPr>
              <w:jc w:val="center"/>
              <w:rPr>
                <w:color w:val="000000"/>
                <w:sz w:val="18"/>
                <w:szCs w:val="18"/>
              </w:rPr>
            </w:pPr>
            <w:r w:rsidRPr="00B54118">
              <w:rPr>
                <w:color w:val="000000"/>
                <w:sz w:val="18"/>
                <w:szCs w:val="18"/>
              </w:rPr>
              <w:t>3.51%</w:t>
            </w:r>
          </w:p>
        </w:tc>
        <w:tc>
          <w:tcPr>
            <w:tcW w:w="716" w:type="pct"/>
            <w:tcBorders>
              <w:top w:val="nil"/>
              <w:left w:val="nil"/>
              <w:bottom w:val="nil"/>
              <w:right w:val="nil"/>
            </w:tcBorders>
            <w:shd w:val="clear" w:color="auto" w:fill="auto"/>
            <w:noWrap/>
            <w:vAlign w:val="center"/>
            <w:hideMark/>
          </w:tcPr>
          <w:p w14:paraId="4787486C" w14:textId="77777777" w:rsidR="00874916" w:rsidRPr="00B54118" w:rsidRDefault="00874916" w:rsidP="00EA28C4">
            <w:pPr>
              <w:jc w:val="center"/>
              <w:rPr>
                <w:color w:val="000000"/>
                <w:sz w:val="18"/>
                <w:szCs w:val="18"/>
              </w:rPr>
            </w:pPr>
            <w:r w:rsidRPr="00B54118">
              <w:rPr>
                <w:color w:val="000000"/>
                <w:sz w:val="18"/>
                <w:szCs w:val="18"/>
              </w:rPr>
              <w:t>Egypt</w:t>
            </w:r>
          </w:p>
        </w:tc>
        <w:tc>
          <w:tcPr>
            <w:tcW w:w="559" w:type="pct"/>
            <w:tcBorders>
              <w:top w:val="nil"/>
              <w:left w:val="nil"/>
              <w:bottom w:val="nil"/>
              <w:right w:val="nil"/>
            </w:tcBorders>
            <w:shd w:val="clear" w:color="auto" w:fill="auto"/>
            <w:noWrap/>
            <w:vAlign w:val="center"/>
            <w:hideMark/>
          </w:tcPr>
          <w:p w14:paraId="2BF22D41" w14:textId="77777777" w:rsidR="00874916" w:rsidRPr="00B54118" w:rsidRDefault="00874916" w:rsidP="00EA28C4">
            <w:pPr>
              <w:jc w:val="center"/>
              <w:rPr>
                <w:color w:val="000000"/>
                <w:sz w:val="18"/>
                <w:szCs w:val="18"/>
              </w:rPr>
            </w:pPr>
            <w:r w:rsidRPr="00B54118">
              <w:rPr>
                <w:color w:val="000000"/>
                <w:sz w:val="18"/>
                <w:szCs w:val="18"/>
              </w:rPr>
              <w:t>9.40</w:t>
            </w:r>
          </w:p>
        </w:tc>
        <w:tc>
          <w:tcPr>
            <w:tcW w:w="391" w:type="pct"/>
            <w:tcBorders>
              <w:top w:val="nil"/>
              <w:left w:val="nil"/>
              <w:bottom w:val="nil"/>
              <w:right w:val="single" w:sz="4" w:space="0" w:color="auto"/>
            </w:tcBorders>
            <w:shd w:val="clear" w:color="auto" w:fill="auto"/>
            <w:noWrap/>
            <w:vAlign w:val="center"/>
            <w:hideMark/>
          </w:tcPr>
          <w:p w14:paraId="04BEDE2C" w14:textId="77777777" w:rsidR="00874916" w:rsidRPr="00B54118" w:rsidRDefault="00874916" w:rsidP="00EA28C4">
            <w:pPr>
              <w:jc w:val="center"/>
              <w:rPr>
                <w:color w:val="000000"/>
                <w:sz w:val="18"/>
                <w:szCs w:val="18"/>
              </w:rPr>
            </w:pPr>
            <w:r w:rsidRPr="00B54118">
              <w:rPr>
                <w:color w:val="000000"/>
                <w:sz w:val="18"/>
                <w:szCs w:val="18"/>
              </w:rPr>
              <w:t>3.33%</w:t>
            </w:r>
          </w:p>
        </w:tc>
        <w:tc>
          <w:tcPr>
            <w:tcW w:w="730" w:type="pct"/>
            <w:tcBorders>
              <w:top w:val="nil"/>
              <w:left w:val="nil"/>
              <w:bottom w:val="nil"/>
              <w:right w:val="nil"/>
            </w:tcBorders>
            <w:shd w:val="clear" w:color="auto" w:fill="auto"/>
            <w:noWrap/>
            <w:vAlign w:val="center"/>
            <w:hideMark/>
          </w:tcPr>
          <w:p w14:paraId="295E035F" w14:textId="77777777" w:rsidR="00874916" w:rsidRPr="00B54118" w:rsidRDefault="00874916" w:rsidP="00EA28C4">
            <w:pPr>
              <w:jc w:val="center"/>
              <w:rPr>
                <w:color w:val="000000"/>
                <w:sz w:val="18"/>
                <w:szCs w:val="18"/>
              </w:rPr>
            </w:pPr>
            <w:r w:rsidRPr="00B54118">
              <w:rPr>
                <w:color w:val="000000"/>
                <w:sz w:val="18"/>
                <w:szCs w:val="18"/>
              </w:rPr>
              <w:t>Kazakhstan</w:t>
            </w:r>
          </w:p>
        </w:tc>
        <w:tc>
          <w:tcPr>
            <w:tcW w:w="560" w:type="pct"/>
            <w:tcBorders>
              <w:top w:val="nil"/>
              <w:left w:val="nil"/>
              <w:bottom w:val="nil"/>
              <w:right w:val="nil"/>
            </w:tcBorders>
            <w:shd w:val="clear" w:color="auto" w:fill="auto"/>
            <w:noWrap/>
            <w:vAlign w:val="center"/>
            <w:hideMark/>
          </w:tcPr>
          <w:p w14:paraId="16B40EA2" w14:textId="77777777" w:rsidR="00874916" w:rsidRPr="00B54118" w:rsidRDefault="00874916" w:rsidP="00EA28C4">
            <w:pPr>
              <w:jc w:val="center"/>
              <w:rPr>
                <w:color w:val="000000"/>
                <w:sz w:val="18"/>
                <w:szCs w:val="18"/>
              </w:rPr>
            </w:pPr>
            <w:r w:rsidRPr="00B54118">
              <w:rPr>
                <w:color w:val="000000"/>
                <w:sz w:val="18"/>
                <w:szCs w:val="18"/>
              </w:rPr>
              <w:t>11.72</w:t>
            </w:r>
          </w:p>
        </w:tc>
        <w:tc>
          <w:tcPr>
            <w:tcW w:w="377" w:type="pct"/>
            <w:tcBorders>
              <w:top w:val="nil"/>
              <w:left w:val="nil"/>
              <w:bottom w:val="nil"/>
              <w:right w:val="nil"/>
            </w:tcBorders>
            <w:shd w:val="clear" w:color="auto" w:fill="auto"/>
            <w:noWrap/>
            <w:vAlign w:val="center"/>
            <w:hideMark/>
          </w:tcPr>
          <w:p w14:paraId="14A21C65" w14:textId="77777777" w:rsidR="00874916" w:rsidRPr="00B54118" w:rsidRDefault="00874916" w:rsidP="00EA28C4">
            <w:pPr>
              <w:jc w:val="center"/>
              <w:rPr>
                <w:color w:val="000000"/>
                <w:sz w:val="18"/>
                <w:szCs w:val="18"/>
              </w:rPr>
            </w:pPr>
            <w:r w:rsidRPr="00B54118">
              <w:rPr>
                <w:color w:val="000000"/>
                <w:sz w:val="18"/>
                <w:szCs w:val="18"/>
              </w:rPr>
              <w:t>4.60%</w:t>
            </w:r>
          </w:p>
        </w:tc>
      </w:tr>
      <w:tr w:rsidR="00874916" w:rsidRPr="00B54118" w14:paraId="69DFA9D8" w14:textId="77777777" w:rsidTr="00EA28C4">
        <w:trPr>
          <w:trHeight w:val="270"/>
          <w:jc w:val="center"/>
        </w:trPr>
        <w:tc>
          <w:tcPr>
            <w:tcW w:w="702" w:type="pct"/>
            <w:tcBorders>
              <w:top w:val="nil"/>
              <w:left w:val="nil"/>
              <w:bottom w:val="nil"/>
              <w:right w:val="nil"/>
            </w:tcBorders>
            <w:shd w:val="clear" w:color="auto" w:fill="auto"/>
            <w:noWrap/>
            <w:vAlign w:val="center"/>
            <w:hideMark/>
          </w:tcPr>
          <w:p w14:paraId="5C15FB39" w14:textId="77777777" w:rsidR="00874916" w:rsidRPr="00B54118" w:rsidRDefault="00874916" w:rsidP="00EA28C4">
            <w:pPr>
              <w:jc w:val="center"/>
              <w:rPr>
                <w:color w:val="000000"/>
                <w:sz w:val="18"/>
                <w:szCs w:val="18"/>
              </w:rPr>
            </w:pPr>
            <w:r w:rsidRPr="00B54118">
              <w:rPr>
                <w:color w:val="000000"/>
                <w:sz w:val="18"/>
                <w:szCs w:val="18"/>
              </w:rPr>
              <w:t>Saudi Arabia</w:t>
            </w:r>
          </w:p>
        </w:tc>
        <w:tc>
          <w:tcPr>
            <w:tcW w:w="561" w:type="pct"/>
            <w:tcBorders>
              <w:top w:val="nil"/>
              <w:left w:val="nil"/>
              <w:bottom w:val="nil"/>
              <w:right w:val="nil"/>
            </w:tcBorders>
            <w:shd w:val="clear" w:color="auto" w:fill="auto"/>
            <w:noWrap/>
            <w:vAlign w:val="center"/>
            <w:hideMark/>
          </w:tcPr>
          <w:p w14:paraId="52539DE3" w14:textId="77777777" w:rsidR="00874916" w:rsidRPr="00B54118" w:rsidRDefault="00874916" w:rsidP="00EA28C4">
            <w:pPr>
              <w:jc w:val="center"/>
              <w:rPr>
                <w:color w:val="000000"/>
                <w:sz w:val="18"/>
                <w:szCs w:val="18"/>
              </w:rPr>
            </w:pPr>
            <w:r w:rsidRPr="00B54118">
              <w:rPr>
                <w:color w:val="000000"/>
                <w:sz w:val="18"/>
                <w:szCs w:val="18"/>
              </w:rPr>
              <w:t>7.99</w:t>
            </w:r>
          </w:p>
        </w:tc>
        <w:tc>
          <w:tcPr>
            <w:tcW w:w="404" w:type="pct"/>
            <w:tcBorders>
              <w:top w:val="nil"/>
              <w:left w:val="nil"/>
              <w:bottom w:val="nil"/>
              <w:right w:val="single" w:sz="4" w:space="0" w:color="auto"/>
            </w:tcBorders>
            <w:shd w:val="clear" w:color="auto" w:fill="auto"/>
            <w:noWrap/>
            <w:vAlign w:val="center"/>
            <w:hideMark/>
          </w:tcPr>
          <w:p w14:paraId="6CDCE1AF" w14:textId="77777777" w:rsidR="00874916" w:rsidRPr="00B54118" w:rsidRDefault="00874916" w:rsidP="00EA28C4">
            <w:pPr>
              <w:jc w:val="center"/>
              <w:rPr>
                <w:color w:val="000000"/>
                <w:sz w:val="18"/>
                <w:szCs w:val="18"/>
              </w:rPr>
            </w:pPr>
            <w:r w:rsidRPr="00B54118">
              <w:rPr>
                <w:color w:val="000000"/>
                <w:sz w:val="18"/>
                <w:szCs w:val="18"/>
              </w:rPr>
              <w:t>3.09%</w:t>
            </w:r>
          </w:p>
        </w:tc>
        <w:tc>
          <w:tcPr>
            <w:tcW w:w="716" w:type="pct"/>
            <w:tcBorders>
              <w:top w:val="nil"/>
              <w:left w:val="nil"/>
              <w:bottom w:val="nil"/>
              <w:right w:val="nil"/>
            </w:tcBorders>
            <w:shd w:val="clear" w:color="auto" w:fill="auto"/>
            <w:noWrap/>
            <w:vAlign w:val="center"/>
            <w:hideMark/>
          </w:tcPr>
          <w:p w14:paraId="70CAD6B4" w14:textId="77777777" w:rsidR="00874916" w:rsidRPr="00B54118" w:rsidRDefault="00874916" w:rsidP="00EA28C4">
            <w:pPr>
              <w:jc w:val="center"/>
              <w:rPr>
                <w:color w:val="000000"/>
                <w:sz w:val="18"/>
                <w:szCs w:val="18"/>
              </w:rPr>
            </w:pPr>
            <w:r w:rsidRPr="00B54118">
              <w:rPr>
                <w:color w:val="000000"/>
                <w:sz w:val="18"/>
                <w:szCs w:val="18"/>
              </w:rPr>
              <w:t>Germany</w:t>
            </w:r>
          </w:p>
        </w:tc>
        <w:tc>
          <w:tcPr>
            <w:tcW w:w="559" w:type="pct"/>
            <w:tcBorders>
              <w:top w:val="nil"/>
              <w:left w:val="nil"/>
              <w:bottom w:val="nil"/>
              <w:right w:val="nil"/>
            </w:tcBorders>
            <w:shd w:val="clear" w:color="auto" w:fill="auto"/>
            <w:noWrap/>
            <w:vAlign w:val="center"/>
            <w:hideMark/>
          </w:tcPr>
          <w:p w14:paraId="309BB964" w14:textId="77777777" w:rsidR="00874916" w:rsidRPr="00B54118" w:rsidRDefault="00874916" w:rsidP="00EA28C4">
            <w:pPr>
              <w:jc w:val="center"/>
              <w:rPr>
                <w:color w:val="000000"/>
                <w:sz w:val="18"/>
                <w:szCs w:val="18"/>
              </w:rPr>
            </w:pPr>
            <w:r w:rsidRPr="00B54118">
              <w:rPr>
                <w:color w:val="000000"/>
                <w:sz w:val="18"/>
                <w:szCs w:val="18"/>
              </w:rPr>
              <w:t>7.50</w:t>
            </w:r>
          </w:p>
        </w:tc>
        <w:tc>
          <w:tcPr>
            <w:tcW w:w="391" w:type="pct"/>
            <w:tcBorders>
              <w:top w:val="nil"/>
              <w:left w:val="nil"/>
              <w:bottom w:val="nil"/>
              <w:right w:val="single" w:sz="4" w:space="0" w:color="auto"/>
            </w:tcBorders>
            <w:shd w:val="clear" w:color="auto" w:fill="auto"/>
            <w:noWrap/>
            <w:vAlign w:val="center"/>
            <w:hideMark/>
          </w:tcPr>
          <w:p w14:paraId="612410DC" w14:textId="77777777" w:rsidR="00874916" w:rsidRPr="00B54118" w:rsidRDefault="00874916" w:rsidP="00EA28C4">
            <w:pPr>
              <w:jc w:val="center"/>
              <w:rPr>
                <w:color w:val="000000"/>
                <w:sz w:val="18"/>
                <w:szCs w:val="18"/>
              </w:rPr>
            </w:pPr>
            <w:r w:rsidRPr="00B54118">
              <w:rPr>
                <w:color w:val="000000"/>
                <w:sz w:val="18"/>
                <w:szCs w:val="18"/>
              </w:rPr>
              <w:t>3.18%</w:t>
            </w:r>
          </w:p>
        </w:tc>
        <w:tc>
          <w:tcPr>
            <w:tcW w:w="730" w:type="pct"/>
            <w:tcBorders>
              <w:top w:val="nil"/>
              <w:left w:val="nil"/>
              <w:bottom w:val="nil"/>
              <w:right w:val="nil"/>
            </w:tcBorders>
            <w:shd w:val="clear" w:color="auto" w:fill="auto"/>
            <w:noWrap/>
            <w:vAlign w:val="center"/>
            <w:hideMark/>
          </w:tcPr>
          <w:p w14:paraId="3FA7B877" w14:textId="77777777" w:rsidR="00874916" w:rsidRPr="00B54118" w:rsidRDefault="00874916" w:rsidP="00EA28C4">
            <w:pPr>
              <w:jc w:val="center"/>
              <w:rPr>
                <w:color w:val="000000"/>
                <w:sz w:val="18"/>
                <w:szCs w:val="18"/>
              </w:rPr>
            </w:pPr>
            <w:r w:rsidRPr="00B54118">
              <w:rPr>
                <w:color w:val="000000"/>
                <w:sz w:val="18"/>
                <w:szCs w:val="18"/>
              </w:rPr>
              <w:t>Germany</w:t>
            </w:r>
          </w:p>
        </w:tc>
        <w:tc>
          <w:tcPr>
            <w:tcW w:w="560" w:type="pct"/>
            <w:tcBorders>
              <w:top w:val="nil"/>
              <w:left w:val="nil"/>
              <w:bottom w:val="nil"/>
              <w:right w:val="nil"/>
            </w:tcBorders>
            <w:shd w:val="clear" w:color="auto" w:fill="auto"/>
            <w:noWrap/>
            <w:vAlign w:val="center"/>
            <w:hideMark/>
          </w:tcPr>
          <w:p w14:paraId="205C8054" w14:textId="77777777" w:rsidR="00874916" w:rsidRPr="00B54118" w:rsidRDefault="00874916" w:rsidP="00EA28C4">
            <w:pPr>
              <w:jc w:val="center"/>
              <w:rPr>
                <w:color w:val="000000"/>
                <w:sz w:val="18"/>
                <w:szCs w:val="18"/>
              </w:rPr>
            </w:pPr>
            <w:r w:rsidRPr="00B54118">
              <w:rPr>
                <w:color w:val="000000"/>
                <w:sz w:val="18"/>
                <w:szCs w:val="18"/>
              </w:rPr>
              <w:t>9.06</w:t>
            </w:r>
          </w:p>
        </w:tc>
        <w:tc>
          <w:tcPr>
            <w:tcW w:w="377" w:type="pct"/>
            <w:tcBorders>
              <w:top w:val="nil"/>
              <w:left w:val="nil"/>
              <w:bottom w:val="nil"/>
              <w:right w:val="nil"/>
            </w:tcBorders>
            <w:shd w:val="clear" w:color="auto" w:fill="auto"/>
            <w:noWrap/>
            <w:vAlign w:val="center"/>
            <w:hideMark/>
          </w:tcPr>
          <w:p w14:paraId="17B3DADA" w14:textId="77777777" w:rsidR="00874916" w:rsidRPr="00B54118" w:rsidRDefault="00874916" w:rsidP="00EA28C4">
            <w:pPr>
              <w:jc w:val="center"/>
              <w:rPr>
                <w:color w:val="000000"/>
                <w:sz w:val="18"/>
                <w:szCs w:val="18"/>
              </w:rPr>
            </w:pPr>
            <w:r w:rsidRPr="00B54118">
              <w:rPr>
                <w:color w:val="000000"/>
                <w:sz w:val="18"/>
                <w:szCs w:val="18"/>
              </w:rPr>
              <w:t>3.56%</w:t>
            </w:r>
          </w:p>
        </w:tc>
      </w:tr>
      <w:tr w:rsidR="00874916" w:rsidRPr="00B54118" w14:paraId="4D309751" w14:textId="77777777" w:rsidTr="00EA28C4">
        <w:trPr>
          <w:trHeight w:val="270"/>
          <w:jc w:val="center"/>
        </w:trPr>
        <w:tc>
          <w:tcPr>
            <w:tcW w:w="702" w:type="pct"/>
            <w:tcBorders>
              <w:top w:val="nil"/>
              <w:left w:val="nil"/>
              <w:bottom w:val="single" w:sz="4" w:space="0" w:color="auto"/>
              <w:right w:val="nil"/>
            </w:tcBorders>
            <w:shd w:val="clear" w:color="auto" w:fill="auto"/>
            <w:noWrap/>
            <w:vAlign w:val="center"/>
            <w:hideMark/>
          </w:tcPr>
          <w:p w14:paraId="4483BCB4" w14:textId="77777777" w:rsidR="00874916" w:rsidRPr="00B54118" w:rsidRDefault="00874916" w:rsidP="00EA28C4">
            <w:pPr>
              <w:jc w:val="center"/>
              <w:rPr>
                <w:color w:val="000000"/>
                <w:sz w:val="18"/>
                <w:szCs w:val="18"/>
              </w:rPr>
            </w:pPr>
            <w:r w:rsidRPr="00B54118">
              <w:rPr>
                <w:color w:val="000000"/>
                <w:sz w:val="18"/>
                <w:szCs w:val="18"/>
              </w:rPr>
              <w:t>Germany</w:t>
            </w:r>
          </w:p>
        </w:tc>
        <w:tc>
          <w:tcPr>
            <w:tcW w:w="561" w:type="pct"/>
            <w:tcBorders>
              <w:top w:val="nil"/>
              <w:left w:val="nil"/>
              <w:bottom w:val="single" w:sz="4" w:space="0" w:color="auto"/>
              <w:right w:val="nil"/>
            </w:tcBorders>
            <w:shd w:val="clear" w:color="auto" w:fill="auto"/>
            <w:noWrap/>
            <w:vAlign w:val="center"/>
            <w:hideMark/>
          </w:tcPr>
          <w:p w14:paraId="0CEB1B30" w14:textId="77777777" w:rsidR="00874916" w:rsidRPr="00B54118" w:rsidRDefault="00874916" w:rsidP="00EA28C4">
            <w:pPr>
              <w:jc w:val="center"/>
              <w:rPr>
                <w:color w:val="000000"/>
                <w:sz w:val="18"/>
                <w:szCs w:val="18"/>
              </w:rPr>
            </w:pPr>
            <w:r w:rsidRPr="00B54118">
              <w:rPr>
                <w:color w:val="000000"/>
                <w:sz w:val="18"/>
                <w:szCs w:val="18"/>
              </w:rPr>
              <w:t>7.69</w:t>
            </w:r>
          </w:p>
        </w:tc>
        <w:tc>
          <w:tcPr>
            <w:tcW w:w="404" w:type="pct"/>
            <w:tcBorders>
              <w:top w:val="nil"/>
              <w:left w:val="nil"/>
              <w:bottom w:val="single" w:sz="4" w:space="0" w:color="auto"/>
              <w:right w:val="single" w:sz="4" w:space="0" w:color="auto"/>
            </w:tcBorders>
            <w:shd w:val="clear" w:color="auto" w:fill="auto"/>
            <w:noWrap/>
            <w:vAlign w:val="center"/>
            <w:hideMark/>
          </w:tcPr>
          <w:p w14:paraId="327EB317" w14:textId="77777777" w:rsidR="00874916" w:rsidRPr="00B54118" w:rsidRDefault="00874916" w:rsidP="00EA28C4">
            <w:pPr>
              <w:jc w:val="center"/>
              <w:rPr>
                <w:color w:val="000000"/>
                <w:sz w:val="18"/>
                <w:szCs w:val="18"/>
              </w:rPr>
            </w:pPr>
            <w:r w:rsidRPr="00B54118">
              <w:rPr>
                <w:color w:val="000000"/>
                <w:sz w:val="18"/>
                <w:szCs w:val="18"/>
              </w:rPr>
              <w:t>2.97%</w:t>
            </w:r>
          </w:p>
        </w:tc>
        <w:tc>
          <w:tcPr>
            <w:tcW w:w="716" w:type="pct"/>
            <w:tcBorders>
              <w:top w:val="nil"/>
              <w:left w:val="nil"/>
              <w:bottom w:val="single" w:sz="4" w:space="0" w:color="auto"/>
              <w:right w:val="nil"/>
            </w:tcBorders>
            <w:shd w:val="clear" w:color="auto" w:fill="auto"/>
            <w:noWrap/>
            <w:vAlign w:val="center"/>
            <w:hideMark/>
          </w:tcPr>
          <w:p w14:paraId="41A94B1A" w14:textId="77777777" w:rsidR="00874916" w:rsidRPr="00B54118" w:rsidRDefault="00874916" w:rsidP="00EA28C4">
            <w:pPr>
              <w:jc w:val="center"/>
              <w:rPr>
                <w:color w:val="000000"/>
                <w:sz w:val="18"/>
                <w:szCs w:val="18"/>
              </w:rPr>
            </w:pPr>
            <w:r w:rsidRPr="00B54118">
              <w:rPr>
                <w:color w:val="000000"/>
                <w:sz w:val="18"/>
                <w:szCs w:val="18"/>
              </w:rPr>
              <w:t>Australia</w:t>
            </w:r>
          </w:p>
        </w:tc>
        <w:tc>
          <w:tcPr>
            <w:tcW w:w="559" w:type="pct"/>
            <w:tcBorders>
              <w:top w:val="nil"/>
              <w:left w:val="nil"/>
              <w:bottom w:val="single" w:sz="4" w:space="0" w:color="auto"/>
              <w:right w:val="nil"/>
            </w:tcBorders>
            <w:shd w:val="clear" w:color="auto" w:fill="auto"/>
            <w:noWrap/>
            <w:vAlign w:val="center"/>
            <w:hideMark/>
          </w:tcPr>
          <w:p w14:paraId="16B304CE" w14:textId="77777777" w:rsidR="00874916" w:rsidRPr="00B54118" w:rsidRDefault="00874916" w:rsidP="00EA28C4">
            <w:pPr>
              <w:jc w:val="center"/>
              <w:rPr>
                <w:color w:val="000000"/>
                <w:sz w:val="18"/>
                <w:szCs w:val="18"/>
              </w:rPr>
            </w:pPr>
            <w:r w:rsidRPr="00B54118">
              <w:rPr>
                <w:color w:val="000000"/>
                <w:sz w:val="18"/>
                <w:szCs w:val="18"/>
              </w:rPr>
              <w:t>7.16</w:t>
            </w:r>
          </w:p>
        </w:tc>
        <w:tc>
          <w:tcPr>
            <w:tcW w:w="391" w:type="pct"/>
            <w:tcBorders>
              <w:top w:val="nil"/>
              <w:left w:val="nil"/>
              <w:bottom w:val="single" w:sz="4" w:space="0" w:color="auto"/>
              <w:right w:val="single" w:sz="4" w:space="0" w:color="auto"/>
            </w:tcBorders>
            <w:shd w:val="clear" w:color="auto" w:fill="auto"/>
            <w:noWrap/>
            <w:vAlign w:val="center"/>
            <w:hideMark/>
          </w:tcPr>
          <w:p w14:paraId="6CCC1CF0" w14:textId="77777777" w:rsidR="00874916" w:rsidRPr="00B54118" w:rsidRDefault="00874916" w:rsidP="00EA28C4">
            <w:pPr>
              <w:jc w:val="center"/>
              <w:rPr>
                <w:color w:val="000000"/>
                <w:sz w:val="18"/>
                <w:szCs w:val="18"/>
              </w:rPr>
            </w:pPr>
            <w:r w:rsidRPr="00B54118">
              <w:rPr>
                <w:color w:val="000000"/>
                <w:sz w:val="18"/>
                <w:szCs w:val="18"/>
              </w:rPr>
              <w:t>3.18%</w:t>
            </w:r>
          </w:p>
        </w:tc>
        <w:tc>
          <w:tcPr>
            <w:tcW w:w="730" w:type="pct"/>
            <w:tcBorders>
              <w:top w:val="nil"/>
              <w:left w:val="nil"/>
              <w:bottom w:val="single" w:sz="4" w:space="0" w:color="auto"/>
              <w:right w:val="nil"/>
            </w:tcBorders>
            <w:shd w:val="clear" w:color="auto" w:fill="auto"/>
            <w:noWrap/>
            <w:vAlign w:val="center"/>
            <w:hideMark/>
          </w:tcPr>
          <w:p w14:paraId="6D7F15AD" w14:textId="77777777" w:rsidR="00874916" w:rsidRPr="00B54118" w:rsidRDefault="00874916" w:rsidP="00EA28C4">
            <w:pPr>
              <w:jc w:val="center"/>
              <w:rPr>
                <w:color w:val="000000"/>
                <w:sz w:val="18"/>
                <w:szCs w:val="18"/>
              </w:rPr>
            </w:pPr>
            <w:r w:rsidRPr="00B54118">
              <w:rPr>
                <w:color w:val="000000"/>
                <w:sz w:val="18"/>
                <w:szCs w:val="18"/>
              </w:rPr>
              <w:t>Egypt</w:t>
            </w:r>
          </w:p>
        </w:tc>
        <w:tc>
          <w:tcPr>
            <w:tcW w:w="560" w:type="pct"/>
            <w:tcBorders>
              <w:top w:val="nil"/>
              <w:left w:val="nil"/>
              <w:bottom w:val="single" w:sz="4" w:space="0" w:color="auto"/>
              <w:right w:val="nil"/>
            </w:tcBorders>
            <w:shd w:val="clear" w:color="auto" w:fill="auto"/>
            <w:noWrap/>
            <w:vAlign w:val="center"/>
            <w:hideMark/>
          </w:tcPr>
          <w:p w14:paraId="3F6F7CAB" w14:textId="77777777" w:rsidR="00874916" w:rsidRPr="00B54118" w:rsidRDefault="00874916" w:rsidP="00EA28C4">
            <w:pPr>
              <w:jc w:val="center"/>
              <w:rPr>
                <w:color w:val="000000"/>
                <w:sz w:val="18"/>
                <w:szCs w:val="18"/>
              </w:rPr>
            </w:pPr>
            <w:r w:rsidRPr="00B54118">
              <w:rPr>
                <w:color w:val="000000"/>
                <w:sz w:val="18"/>
                <w:szCs w:val="18"/>
              </w:rPr>
              <w:t>7.75</w:t>
            </w:r>
          </w:p>
        </w:tc>
        <w:tc>
          <w:tcPr>
            <w:tcW w:w="377" w:type="pct"/>
            <w:tcBorders>
              <w:top w:val="nil"/>
              <w:left w:val="nil"/>
              <w:bottom w:val="single" w:sz="4" w:space="0" w:color="auto"/>
              <w:right w:val="nil"/>
            </w:tcBorders>
            <w:shd w:val="clear" w:color="auto" w:fill="auto"/>
            <w:noWrap/>
            <w:vAlign w:val="center"/>
            <w:hideMark/>
          </w:tcPr>
          <w:p w14:paraId="330E7879" w14:textId="77777777" w:rsidR="00874916" w:rsidRPr="00B54118" w:rsidRDefault="00874916" w:rsidP="00EA28C4">
            <w:pPr>
              <w:jc w:val="center"/>
              <w:rPr>
                <w:color w:val="000000"/>
                <w:sz w:val="18"/>
                <w:szCs w:val="18"/>
              </w:rPr>
            </w:pPr>
            <w:r w:rsidRPr="00B54118">
              <w:rPr>
                <w:color w:val="000000"/>
                <w:sz w:val="18"/>
                <w:szCs w:val="18"/>
              </w:rPr>
              <w:t>3.04%</w:t>
            </w:r>
          </w:p>
        </w:tc>
      </w:tr>
      <w:tr w:rsidR="00874916" w:rsidRPr="00B54118" w14:paraId="6967E4CB" w14:textId="77777777" w:rsidTr="00EA28C4">
        <w:trPr>
          <w:trHeight w:val="270"/>
          <w:jc w:val="center"/>
        </w:trPr>
        <w:tc>
          <w:tcPr>
            <w:tcW w:w="702" w:type="pct"/>
            <w:tcBorders>
              <w:top w:val="nil"/>
              <w:left w:val="nil"/>
              <w:bottom w:val="single" w:sz="4" w:space="0" w:color="auto"/>
              <w:right w:val="nil"/>
            </w:tcBorders>
            <w:shd w:val="clear" w:color="auto" w:fill="auto"/>
            <w:noWrap/>
            <w:vAlign w:val="center"/>
            <w:hideMark/>
          </w:tcPr>
          <w:p w14:paraId="5C29E4B4" w14:textId="77777777" w:rsidR="00874916" w:rsidRPr="00B54118" w:rsidRDefault="00874916" w:rsidP="00EA28C4">
            <w:pPr>
              <w:jc w:val="center"/>
              <w:rPr>
                <w:color w:val="000000"/>
                <w:sz w:val="18"/>
                <w:szCs w:val="18"/>
              </w:rPr>
            </w:pPr>
            <w:r w:rsidRPr="00B54118">
              <w:rPr>
                <w:color w:val="000000"/>
                <w:sz w:val="18"/>
                <w:szCs w:val="18"/>
              </w:rPr>
              <w:t>Total Export</w:t>
            </w:r>
          </w:p>
        </w:tc>
        <w:tc>
          <w:tcPr>
            <w:tcW w:w="561" w:type="pct"/>
            <w:tcBorders>
              <w:top w:val="nil"/>
              <w:left w:val="nil"/>
              <w:bottom w:val="single" w:sz="4" w:space="0" w:color="auto"/>
              <w:right w:val="nil"/>
            </w:tcBorders>
            <w:shd w:val="clear" w:color="auto" w:fill="auto"/>
            <w:noWrap/>
            <w:vAlign w:val="center"/>
            <w:hideMark/>
          </w:tcPr>
          <w:p w14:paraId="4E37A4E8" w14:textId="77777777" w:rsidR="00874916" w:rsidRPr="00B54118" w:rsidRDefault="00874916" w:rsidP="00EA28C4">
            <w:pPr>
              <w:jc w:val="center"/>
              <w:rPr>
                <w:color w:val="000000"/>
                <w:sz w:val="18"/>
                <w:szCs w:val="18"/>
              </w:rPr>
            </w:pPr>
            <w:r w:rsidRPr="00B54118">
              <w:rPr>
                <w:color w:val="000000"/>
                <w:sz w:val="18"/>
                <w:szCs w:val="18"/>
              </w:rPr>
              <w:t>258.75</w:t>
            </w:r>
          </w:p>
        </w:tc>
        <w:tc>
          <w:tcPr>
            <w:tcW w:w="404" w:type="pct"/>
            <w:tcBorders>
              <w:top w:val="nil"/>
              <w:left w:val="nil"/>
              <w:bottom w:val="single" w:sz="4" w:space="0" w:color="auto"/>
              <w:right w:val="single" w:sz="4" w:space="0" w:color="auto"/>
            </w:tcBorders>
            <w:shd w:val="clear" w:color="auto" w:fill="auto"/>
            <w:noWrap/>
            <w:vAlign w:val="center"/>
            <w:hideMark/>
          </w:tcPr>
          <w:p w14:paraId="47BE381D" w14:textId="77777777" w:rsidR="00874916" w:rsidRPr="00B54118" w:rsidRDefault="00874916" w:rsidP="00EA28C4">
            <w:pPr>
              <w:jc w:val="center"/>
              <w:rPr>
                <w:color w:val="000000"/>
                <w:sz w:val="18"/>
                <w:szCs w:val="18"/>
              </w:rPr>
            </w:pPr>
            <w:r w:rsidRPr="00B54118">
              <w:rPr>
                <w:color w:val="000000"/>
                <w:sz w:val="18"/>
                <w:szCs w:val="18"/>
              </w:rPr>
              <w:t>—</w:t>
            </w:r>
          </w:p>
        </w:tc>
        <w:tc>
          <w:tcPr>
            <w:tcW w:w="716" w:type="pct"/>
            <w:tcBorders>
              <w:top w:val="nil"/>
              <w:left w:val="nil"/>
              <w:bottom w:val="single" w:sz="4" w:space="0" w:color="auto"/>
              <w:right w:val="nil"/>
            </w:tcBorders>
            <w:shd w:val="clear" w:color="auto" w:fill="auto"/>
            <w:noWrap/>
            <w:vAlign w:val="center"/>
            <w:hideMark/>
          </w:tcPr>
          <w:p w14:paraId="677B9696" w14:textId="77777777" w:rsidR="00874916" w:rsidRPr="00B54118" w:rsidRDefault="00874916" w:rsidP="00EA28C4">
            <w:pPr>
              <w:jc w:val="center"/>
              <w:rPr>
                <w:color w:val="000000"/>
                <w:sz w:val="18"/>
                <w:szCs w:val="18"/>
              </w:rPr>
            </w:pPr>
            <w:r w:rsidRPr="00B54118">
              <w:rPr>
                <w:color w:val="000000"/>
                <w:sz w:val="18"/>
                <w:szCs w:val="18"/>
              </w:rPr>
              <w:t>Total Export</w:t>
            </w:r>
          </w:p>
        </w:tc>
        <w:tc>
          <w:tcPr>
            <w:tcW w:w="559" w:type="pct"/>
            <w:tcBorders>
              <w:top w:val="nil"/>
              <w:left w:val="nil"/>
              <w:bottom w:val="single" w:sz="4" w:space="0" w:color="auto"/>
              <w:right w:val="nil"/>
            </w:tcBorders>
            <w:shd w:val="clear" w:color="auto" w:fill="auto"/>
            <w:noWrap/>
            <w:vAlign w:val="center"/>
            <w:hideMark/>
          </w:tcPr>
          <w:p w14:paraId="0B4CE178" w14:textId="77777777" w:rsidR="00874916" w:rsidRPr="00B54118" w:rsidRDefault="00874916" w:rsidP="00EA28C4">
            <w:pPr>
              <w:jc w:val="center"/>
              <w:rPr>
                <w:color w:val="000000"/>
                <w:sz w:val="18"/>
                <w:szCs w:val="18"/>
              </w:rPr>
            </w:pPr>
            <w:r w:rsidRPr="00B54118">
              <w:rPr>
                <w:color w:val="000000"/>
                <w:sz w:val="18"/>
                <w:szCs w:val="18"/>
              </w:rPr>
              <w:t>225.08</w:t>
            </w:r>
          </w:p>
        </w:tc>
        <w:tc>
          <w:tcPr>
            <w:tcW w:w="391" w:type="pct"/>
            <w:tcBorders>
              <w:top w:val="nil"/>
              <w:left w:val="nil"/>
              <w:bottom w:val="single" w:sz="4" w:space="0" w:color="auto"/>
              <w:right w:val="single" w:sz="4" w:space="0" w:color="auto"/>
            </w:tcBorders>
            <w:shd w:val="clear" w:color="auto" w:fill="auto"/>
            <w:noWrap/>
            <w:vAlign w:val="center"/>
            <w:hideMark/>
          </w:tcPr>
          <w:p w14:paraId="1F727E6E" w14:textId="77777777" w:rsidR="00874916" w:rsidRPr="00B54118" w:rsidRDefault="00874916" w:rsidP="00EA28C4">
            <w:pPr>
              <w:jc w:val="center"/>
              <w:rPr>
                <w:color w:val="000000"/>
                <w:sz w:val="18"/>
                <w:szCs w:val="18"/>
              </w:rPr>
            </w:pPr>
            <w:r w:rsidRPr="00B54118">
              <w:rPr>
                <w:color w:val="000000"/>
                <w:sz w:val="18"/>
                <w:szCs w:val="18"/>
              </w:rPr>
              <w:t>—</w:t>
            </w:r>
          </w:p>
        </w:tc>
        <w:tc>
          <w:tcPr>
            <w:tcW w:w="730" w:type="pct"/>
            <w:tcBorders>
              <w:top w:val="nil"/>
              <w:left w:val="nil"/>
              <w:bottom w:val="single" w:sz="4" w:space="0" w:color="auto"/>
              <w:right w:val="nil"/>
            </w:tcBorders>
            <w:shd w:val="clear" w:color="auto" w:fill="auto"/>
            <w:noWrap/>
            <w:vAlign w:val="center"/>
            <w:hideMark/>
          </w:tcPr>
          <w:p w14:paraId="06690088" w14:textId="77777777" w:rsidR="00874916" w:rsidRPr="00B54118" w:rsidRDefault="00874916" w:rsidP="00EA28C4">
            <w:pPr>
              <w:jc w:val="center"/>
              <w:rPr>
                <w:color w:val="000000"/>
                <w:sz w:val="18"/>
                <w:szCs w:val="18"/>
              </w:rPr>
            </w:pPr>
            <w:r w:rsidRPr="00B54118">
              <w:rPr>
                <w:color w:val="000000"/>
                <w:sz w:val="18"/>
                <w:szCs w:val="18"/>
              </w:rPr>
              <w:t>Total Export</w:t>
            </w:r>
          </w:p>
        </w:tc>
        <w:tc>
          <w:tcPr>
            <w:tcW w:w="560" w:type="pct"/>
            <w:tcBorders>
              <w:top w:val="nil"/>
              <w:left w:val="nil"/>
              <w:bottom w:val="single" w:sz="4" w:space="0" w:color="auto"/>
              <w:right w:val="nil"/>
            </w:tcBorders>
            <w:shd w:val="clear" w:color="auto" w:fill="auto"/>
            <w:noWrap/>
            <w:vAlign w:val="center"/>
            <w:hideMark/>
          </w:tcPr>
          <w:p w14:paraId="05460839" w14:textId="77777777" w:rsidR="00874916" w:rsidRPr="00B54118" w:rsidRDefault="00874916" w:rsidP="00EA28C4">
            <w:pPr>
              <w:jc w:val="center"/>
              <w:rPr>
                <w:color w:val="000000"/>
                <w:sz w:val="18"/>
                <w:szCs w:val="18"/>
              </w:rPr>
            </w:pPr>
            <w:r w:rsidRPr="00B54118">
              <w:rPr>
                <w:color w:val="000000"/>
                <w:sz w:val="18"/>
                <w:szCs w:val="18"/>
              </w:rPr>
              <w:t>254.84</w:t>
            </w:r>
          </w:p>
        </w:tc>
        <w:tc>
          <w:tcPr>
            <w:tcW w:w="377" w:type="pct"/>
            <w:tcBorders>
              <w:top w:val="nil"/>
              <w:left w:val="nil"/>
              <w:bottom w:val="single" w:sz="4" w:space="0" w:color="auto"/>
              <w:right w:val="nil"/>
            </w:tcBorders>
            <w:shd w:val="clear" w:color="auto" w:fill="auto"/>
            <w:noWrap/>
            <w:vAlign w:val="center"/>
            <w:hideMark/>
          </w:tcPr>
          <w:p w14:paraId="6AB629A1" w14:textId="77777777" w:rsidR="00874916" w:rsidRPr="00B54118" w:rsidRDefault="00874916" w:rsidP="00EA28C4">
            <w:pPr>
              <w:jc w:val="center"/>
              <w:rPr>
                <w:color w:val="000000"/>
                <w:sz w:val="18"/>
                <w:szCs w:val="18"/>
              </w:rPr>
            </w:pPr>
            <w:r w:rsidRPr="00B54118">
              <w:rPr>
                <w:color w:val="000000"/>
                <w:sz w:val="18"/>
                <w:szCs w:val="18"/>
              </w:rPr>
              <w:t>—</w:t>
            </w:r>
          </w:p>
        </w:tc>
      </w:tr>
      <w:tr w:rsidR="00874916" w:rsidRPr="00B54118" w14:paraId="483A04CC" w14:textId="77777777" w:rsidTr="00EA28C4">
        <w:trPr>
          <w:trHeight w:val="300"/>
          <w:jc w:val="center"/>
        </w:trPr>
        <w:tc>
          <w:tcPr>
            <w:tcW w:w="702" w:type="pct"/>
            <w:tcBorders>
              <w:top w:val="nil"/>
              <w:left w:val="nil"/>
              <w:bottom w:val="single" w:sz="12" w:space="0" w:color="auto"/>
              <w:right w:val="nil"/>
            </w:tcBorders>
            <w:shd w:val="clear" w:color="auto" w:fill="auto"/>
            <w:noWrap/>
            <w:vAlign w:val="center"/>
            <w:hideMark/>
          </w:tcPr>
          <w:p w14:paraId="51C141BF" w14:textId="77777777" w:rsidR="00874916" w:rsidRPr="00B54118" w:rsidRDefault="00874916" w:rsidP="00EA28C4">
            <w:pPr>
              <w:jc w:val="center"/>
              <w:rPr>
                <w:color w:val="000000"/>
                <w:sz w:val="18"/>
                <w:szCs w:val="18"/>
              </w:rPr>
            </w:pPr>
            <w:r w:rsidRPr="00B54118">
              <w:rPr>
                <w:color w:val="000000"/>
                <w:sz w:val="18"/>
                <w:szCs w:val="18"/>
              </w:rPr>
              <w:t>Total</w:t>
            </w:r>
          </w:p>
        </w:tc>
        <w:tc>
          <w:tcPr>
            <w:tcW w:w="561" w:type="pct"/>
            <w:tcBorders>
              <w:top w:val="nil"/>
              <w:left w:val="nil"/>
              <w:bottom w:val="single" w:sz="12" w:space="0" w:color="auto"/>
              <w:right w:val="nil"/>
            </w:tcBorders>
            <w:shd w:val="clear" w:color="auto" w:fill="auto"/>
            <w:noWrap/>
            <w:vAlign w:val="center"/>
            <w:hideMark/>
          </w:tcPr>
          <w:p w14:paraId="7E041BD8" w14:textId="77777777" w:rsidR="00874916" w:rsidRPr="00B54118" w:rsidRDefault="00874916" w:rsidP="00EA28C4">
            <w:pPr>
              <w:jc w:val="center"/>
              <w:rPr>
                <w:color w:val="000000"/>
                <w:sz w:val="18"/>
                <w:szCs w:val="18"/>
              </w:rPr>
            </w:pPr>
            <w:r w:rsidRPr="00B54118">
              <w:rPr>
                <w:color w:val="000000"/>
                <w:sz w:val="18"/>
                <w:szCs w:val="18"/>
              </w:rPr>
              <w:t>—</w:t>
            </w:r>
          </w:p>
        </w:tc>
        <w:tc>
          <w:tcPr>
            <w:tcW w:w="404" w:type="pct"/>
            <w:tcBorders>
              <w:top w:val="nil"/>
              <w:left w:val="nil"/>
              <w:bottom w:val="single" w:sz="12" w:space="0" w:color="auto"/>
              <w:right w:val="single" w:sz="4" w:space="0" w:color="auto"/>
            </w:tcBorders>
            <w:shd w:val="clear" w:color="auto" w:fill="auto"/>
            <w:noWrap/>
            <w:vAlign w:val="center"/>
            <w:hideMark/>
          </w:tcPr>
          <w:p w14:paraId="7EAD170A" w14:textId="77777777" w:rsidR="00874916" w:rsidRPr="00B54118" w:rsidRDefault="00874916" w:rsidP="00EA28C4">
            <w:pPr>
              <w:jc w:val="center"/>
              <w:rPr>
                <w:color w:val="000000"/>
                <w:sz w:val="18"/>
                <w:szCs w:val="18"/>
              </w:rPr>
            </w:pPr>
            <w:r w:rsidRPr="00B54118">
              <w:rPr>
                <w:color w:val="000000"/>
                <w:sz w:val="18"/>
                <w:szCs w:val="18"/>
              </w:rPr>
              <w:t>76.25%</w:t>
            </w:r>
          </w:p>
        </w:tc>
        <w:tc>
          <w:tcPr>
            <w:tcW w:w="716" w:type="pct"/>
            <w:tcBorders>
              <w:top w:val="nil"/>
              <w:left w:val="nil"/>
              <w:bottom w:val="single" w:sz="12" w:space="0" w:color="auto"/>
              <w:right w:val="nil"/>
            </w:tcBorders>
            <w:shd w:val="clear" w:color="auto" w:fill="auto"/>
            <w:noWrap/>
            <w:vAlign w:val="center"/>
            <w:hideMark/>
          </w:tcPr>
          <w:p w14:paraId="5159D849" w14:textId="77777777" w:rsidR="00874916" w:rsidRPr="00B54118" w:rsidRDefault="00874916" w:rsidP="00EA28C4">
            <w:pPr>
              <w:jc w:val="center"/>
              <w:rPr>
                <w:color w:val="000000"/>
                <w:sz w:val="18"/>
                <w:szCs w:val="18"/>
              </w:rPr>
            </w:pPr>
            <w:r w:rsidRPr="00B54118">
              <w:rPr>
                <w:color w:val="000000"/>
                <w:sz w:val="18"/>
                <w:szCs w:val="18"/>
              </w:rPr>
              <w:t>Total</w:t>
            </w:r>
          </w:p>
        </w:tc>
        <w:tc>
          <w:tcPr>
            <w:tcW w:w="559" w:type="pct"/>
            <w:tcBorders>
              <w:top w:val="nil"/>
              <w:left w:val="nil"/>
              <w:bottom w:val="single" w:sz="12" w:space="0" w:color="auto"/>
              <w:right w:val="nil"/>
            </w:tcBorders>
            <w:shd w:val="clear" w:color="auto" w:fill="auto"/>
            <w:noWrap/>
            <w:vAlign w:val="center"/>
            <w:hideMark/>
          </w:tcPr>
          <w:p w14:paraId="7ECB59E2" w14:textId="77777777" w:rsidR="00874916" w:rsidRPr="00B54118" w:rsidRDefault="00874916" w:rsidP="00EA28C4">
            <w:pPr>
              <w:jc w:val="center"/>
              <w:rPr>
                <w:color w:val="000000"/>
                <w:sz w:val="18"/>
                <w:szCs w:val="18"/>
              </w:rPr>
            </w:pPr>
            <w:r w:rsidRPr="00B54118">
              <w:rPr>
                <w:color w:val="000000"/>
                <w:sz w:val="18"/>
                <w:szCs w:val="18"/>
              </w:rPr>
              <w:t>—</w:t>
            </w:r>
          </w:p>
        </w:tc>
        <w:tc>
          <w:tcPr>
            <w:tcW w:w="391" w:type="pct"/>
            <w:tcBorders>
              <w:top w:val="nil"/>
              <w:left w:val="nil"/>
              <w:bottom w:val="single" w:sz="12" w:space="0" w:color="auto"/>
              <w:right w:val="single" w:sz="4" w:space="0" w:color="auto"/>
            </w:tcBorders>
            <w:shd w:val="clear" w:color="auto" w:fill="auto"/>
            <w:noWrap/>
            <w:vAlign w:val="center"/>
            <w:hideMark/>
          </w:tcPr>
          <w:p w14:paraId="5A442C7C" w14:textId="77777777" w:rsidR="00874916" w:rsidRPr="00B54118" w:rsidRDefault="00874916" w:rsidP="00EA28C4">
            <w:pPr>
              <w:jc w:val="center"/>
              <w:rPr>
                <w:color w:val="000000"/>
                <w:sz w:val="18"/>
                <w:szCs w:val="18"/>
              </w:rPr>
            </w:pPr>
            <w:r w:rsidRPr="00B54118">
              <w:rPr>
                <w:color w:val="000000"/>
                <w:sz w:val="18"/>
                <w:szCs w:val="18"/>
              </w:rPr>
              <w:t>60.91%</w:t>
            </w:r>
          </w:p>
        </w:tc>
        <w:tc>
          <w:tcPr>
            <w:tcW w:w="730" w:type="pct"/>
            <w:tcBorders>
              <w:top w:val="nil"/>
              <w:left w:val="nil"/>
              <w:bottom w:val="single" w:sz="12" w:space="0" w:color="auto"/>
              <w:right w:val="nil"/>
            </w:tcBorders>
            <w:shd w:val="clear" w:color="auto" w:fill="auto"/>
            <w:noWrap/>
            <w:vAlign w:val="center"/>
            <w:hideMark/>
          </w:tcPr>
          <w:p w14:paraId="046B74C8" w14:textId="77777777" w:rsidR="00874916" w:rsidRPr="00B54118" w:rsidRDefault="00874916" w:rsidP="00EA28C4">
            <w:pPr>
              <w:jc w:val="center"/>
              <w:rPr>
                <w:color w:val="000000"/>
                <w:sz w:val="18"/>
                <w:szCs w:val="18"/>
              </w:rPr>
            </w:pPr>
            <w:r w:rsidRPr="00B54118">
              <w:rPr>
                <w:color w:val="000000"/>
                <w:sz w:val="18"/>
                <w:szCs w:val="18"/>
              </w:rPr>
              <w:t>Total</w:t>
            </w:r>
          </w:p>
        </w:tc>
        <w:tc>
          <w:tcPr>
            <w:tcW w:w="560" w:type="pct"/>
            <w:tcBorders>
              <w:top w:val="nil"/>
              <w:left w:val="nil"/>
              <w:bottom w:val="single" w:sz="12" w:space="0" w:color="auto"/>
              <w:right w:val="nil"/>
            </w:tcBorders>
            <w:shd w:val="clear" w:color="auto" w:fill="auto"/>
            <w:noWrap/>
            <w:vAlign w:val="center"/>
            <w:hideMark/>
          </w:tcPr>
          <w:p w14:paraId="296BC711" w14:textId="77777777" w:rsidR="00874916" w:rsidRPr="00B54118" w:rsidRDefault="00874916" w:rsidP="00EA28C4">
            <w:pPr>
              <w:jc w:val="center"/>
              <w:rPr>
                <w:color w:val="000000"/>
                <w:sz w:val="18"/>
                <w:szCs w:val="18"/>
              </w:rPr>
            </w:pPr>
            <w:r w:rsidRPr="00B54118">
              <w:rPr>
                <w:color w:val="000000"/>
                <w:sz w:val="18"/>
                <w:szCs w:val="18"/>
              </w:rPr>
              <w:t>—</w:t>
            </w:r>
          </w:p>
        </w:tc>
        <w:tc>
          <w:tcPr>
            <w:tcW w:w="377" w:type="pct"/>
            <w:tcBorders>
              <w:top w:val="nil"/>
              <w:left w:val="nil"/>
              <w:bottom w:val="single" w:sz="12" w:space="0" w:color="auto"/>
              <w:right w:val="nil"/>
            </w:tcBorders>
            <w:shd w:val="clear" w:color="auto" w:fill="auto"/>
            <w:noWrap/>
            <w:vAlign w:val="center"/>
            <w:hideMark/>
          </w:tcPr>
          <w:p w14:paraId="26C0A9AC" w14:textId="77777777" w:rsidR="00874916" w:rsidRPr="00B54118" w:rsidRDefault="00874916" w:rsidP="00EA28C4">
            <w:pPr>
              <w:jc w:val="center"/>
              <w:rPr>
                <w:color w:val="000000"/>
                <w:sz w:val="18"/>
                <w:szCs w:val="18"/>
              </w:rPr>
            </w:pPr>
            <w:r w:rsidRPr="00B54118">
              <w:rPr>
                <w:color w:val="000000"/>
                <w:sz w:val="18"/>
                <w:szCs w:val="18"/>
              </w:rPr>
              <w:t>76.07%</w:t>
            </w:r>
          </w:p>
        </w:tc>
      </w:tr>
    </w:tbl>
    <w:p w14:paraId="74D6F3BA" w14:textId="77777777" w:rsidR="00874916" w:rsidRPr="002C524B" w:rsidRDefault="00874916" w:rsidP="00874916">
      <w:pPr>
        <w:autoSpaceDE w:val="0"/>
        <w:autoSpaceDN w:val="0"/>
        <w:adjustRightInd w:val="0"/>
        <w:spacing w:afterLines="100" w:after="240"/>
        <w:rPr>
          <w:szCs w:val="21"/>
        </w:rPr>
      </w:pPr>
    </w:p>
    <w:tbl>
      <w:tblPr>
        <w:tblW w:w="5000" w:type="pct"/>
        <w:tblBorders>
          <w:top w:val="single" w:sz="12" w:space="0" w:color="auto"/>
          <w:bottom w:val="single" w:sz="12" w:space="0" w:color="auto"/>
        </w:tblBorders>
        <w:tblLook w:val="04A0" w:firstRow="1" w:lastRow="0" w:firstColumn="1" w:lastColumn="0" w:noHBand="0" w:noVBand="1"/>
      </w:tblPr>
      <w:tblGrid>
        <w:gridCol w:w="2041"/>
        <w:gridCol w:w="1331"/>
        <w:gridCol w:w="948"/>
        <w:gridCol w:w="2041"/>
        <w:gridCol w:w="1331"/>
        <w:gridCol w:w="948"/>
      </w:tblGrid>
      <w:tr w:rsidR="00874916" w:rsidRPr="002C524B" w14:paraId="22C43A39" w14:textId="77777777" w:rsidTr="00EA28C4">
        <w:trPr>
          <w:trHeight w:val="270"/>
        </w:trPr>
        <w:tc>
          <w:tcPr>
            <w:tcW w:w="1153" w:type="pct"/>
            <w:tcBorders>
              <w:bottom w:val="single" w:sz="4" w:space="0" w:color="auto"/>
            </w:tcBorders>
            <w:shd w:val="clear" w:color="auto" w:fill="auto"/>
            <w:noWrap/>
            <w:vAlign w:val="center"/>
            <w:hideMark/>
          </w:tcPr>
          <w:p w14:paraId="75511CCE" w14:textId="77777777" w:rsidR="00874916" w:rsidRPr="002C524B" w:rsidRDefault="00874916" w:rsidP="00EA28C4">
            <w:pPr>
              <w:jc w:val="center"/>
              <w:rPr>
                <w:color w:val="000000"/>
                <w:sz w:val="18"/>
                <w:szCs w:val="18"/>
              </w:rPr>
            </w:pPr>
          </w:p>
        </w:tc>
        <w:tc>
          <w:tcPr>
            <w:tcW w:w="742" w:type="pct"/>
            <w:tcBorders>
              <w:bottom w:val="single" w:sz="4" w:space="0" w:color="auto"/>
            </w:tcBorders>
            <w:shd w:val="clear" w:color="auto" w:fill="auto"/>
            <w:noWrap/>
            <w:vAlign w:val="center"/>
            <w:hideMark/>
          </w:tcPr>
          <w:p w14:paraId="43CAFCF4" w14:textId="77777777" w:rsidR="00874916" w:rsidRPr="002C524B" w:rsidRDefault="00874916" w:rsidP="00EA28C4">
            <w:pPr>
              <w:jc w:val="center"/>
              <w:rPr>
                <w:color w:val="000000"/>
                <w:sz w:val="18"/>
                <w:szCs w:val="18"/>
              </w:rPr>
            </w:pPr>
            <w:r w:rsidRPr="002C524B">
              <w:rPr>
                <w:color w:val="000000"/>
                <w:sz w:val="18"/>
                <w:szCs w:val="18"/>
              </w:rPr>
              <w:t>2014</w:t>
            </w:r>
          </w:p>
        </w:tc>
        <w:tc>
          <w:tcPr>
            <w:tcW w:w="605" w:type="pct"/>
            <w:tcBorders>
              <w:bottom w:val="single" w:sz="4" w:space="0" w:color="auto"/>
            </w:tcBorders>
            <w:shd w:val="clear" w:color="auto" w:fill="auto"/>
            <w:noWrap/>
            <w:vAlign w:val="center"/>
            <w:hideMark/>
          </w:tcPr>
          <w:p w14:paraId="5D56E8B1" w14:textId="77777777" w:rsidR="00874916" w:rsidRPr="002C524B" w:rsidRDefault="00874916" w:rsidP="00EA28C4">
            <w:pPr>
              <w:jc w:val="center"/>
              <w:rPr>
                <w:color w:val="000000"/>
                <w:sz w:val="18"/>
                <w:szCs w:val="18"/>
              </w:rPr>
            </w:pPr>
          </w:p>
        </w:tc>
        <w:tc>
          <w:tcPr>
            <w:tcW w:w="1153" w:type="pct"/>
            <w:tcBorders>
              <w:bottom w:val="single" w:sz="4" w:space="0" w:color="auto"/>
            </w:tcBorders>
            <w:shd w:val="clear" w:color="auto" w:fill="auto"/>
            <w:noWrap/>
            <w:vAlign w:val="center"/>
            <w:hideMark/>
          </w:tcPr>
          <w:p w14:paraId="6A29B626" w14:textId="77777777" w:rsidR="00874916" w:rsidRPr="002C524B" w:rsidRDefault="00874916" w:rsidP="00EA28C4">
            <w:pPr>
              <w:jc w:val="center"/>
              <w:rPr>
                <w:color w:val="000000"/>
                <w:sz w:val="18"/>
                <w:szCs w:val="18"/>
              </w:rPr>
            </w:pPr>
          </w:p>
        </w:tc>
        <w:tc>
          <w:tcPr>
            <w:tcW w:w="742" w:type="pct"/>
            <w:tcBorders>
              <w:bottom w:val="single" w:sz="4" w:space="0" w:color="auto"/>
            </w:tcBorders>
            <w:shd w:val="clear" w:color="auto" w:fill="auto"/>
            <w:noWrap/>
            <w:vAlign w:val="center"/>
            <w:hideMark/>
          </w:tcPr>
          <w:p w14:paraId="5D3DC691" w14:textId="77777777" w:rsidR="00874916" w:rsidRPr="002C524B" w:rsidRDefault="00874916" w:rsidP="00EA28C4">
            <w:pPr>
              <w:jc w:val="center"/>
              <w:rPr>
                <w:color w:val="000000"/>
                <w:sz w:val="18"/>
                <w:szCs w:val="18"/>
              </w:rPr>
            </w:pPr>
            <w:r w:rsidRPr="002C524B">
              <w:rPr>
                <w:color w:val="000000"/>
                <w:sz w:val="18"/>
                <w:szCs w:val="18"/>
              </w:rPr>
              <w:t>2015</w:t>
            </w:r>
          </w:p>
        </w:tc>
        <w:tc>
          <w:tcPr>
            <w:tcW w:w="605" w:type="pct"/>
            <w:tcBorders>
              <w:bottom w:val="single" w:sz="4" w:space="0" w:color="auto"/>
            </w:tcBorders>
            <w:shd w:val="clear" w:color="auto" w:fill="auto"/>
            <w:noWrap/>
            <w:vAlign w:val="center"/>
            <w:hideMark/>
          </w:tcPr>
          <w:p w14:paraId="25F77EB2" w14:textId="77777777" w:rsidR="00874916" w:rsidRPr="002C524B" w:rsidRDefault="00874916" w:rsidP="00EA28C4">
            <w:pPr>
              <w:jc w:val="center"/>
              <w:rPr>
                <w:color w:val="000000"/>
                <w:sz w:val="18"/>
                <w:szCs w:val="18"/>
              </w:rPr>
            </w:pPr>
          </w:p>
        </w:tc>
      </w:tr>
      <w:tr w:rsidR="00874916" w:rsidRPr="002C524B" w14:paraId="263571D4" w14:textId="77777777" w:rsidTr="00EA28C4">
        <w:trPr>
          <w:trHeight w:val="270"/>
        </w:trPr>
        <w:tc>
          <w:tcPr>
            <w:tcW w:w="1153" w:type="pct"/>
            <w:tcBorders>
              <w:top w:val="single" w:sz="4" w:space="0" w:color="auto"/>
              <w:bottom w:val="single" w:sz="4" w:space="0" w:color="auto"/>
            </w:tcBorders>
            <w:shd w:val="clear" w:color="auto" w:fill="auto"/>
            <w:noWrap/>
            <w:vAlign w:val="center"/>
            <w:hideMark/>
          </w:tcPr>
          <w:p w14:paraId="5CFA6217" w14:textId="77777777" w:rsidR="00874916" w:rsidRPr="002C524B" w:rsidRDefault="00874916" w:rsidP="00EA28C4">
            <w:pPr>
              <w:jc w:val="center"/>
              <w:rPr>
                <w:color w:val="000000"/>
                <w:sz w:val="18"/>
                <w:szCs w:val="18"/>
              </w:rPr>
            </w:pPr>
            <w:r w:rsidRPr="002C524B">
              <w:rPr>
                <w:color w:val="000000"/>
                <w:sz w:val="18"/>
                <w:szCs w:val="18"/>
              </w:rPr>
              <w:t>Importer</w:t>
            </w:r>
          </w:p>
        </w:tc>
        <w:tc>
          <w:tcPr>
            <w:tcW w:w="742" w:type="pct"/>
            <w:tcBorders>
              <w:top w:val="single" w:sz="4" w:space="0" w:color="auto"/>
              <w:bottom w:val="single" w:sz="4" w:space="0" w:color="auto"/>
            </w:tcBorders>
            <w:shd w:val="clear" w:color="auto" w:fill="auto"/>
            <w:noWrap/>
            <w:vAlign w:val="center"/>
            <w:hideMark/>
          </w:tcPr>
          <w:p w14:paraId="0C91EDD7" w14:textId="77777777" w:rsidR="00874916" w:rsidRPr="002C524B" w:rsidRDefault="00874916" w:rsidP="00EA28C4">
            <w:pPr>
              <w:jc w:val="center"/>
              <w:rPr>
                <w:color w:val="000000"/>
                <w:sz w:val="18"/>
                <w:szCs w:val="18"/>
              </w:rPr>
            </w:pPr>
            <w:r w:rsidRPr="002C524B">
              <w:rPr>
                <w:color w:val="000000"/>
                <w:sz w:val="18"/>
                <w:szCs w:val="18"/>
              </w:rPr>
              <w:t xml:space="preserve">Thousand </w:t>
            </w:r>
            <w:r>
              <w:rPr>
                <w:color w:val="000000"/>
                <w:sz w:val="18"/>
                <w:szCs w:val="18"/>
              </w:rPr>
              <w:t>Tons</w:t>
            </w:r>
          </w:p>
        </w:tc>
        <w:tc>
          <w:tcPr>
            <w:tcW w:w="605" w:type="pct"/>
            <w:tcBorders>
              <w:top w:val="single" w:sz="4" w:space="0" w:color="auto"/>
              <w:bottom w:val="single" w:sz="4" w:space="0" w:color="auto"/>
            </w:tcBorders>
            <w:shd w:val="clear" w:color="auto" w:fill="auto"/>
            <w:noWrap/>
            <w:vAlign w:val="center"/>
            <w:hideMark/>
          </w:tcPr>
          <w:p w14:paraId="555E10A5" w14:textId="77777777" w:rsidR="00874916" w:rsidRPr="002C524B" w:rsidRDefault="00874916" w:rsidP="00EA28C4">
            <w:pPr>
              <w:jc w:val="center"/>
              <w:rPr>
                <w:color w:val="000000"/>
                <w:sz w:val="18"/>
                <w:szCs w:val="18"/>
              </w:rPr>
            </w:pPr>
            <w:r w:rsidRPr="002C524B">
              <w:rPr>
                <w:color w:val="000000"/>
                <w:sz w:val="18"/>
                <w:szCs w:val="18"/>
              </w:rPr>
              <w:t>Percent</w:t>
            </w:r>
          </w:p>
        </w:tc>
        <w:tc>
          <w:tcPr>
            <w:tcW w:w="1153" w:type="pct"/>
            <w:tcBorders>
              <w:top w:val="single" w:sz="4" w:space="0" w:color="auto"/>
              <w:bottom w:val="single" w:sz="4" w:space="0" w:color="auto"/>
            </w:tcBorders>
            <w:shd w:val="clear" w:color="auto" w:fill="auto"/>
            <w:noWrap/>
            <w:vAlign w:val="center"/>
            <w:hideMark/>
          </w:tcPr>
          <w:p w14:paraId="14B164FB" w14:textId="77777777" w:rsidR="00874916" w:rsidRPr="002C524B" w:rsidRDefault="00874916" w:rsidP="00EA28C4">
            <w:pPr>
              <w:jc w:val="center"/>
              <w:rPr>
                <w:color w:val="000000"/>
                <w:sz w:val="18"/>
                <w:szCs w:val="18"/>
              </w:rPr>
            </w:pPr>
            <w:r w:rsidRPr="002C524B">
              <w:rPr>
                <w:color w:val="000000"/>
                <w:sz w:val="18"/>
                <w:szCs w:val="18"/>
              </w:rPr>
              <w:t>Importer</w:t>
            </w:r>
          </w:p>
        </w:tc>
        <w:tc>
          <w:tcPr>
            <w:tcW w:w="742" w:type="pct"/>
            <w:tcBorders>
              <w:top w:val="single" w:sz="4" w:space="0" w:color="auto"/>
              <w:bottom w:val="single" w:sz="4" w:space="0" w:color="auto"/>
            </w:tcBorders>
            <w:shd w:val="clear" w:color="auto" w:fill="auto"/>
            <w:noWrap/>
            <w:vAlign w:val="center"/>
            <w:hideMark/>
          </w:tcPr>
          <w:p w14:paraId="747BBF42" w14:textId="77777777" w:rsidR="00874916" w:rsidRPr="002C524B" w:rsidRDefault="00874916" w:rsidP="00EA28C4">
            <w:pPr>
              <w:jc w:val="center"/>
              <w:rPr>
                <w:color w:val="000000"/>
                <w:sz w:val="18"/>
                <w:szCs w:val="18"/>
              </w:rPr>
            </w:pPr>
            <w:r w:rsidRPr="002C524B">
              <w:rPr>
                <w:color w:val="000000"/>
                <w:sz w:val="18"/>
                <w:szCs w:val="18"/>
              </w:rPr>
              <w:t xml:space="preserve">Thousand </w:t>
            </w:r>
            <w:r>
              <w:rPr>
                <w:color w:val="000000"/>
                <w:sz w:val="18"/>
                <w:szCs w:val="18"/>
              </w:rPr>
              <w:t>Tons</w:t>
            </w:r>
          </w:p>
        </w:tc>
        <w:tc>
          <w:tcPr>
            <w:tcW w:w="605" w:type="pct"/>
            <w:tcBorders>
              <w:top w:val="single" w:sz="4" w:space="0" w:color="auto"/>
              <w:bottom w:val="single" w:sz="4" w:space="0" w:color="auto"/>
            </w:tcBorders>
            <w:shd w:val="clear" w:color="auto" w:fill="auto"/>
            <w:noWrap/>
            <w:vAlign w:val="center"/>
            <w:hideMark/>
          </w:tcPr>
          <w:p w14:paraId="4A652B28" w14:textId="77777777" w:rsidR="00874916" w:rsidRPr="002C524B" w:rsidRDefault="00874916" w:rsidP="00EA28C4">
            <w:pPr>
              <w:jc w:val="center"/>
              <w:rPr>
                <w:color w:val="000000"/>
                <w:sz w:val="18"/>
                <w:szCs w:val="18"/>
              </w:rPr>
            </w:pPr>
            <w:r w:rsidRPr="002C524B">
              <w:rPr>
                <w:color w:val="000000"/>
                <w:sz w:val="18"/>
                <w:szCs w:val="18"/>
              </w:rPr>
              <w:t>Percent</w:t>
            </w:r>
          </w:p>
        </w:tc>
      </w:tr>
      <w:tr w:rsidR="00874916" w:rsidRPr="002C524B" w14:paraId="36C50421" w14:textId="77777777" w:rsidTr="00EA28C4">
        <w:trPr>
          <w:trHeight w:val="270"/>
        </w:trPr>
        <w:tc>
          <w:tcPr>
            <w:tcW w:w="1153" w:type="pct"/>
            <w:tcBorders>
              <w:top w:val="single" w:sz="4" w:space="0" w:color="auto"/>
            </w:tcBorders>
            <w:shd w:val="clear" w:color="auto" w:fill="auto"/>
            <w:noWrap/>
            <w:vAlign w:val="center"/>
            <w:hideMark/>
          </w:tcPr>
          <w:p w14:paraId="6B5C92C0" w14:textId="77777777" w:rsidR="00874916" w:rsidRPr="002C524B" w:rsidRDefault="00874916" w:rsidP="00EA28C4">
            <w:pPr>
              <w:jc w:val="center"/>
              <w:rPr>
                <w:color w:val="000000"/>
                <w:sz w:val="18"/>
                <w:szCs w:val="18"/>
              </w:rPr>
            </w:pPr>
            <w:r w:rsidRPr="002C524B">
              <w:rPr>
                <w:color w:val="000000"/>
                <w:sz w:val="18"/>
                <w:szCs w:val="18"/>
              </w:rPr>
              <w:t>Russian Federation</w:t>
            </w:r>
          </w:p>
        </w:tc>
        <w:tc>
          <w:tcPr>
            <w:tcW w:w="742" w:type="pct"/>
            <w:tcBorders>
              <w:top w:val="single" w:sz="4" w:space="0" w:color="auto"/>
            </w:tcBorders>
            <w:shd w:val="clear" w:color="auto" w:fill="auto"/>
            <w:noWrap/>
            <w:vAlign w:val="center"/>
            <w:hideMark/>
          </w:tcPr>
          <w:p w14:paraId="5976CD8E" w14:textId="77777777" w:rsidR="00874916" w:rsidRPr="002C524B" w:rsidRDefault="00874916" w:rsidP="00EA28C4">
            <w:pPr>
              <w:jc w:val="center"/>
              <w:rPr>
                <w:color w:val="000000"/>
                <w:sz w:val="18"/>
                <w:szCs w:val="18"/>
              </w:rPr>
            </w:pPr>
            <w:r w:rsidRPr="002C524B">
              <w:rPr>
                <w:color w:val="000000"/>
                <w:sz w:val="18"/>
                <w:szCs w:val="18"/>
              </w:rPr>
              <w:t>39.53</w:t>
            </w:r>
          </w:p>
        </w:tc>
        <w:tc>
          <w:tcPr>
            <w:tcW w:w="605" w:type="pct"/>
            <w:tcBorders>
              <w:top w:val="single" w:sz="4" w:space="0" w:color="auto"/>
            </w:tcBorders>
            <w:shd w:val="clear" w:color="auto" w:fill="auto"/>
            <w:noWrap/>
            <w:vAlign w:val="center"/>
            <w:hideMark/>
          </w:tcPr>
          <w:p w14:paraId="3DB89987" w14:textId="77777777" w:rsidR="00874916" w:rsidRPr="002C524B" w:rsidRDefault="00874916" w:rsidP="00EA28C4">
            <w:pPr>
              <w:jc w:val="center"/>
              <w:rPr>
                <w:color w:val="000000"/>
                <w:sz w:val="18"/>
                <w:szCs w:val="18"/>
              </w:rPr>
            </w:pPr>
            <w:r w:rsidRPr="002C524B">
              <w:rPr>
                <w:color w:val="000000"/>
                <w:sz w:val="18"/>
                <w:szCs w:val="18"/>
              </w:rPr>
              <w:t>18.59%</w:t>
            </w:r>
          </w:p>
        </w:tc>
        <w:tc>
          <w:tcPr>
            <w:tcW w:w="1153" w:type="pct"/>
            <w:tcBorders>
              <w:top w:val="single" w:sz="4" w:space="0" w:color="auto"/>
            </w:tcBorders>
            <w:shd w:val="clear" w:color="auto" w:fill="auto"/>
            <w:noWrap/>
            <w:vAlign w:val="center"/>
            <w:hideMark/>
          </w:tcPr>
          <w:p w14:paraId="6DE69AD2" w14:textId="77777777" w:rsidR="00874916" w:rsidRPr="002C524B" w:rsidRDefault="00874916" w:rsidP="00EA28C4">
            <w:pPr>
              <w:jc w:val="center"/>
              <w:rPr>
                <w:color w:val="000000"/>
                <w:sz w:val="18"/>
                <w:szCs w:val="18"/>
              </w:rPr>
            </w:pPr>
            <w:r w:rsidRPr="002C524B">
              <w:rPr>
                <w:color w:val="000000"/>
                <w:sz w:val="18"/>
                <w:szCs w:val="18"/>
              </w:rPr>
              <w:t>Russian Federation</w:t>
            </w:r>
          </w:p>
        </w:tc>
        <w:tc>
          <w:tcPr>
            <w:tcW w:w="742" w:type="pct"/>
            <w:tcBorders>
              <w:top w:val="single" w:sz="4" w:space="0" w:color="auto"/>
            </w:tcBorders>
            <w:shd w:val="clear" w:color="auto" w:fill="auto"/>
            <w:noWrap/>
            <w:vAlign w:val="center"/>
            <w:hideMark/>
          </w:tcPr>
          <w:p w14:paraId="42CE4EC5" w14:textId="77777777" w:rsidR="00874916" w:rsidRPr="002C524B" w:rsidRDefault="00874916" w:rsidP="00EA28C4">
            <w:pPr>
              <w:jc w:val="center"/>
              <w:rPr>
                <w:color w:val="000000"/>
                <w:sz w:val="18"/>
                <w:szCs w:val="18"/>
              </w:rPr>
            </w:pPr>
            <w:r w:rsidRPr="002C524B">
              <w:rPr>
                <w:color w:val="000000"/>
                <w:sz w:val="18"/>
                <w:szCs w:val="18"/>
              </w:rPr>
              <w:t>47.51</w:t>
            </w:r>
          </w:p>
        </w:tc>
        <w:tc>
          <w:tcPr>
            <w:tcW w:w="605" w:type="pct"/>
            <w:tcBorders>
              <w:top w:val="single" w:sz="4" w:space="0" w:color="auto"/>
            </w:tcBorders>
            <w:shd w:val="clear" w:color="auto" w:fill="auto"/>
            <w:noWrap/>
            <w:vAlign w:val="center"/>
            <w:hideMark/>
          </w:tcPr>
          <w:p w14:paraId="7FB0A55E" w14:textId="77777777" w:rsidR="00874916" w:rsidRPr="002C524B" w:rsidRDefault="00874916" w:rsidP="00EA28C4">
            <w:pPr>
              <w:jc w:val="center"/>
              <w:rPr>
                <w:color w:val="000000"/>
                <w:sz w:val="18"/>
                <w:szCs w:val="18"/>
              </w:rPr>
            </w:pPr>
            <w:r w:rsidRPr="002C524B">
              <w:rPr>
                <w:color w:val="000000"/>
                <w:sz w:val="18"/>
                <w:szCs w:val="18"/>
              </w:rPr>
              <w:t>20.21%</w:t>
            </w:r>
          </w:p>
        </w:tc>
      </w:tr>
      <w:tr w:rsidR="00874916" w:rsidRPr="002C524B" w14:paraId="20BC823F" w14:textId="77777777" w:rsidTr="00EA28C4">
        <w:trPr>
          <w:trHeight w:val="270"/>
        </w:trPr>
        <w:tc>
          <w:tcPr>
            <w:tcW w:w="1153" w:type="pct"/>
            <w:shd w:val="clear" w:color="auto" w:fill="auto"/>
            <w:noWrap/>
            <w:vAlign w:val="center"/>
            <w:hideMark/>
          </w:tcPr>
          <w:p w14:paraId="3F3C3EEE" w14:textId="77777777" w:rsidR="00874916" w:rsidRPr="002C524B" w:rsidRDefault="00874916" w:rsidP="00EA28C4">
            <w:pPr>
              <w:jc w:val="center"/>
              <w:rPr>
                <w:color w:val="000000"/>
                <w:sz w:val="18"/>
                <w:szCs w:val="18"/>
              </w:rPr>
            </w:pPr>
            <w:r w:rsidRPr="002C524B">
              <w:rPr>
                <w:color w:val="000000"/>
                <w:sz w:val="18"/>
                <w:szCs w:val="18"/>
              </w:rPr>
              <w:t>Iran, Islamic Republic of</w:t>
            </w:r>
          </w:p>
        </w:tc>
        <w:tc>
          <w:tcPr>
            <w:tcW w:w="742" w:type="pct"/>
            <w:shd w:val="clear" w:color="auto" w:fill="auto"/>
            <w:noWrap/>
            <w:vAlign w:val="center"/>
            <w:hideMark/>
          </w:tcPr>
          <w:p w14:paraId="0546FB3E" w14:textId="77777777" w:rsidR="00874916" w:rsidRPr="002C524B" w:rsidRDefault="00874916" w:rsidP="00EA28C4">
            <w:pPr>
              <w:jc w:val="center"/>
              <w:rPr>
                <w:color w:val="000000"/>
                <w:sz w:val="18"/>
                <w:szCs w:val="18"/>
              </w:rPr>
            </w:pPr>
            <w:r w:rsidRPr="002C524B">
              <w:rPr>
                <w:color w:val="000000"/>
                <w:sz w:val="18"/>
                <w:szCs w:val="18"/>
              </w:rPr>
              <w:t>19.52</w:t>
            </w:r>
          </w:p>
        </w:tc>
        <w:tc>
          <w:tcPr>
            <w:tcW w:w="605" w:type="pct"/>
            <w:shd w:val="clear" w:color="auto" w:fill="auto"/>
            <w:noWrap/>
            <w:vAlign w:val="center"/>
            <w:hideMark/>
          </w:tcPr>
          <w:p w14:paraId="0F2137A4" w14:textId="77777777" w:rsidR="00874916" w:rsidRPr="002C524B" w:rsidRDefault="00874916" w:rsidP="00EA28C4">
            <w:pPr>
              <w:jc w:val="center"/>
              <w:rPr>
                <w:color w:val="000000"/>
                <w:sz w:val="18"/>
                <w:szCs w:val="18"/>
              </w:rPr>
            </w:pPr>
            <w:r w:rsidRPr="002C524B">
              <w:rPr>
                <w:color w:val="000000"/>
                <w:sz w:val="18"/>
                <w:szCs w:val="18"/>
              </w:rPr>
              <w:t>9.18%</w:t>
            </w:r>
          </w:p>
        </w:tc>
        <w:tc>
          <w:tcPr>
            <w:tcW w:w="1153" w:type="pct"/>
            <w:shd w:val="clear" w:color="auto" w:fill="auto"/>
            <w:noWrap/>
            <w:vAlign w:val="center"/>
            <w:hideMark/>
          </w:tcPr>
          <w:p w14:paraId="08605850" w14:textId="77777777" w:rsidR="00874916" w:rsidRPr="002C524B" w:rsidRDefault="00874916" w:rsidP="00EA28C4">
            <w:pPr>
              <w:jc w:val="center"/>
              <w:rPr>
                <w:color w:val="000000"/>
                <w:sz w:val="18"/>
                <w:szCs w:val="18"/>
              </w:rPr>
            </w:pPr>
            <w:r w:rsidRPr="002C524B">
              <w:rPr>
                <w:color w:val="000000"/>
                <w:sz w:val="18"/>
                <w:szCs w:val="18"/>
              </w:rPr>
              <w:t>Iran, Islamic Republic of</w:t>
            </w:r>
          </w:p>
        </w:tc>
        <w:tc>
          <w:tcPr>
            <w:tcW w:w="742" w:type="pct"/>
            <w:shd w:val="clear" w:color="auto" w:fill="auto"/>
            <w:noWrap/>
            <w:vAlign w:val="center"/>
            <w:hideMark/>
          </w:tcPr>
          <w:p w14:paraId="73289E58" w14:textId="77777777" w:rsidR="00874916" w:rsidRPr="002C524B" w:rsidRDefault="00874916" w:rsidP="00EA28C4">
            <w:pPr>
              <w:jc w:val="center"/>
              <w:rPr>
                <w:color w:val="000000"/>
                <w:sz w:val="18"/>
                <w:szCs w:val="18"/>
              </w:rPr>
            </w:pPr>
            <w:r w:rsidRPr="002C524B">
              <w:rPr>
                <w:color w:val="000000"/>
                <w:sz w:val="18"/>
                <w:szCs w:val="18"/>
              </w:rPr>
              <w:t>25.43</w:t>
            </w:r>
          </w:p>
        </w:tc>
        <w:tc>
          <w:tcPr>
            <w:tcW w:w="605" w:type="pct"/>
            <w:shd w:val="clear" w:color="auto" w:fill="auto"/>
            <w:noWrap/>
            <w:vAlign w:val="center"/>
            <w:hideMark/>
          </w:tcPr>
          <w:p w14:paraId="784F9964" w14:textId="77777777" w:rsidR="00874916" w:rsidRPr="002C524B" w:rsidRDefault="00874916" w:rsidP="00EA28C4">
            <w:pPr>
              <w:jc w:val="center"/>
              <w:rPr>
                <w:color w:val="000000"/>
                <w:sz w:val="18"/>
                <w:szCs w:val="18"/>
              </w:rPr>
            </w:pPr>
            <w:r w:rsidRPr="002C524B">
              <w:rPr>
                <w:color w:val="000000"/>
                <w:sz w:val="18"/>
                <w:szCs w:val="18"/>
              </w:rPr>
              <w:t>10.81%</w:t>
            </w:r>
          </w:p>
        </w:tc>
      </w:tr>
      <w:tr w:rsidR="00874916" w:rsidRPr="002C524B" w14:paraId="5AB68BEC" w14:textId="77777777" w:rsidTr="00EA28C4">
        <w:trPr>
          <w:trHeight w:val="270"/>
        </w:trPr>
        <w:tc>
          <w:tcPr>
            <w:tcW w:w="1153" w:type="pct"/>
            <w:shd w:val="clear" w:color="auto" w:fill="auto"/>
            <w:noWrap/>
            <w:vAlign w:val="center"/>
            <w:hideMark/>
          </w:tcPr>
          <w:p w14:paraId="7ADD7A88" w14:textId="77777777" w:rsidR="00874916" w:rsidRPr="002C524B" w:rsidRDefault="00874916" w:rsidP="00EA28C4">
            <w:pPr>
              <w:jc w:val="center"/>
              <w:rPr>
                <w:color w:val="000000"/>
                <w:sz w:val="18"/>
                <w:szCs w:val="18"/>
              </w:rPr>
            </w:pPr>
            <w:r w:rsidRPr="002C524B">
              <w:rPr>
                <w:color w:val="000000"/>
                <w:sz w:val="18"/>
                <w:szCs w:val="18"/>
              </w:rPr>
              <w:t>United Kingdom</w:t>
            </w:r>
          </w:p>
        </w:tc>
        <w:tc>
          <w:tcPr>
            <w:tcW w:w="742" w:type="pct"/>
            <w:shd w:val="clear" w:color="auto" w:fill="auto"/>
            <w:noWrap/>
            <w:vAlign w:val="center"/>
            <w:hideMark/>
          </w:tcPr>
          <w:p w14:paraId="1DB2B6D5" w14:textId="77777777" w:rsidR="00874916" w:rsidRPr="002C524B" w:rsidRDefault="00874916" w:rsidP="00EA28C4">
            <w:pPr>
              <w:jc w:val="center"/>
              <w:rPr>
                <w:color w:val="000000"/>
                <w:sz w:val="18"/>
                <w:szCs w:val="18"/>
              </w:rPr>
            </w:pPr>
            <w:r w:rsidRPr="002C524B">
              <w:rPr>
                <w:color w:val="000000"/>
                <w:sz w:val="18"/>
                <w:szCs w:val="18"/>
              </w:rPr>
              <w:t>18.91</w:t>
            </w:r>
          </w:p>
        </w:tc>
        <w:tc>
          <w:tcPr>
            <w:tcW w:w="605" w:type="pct"/>
            <w:shd w:val="clear" w:color="auto" w:fill="auto"/>
            <w:noWrap/>
            <w:vAlign w:val="center"/>
            <w:hideMark/>
          </w:tcPr>
          <w:p w14:paraId="6C1CD3EE" w14:textId="77777777" w:rsidR="00874916" w:rsidRPr="002C524B" w:rsidRDefault="00874916" w:rsidP="00EA28C4">
            <w:pPr>
              <w:jc w:val="center"/>
              <w:rPr>
                <w:color w:val="000000"/>
                <w:sz w:val="18"/>
                <w:szCs w:val="18"/>
              </w:rPr>
            </w:pPr>
            <w:r w:rsidRPr="002C524B">
              <w:rPr>
                <w:color w:val="000000"/>
                <w:sz w:val="18"/>
                <w:szCs w:val="18"/>
              </w:rPr>
              <w:t>8.89%</w:t>
            </w:r>
          </w:p>
        </w:tc>
        <w:tc>
          <w:tcPr>
            <w:tcW w:w="1153" w:type="pct"/>
            <w:shd w:val="clear" w:color="auto" w:fill="auto"/>
            <w:noWrap/>
            <w:vAlign w:val="center"/>
            <w:hideMark/>
          </w:tcPr>
          <w:p w14:paraId="28FB4766" w14:textId="77777777" w:rsidR="00874916" w:rsidRPr="002C524B" w:rsidRDefault="00874916" w:rsidP="00EA28C4">
            <w:pPr>
              <w:jc w:val="center"/>
              <w:rPr>
                <w:color w:val="000000"/>
                <w:sz w:val="18"/>
                <w:szCs w:val="18"/>
              </w:rPr>
            </w:pPr>
            <w:r w:rsidRPr="002C524B">
              <w:rPr>
                <w:color w:val="000000"/>
                <w:sz w:val="18"/>
                <w:szCs w:val="18"/>
              </w:rPr>
              <w:t>United Kingdom</w:t>
            </w:r>
          </w:p>
        </w:tc>
        <w:tc>
          <w:tcPr>
            <w:tcW w:w="742" w:type="pct"/>
            <w:shd w:val="clear" w:color="auto" w:fill="auto"/>
            <w:noWrap/>
            <w:vAlign w:val="center"/>
            <w:hideMark/>
          </w:tcPr>
          <w:p w14:paraId="4AEEEA4C" w14:textId="77777777" w:rsidR="00874916" w:rsidRPr="002C524B" w:rsidRDefault="00874916" w:rsidP="00EA28C4">
            <w:pPr>
              <w:jc w:val="center"/>
              <w:rPr>
                <w:color w:val="000000"/>
                <w:sz w:val="18"/>
                <w:szCs w:val="18"/>
              </w:rPr>
            </w:pPr>
            <w:r w:rsidRPr="002C524B">
              <w:rPr>
                <w:color w:val="000000"/>
                <w:sz w:val="18"/>
                <w:szCs w:val="18"/>
              </w:rPr>
              <w:t>20.32</w:t>
            </w:r>
          </w:p>
        </w:tc>
        <w:tc>
          <w:tcPr>
            <w:tcW w:w="605" w:type="pct"/>
            <w:shd w:val="clear" w:color="auto" w:fill="auto"/>
            <w:noWrap/>
            <w:vAlign w:val="center"/>
            <w:hideMark/>
          </w:tcPr>
          <w:p w14:paraId="4A9F4212" w14:textId="77777777" w:rsidR="00874916" w:rsidRPr="002C524B" w:rsidRDefault="00874916" w:rsidP="00EA28C4">
            <w:pPr>
              <w:jc w:val="center"/>
              <w:rPr>
                <w:color w:val="000000"/>
                <w:sz w:val="18"/>
                <w:szCs w:val="18"/>
              </w:rPr>
            </w:pPr>
            <w:r w:rsidRPr="002C524B">
              <w:rPr>
                <w:color w:val="000000"/>
                <w:sz w:val="18"/>
                <w:szCs w:val="18"/>
              </w:rPr>
              <w:t>8.64%</w:t>
            </w:r>
          </w:p>
        </w:tc>
      </w:tr>
      <w:tr w:rsidR="00874916" w:rsidRPr="002C524B" w14:paraId="78AF888F" w14:textId="77777777" w:rsidTr="00EA28C4">
        <w:trPr>
          <w:trHeight w:val="270"/>
        </w:trPr>
        <w:tc>
          <w:tcPr>
            <w:tcW w:w="1153" w:type="pct"/>
            <w:shd w:val="clear" w:color="auto" w:fill="auto"/>
            <w:noWrap/>
            <w:vAlign w:val="center"/>
            <w:hideMark/>
          </w:tcPr>
          <w:p w14:paraId="2822BF57" w14:textId="77777777" w:rsidR="00874916" w:rsidRPr="002C524B" w:rsidRDefault="00874916" w:rsidP="00EA28C4">
            <w:pPr>
              <w:jc w:val="center"/>
              <w:rPr>
                <w:color w:val="000000"/>
                <w:sz w:val="18"/>
                <w:szCs w:val="18"/>
              </w:rPr>
            </w:pPr>
            <w:r w:rsidRPr="002C524B">
              <w:rPr>
                <w:color w:val="000000"/>
                <w:sz w:val="18"/>
                <w:szCs w:val="18"/>
              </w:rPr>
              <w:t>United Arab Emirates</w:t>
            </w:r>
          </w:p>
        </w:tc>
        <w:tc>
          <w:tcPr>
            <w:tcW w:w="742" w:type="pct"/>
            <w:shd w:val="clear" w:color="auto" w:fill="auto"/>
            <w:noWrap/>
            <w:vAlign w:val="center"/>
            <w:hideMark/>
          </w:tcPr>
          <w:p w14:paraId="581347F1" w14:textId="77777777" w:rsidR="00874916" w:rsidRPr="002C524B" w:rsidRDefault="00874916" w:rsidP="00EA28C4">
            <w:pPr>
              <w:jc w:val="center"/>
              <w:rPr>
                <w:color w:val="000000"/>
                <w:sz w:val="18"/>
                <w:szCs w:val="18"/>
              </w:rPr>
            </w:pPr>
            <w:r w:rsidRPr="002C524B">
              <w:rPr>
                <w:color w:val="000000"/>
                <w:sz w:val="18"/>
                <w:szCs w:val="18"/>
              </w:rPr>
              <w:t>16.30</w:t>
            </w:r>
          </w:p>
        </w:tc>
        <w:tc>
          <w:tcPr>
            <w:tcW w:w="605" w:type="pct"/>
            <w:shd w:val="clear" w:color="auto" w:fill="auto"/>
            <w:noWrap/>
            <w:vAlign w:val="center"/>
            <w:hideMark/>
          </w:tcPr>
          <w:p w14:paraId="76BBD27F" w14:textId="77777777" w:rsidR="00874916" w:rsidRPr="002C524B" w:rsidRDefault="00874916" w:rsidP="00EA28C4">
            <w:pPr>
              <w:jc w:val="center"/>
              <w:rPr>
                <w:color w:val="000000"/>
                <w:sz w:val="18"/>
                <w:szCs w:val="18"/>
              </w:rPr>
            </w:pPr>
            <w:r w:rsidRPr="002C524B">
              <w:rPr>
                <w:color w:val="000000"/>
                <w:sz w:val="18"/>
                <w:szCs w:val="18"/>
              </w:rPr>
              <w:t>7.66%</w:t>
            </w:r>
          </w:p>
        </w:tc>
        <w:tc>
          <w:tcPr>
            <w:tcW w:w="1153" w:type="pct"/>
            <w:shd w:val="clear" w:color="auto" w:fill="auto"/>
            <w:noWrap/>
            <w:vAlign w:val="center"/>
            <w:hideMark/>
          </w:tcPr>
          <w:p w14:paraId="1E874C33" w14:textId="77777777" w:rsidR="00874916" w:rsidRPr="002C524B" w:rsidRDefault="00874916" w:rsidP="00EA28C4">
            <w:pPr>
              <w:jc w:val="center"/>
              <w:rPr>
                <w:color w:val="000000"/>
                <w:sz w:val="18"/>
                <w:szCs w:val="18"/>
              </w:rPr>
            </w:pPr>
            <w:r w:rsidRPr="002C524B">
              <w:rPr>
                <w:color w:val="000000"/>
                <w:sz w:val="18"/>
                <w:szCs w:val="18"/>
              </w:rPr>
              <w:t>Pakistan</w:t>
            </w:r>
          </w:p>
        </w:tc>
        <w:tc>
          <w:tcPr>
            <w:tcW w:w="742" w:type="pct"/>
            <w:shd w:val="clear" w:color="auto" w:fill="auto"/>
            <w:noWrap/>
            <w:vAlign w:val="center"/>
            <w:hideMark/>
          </w:tcPr>
          <w:p w14:paraId="4782EFF5" w14:textId="77777777" w:rsidR="00874916" w:rsidRPr="002C524B" w:rsidRDefault="00874916" w:rsidP="00EA28C4">
            <w:pPr>
              <w:jc w:val="center"/>
              <w:rPr>
                <w:color w:val="000000"/>
                <w:sz w:val="18"/>
                <w:szCs w:val="18"/>
              </w:rPr>
            </w:pPr>
            <w:r w:rsidRPr="002C524B">
              <w:rPr>
                <w:color w:val="000000"/>
                <w:sz w:val="18"/>
                <w:szCs w:val="18"/>
              </w:rPr>
              <w:t>19.62</w:t>
            </w:r>
          </w:p>
        </w:tc>
        <w:tc>
          <w:tcPr>
            <w:tcW w:w="605" w:type="pct"/>
            <w:shd w:val="clear" w:color="auto" w:fill="auto"/>
            <w:noWrap/>
            <w:vAlign w:val="center"/>
            <w:hideMark/>
          </w:tcPr>
          <w:p w14:paraId="053C6306" w14:textId="77777777" w:rsidR="00874916" w:rsidRPr="002C524B" w:rsidRDefault="00874916" w:rsidP="00EA28C4">
            <w:pPr>
              <w:jc w:val="center"/>
              <w:rPr>
                <w:color w:val="000000"/>
                <w:sz w:val="18"/>
                <w:szCs w:val="18"/>
              </w:rPr>
            </w:pPr>
            <w:r w:rsidRPr="002C524B">
              <w:rPr>
                <w:color w:val="000000"/>
                <w:sz w:val="18"/>
                <w:szCs w:val="18"/>
              </w:rPr>
              <w:t>8.35%</w:t>
            </w:r>
          </w:p>
        </w:tc>
      </w:tr>
      <w:tr w:rsidR="00874916" w:rsidRPr="002C524B" w14:paraId="08C66455" w14:textId="77777777" w:rsidTr="00EA28C4">
        <w:trPr>
          <w:trHeight w:val="270"/>
        </w:trPr>
        <w:tc>
          <w:tcPr>
            <w:tcW w:w="1153" w:type="pct"/>
            <w:shd w:val="clear" w:color="auto" w:fill="auto"/>
            <w:noWrap/>
            <w:vAlign w:val="center"/>
            <w:hideMark/>
          </w:tcPr>
          <w:p w14:paraId="0116DCAD" w14:textId="77777777" w:rsidR="00874916" w:rsidRPr="002C524B" w:rsidRDefault="00874916" w:rsidP="00EA28C4">
            <w:pPr>
              <w:jc w:val="center"/>
              <w:rPr>
                <w:color w:val="000000"/>
                <w:sz w:val="18"/>
                <w:szCs w:val="18"/>
              </w:rPr>
            </w:pPr>
            <w:r w:rsidRPr="002C524B">
              <w:rPr>
                <w:color w:val="000000"/>
                <w:sz w:val="18"/>
                <w:szCs w:val="18"/>
              </w:rPr>
              <w:t>Pakistan</w:t>
            </w:r>
          </w:p>
        </w:tc>
        <w:tc>
          <w:tcPr>
            <w:tcW w:w="742" w:type="pct"/>
            <w:shd w:val="clear" w:color="auto" w:fill="auto"/>
            <w:noWrap/>
            <w:vAlign w:val="center"/>
            <w:hideMark/>
          </w:tcPr>
          <w:p w14:paraId="651C7CBD" w14:textId="77777777" w:rsidR="00874916" w:rsidRPr="002C524B" w:rsidRDefault="00874916" w:rsidP="00EA28C4">
            <w:pPr>
              <w:jc w:val="center"/>
              <w:rPr>
                <w:color w:val="000000"/>
                <w:sz w:val="18"/>
                <w:szCs w:val="18"/>
              </w:rPr>
            </w:pPr>
            <w:r w:rsidRPr="002C524B">
              <w:rPr>
                <w:color w:val="000000"/>
                <w:sz w:val="18"/>
                <w:szCs w:val="18"/>
              </w:rPr>
              <w:t>15.70</w:t>
            </w:r>
          </w:p>
        </w:tc>
        <w:tc>
          <w:tcPr>
            <w:tcW w:w="605" w:type="pct"/>
            <w:shd w:val="clear" w:color="auto" w:fill="auto"/>
            <w:noWrap/>
            <w:vAlign w:val="center"/>
            <w:hideMark/>
          </w:tcPr>
          <w:p w14:paraId="10EA38BA" w14:textId="77777777" w:rsidR="00874916" w:rsidRPr="002C524B" w:rsidRDefault="00874916" w:rsidP="00EA28C4">
            <w:pPr>
              <w:jc w:val="center"/>
              <w:rPr>
                <w:color w:val="000000"/>
                <w:sz w:val="18"/>
                <w:szCs w:val="18"/>
              </w:rPr>
            </w:pPr>
            <w:r w:rsidRPr="002C524B">
              <w:rPr>
                <w:color w:val="000000"/>
                <w:sz w:val="18"/>
                <w:szCs w:val="18"/>
              </w:rPr>
              <w:t>7.38%</w:t>
            </w:r>
          </w:p>
        </w:tc>
        <w:tc>
          <w:tcPr>
            <w:tcW w:w="1153" w:type="pct"/>
            <w:shd w:val="clear" w:color="auto" w:fill="auto"/>
            <w:noWrap/>
            <w:vAlign w:val="center"/>
            <w:hideMark/>
          </w:tcPr>
          <w:p w14:paraId="048F0340" w14:textId="77777777" w:rsidR="00874916" w:rsidRPr="002C524B" w:rsidRDefault="00874916" w:rsidP="00EA28C4">
            <w:pPr>
              <w:jc w:val="center"/>
              <w:rPr>
                <w:color w:val="000000"/>
                <w:sz w:val="18"/>
                <w:szCs w:val="18"/>
              </w:rPr>
            </w:pPr>
            <w:r w:rsidRPr="002C524B">
              <w:rPr>
                <w:color w:val="000000"/>
                <w:sz w:val="18"/>
                <w:szCs w:val="18"/>
              </w:rPr>
              <w:t>United States of America</w:t>
            </w:r>
          </w:p>
        </w:tc>
        <w:tc>
          <w:tcPr>
            <w:tcW w:w="742" w:type="pct"/>
            <w:shd w:val="clear" w:color="auto" w:fill="auto"/>
            <w:noWrap/>
            <w:vAlign w:val="center"/>
            <w:hideMark/>
          </w:tcPr>
          <w:p w14:paraId="7D7C7341" w14:textId="77777777" w:rsidR="00874916" w:rsidRPr="002C524B" w:rsidRDefault="00874916" w:rsidP="00EA28C4">
            <w:pPr>
              <w:jc w:val="center"/>
              <w:rPr>
                <w:color w:val="000000"/>
                <w:sz w:val="18"/>
                <w:szCs w:val="18"/>
              </w:rPr>
            </w:pPr>
            <w:r w:rsidRPr="002C524B">
              <w:rPr>
                <w:color w:val="000000"/>
                <w:sz w:val="18"/>
                <w:szCs w:val="18"/>
              </w:rPr>
              <w:t>15.32</w:t>
            </w:r>
          </w:p>
        </w:tc>
        <w:tc>
          <w:tcPr>
            <w:tcW w:w="605" w:type="pct"/>
            <w:shd w:val="clear" w:color="auto" w:fill="auto"/>
            <w:noWrap/>
            <w:vAlign w:val="center"/>
            <w:hideMark/>
          </w:tcPr>
          <w:p w14:paraId="2A5E8FFB" w14:textId="77777777" w:rsidR="00874916" w:rsidRPr="002C524B" w:rsidRDefault="00874916" w:rsidP="00EA28C4">
            <w:pPr>
              <w:jc w:val="center"/>
              <w:rPr>
                <w:color w:val="000000"/>
                <w:sz w:val="18"/>
                <w:szCs w:val="18"/>
              </w:rPr>
            </w:pPr>
            <w:r w:rsidRPr="002C524B">
              <w:rPr>
                <w:color w:val="000000"/>
                <w:sz w:val="18"/>
                <w:szCs w:val="18"/>
              </w:rPr>
              <w:t>6.51%</w:t>
            </w:r>
          </w:p>
        </w:tc>
      </w:tr>
      <w:tr w:rsidR="00874916" w:rsidRPr="002C524B" w14:paraId="7D4D237B" w14:textId="77777777" w:rsidTr="00EA28C4">
        <w:trPr>
          <w:trHeight w:val="270"/>
        </w:trPr>
        <w:tc>
          <w:tcPr>
            <w:tcW w:w="1153" w:type="pct"/>
            <w:shd w:val="clear" w:color="auto" w:fill="auto"/>
            <w:noWrap/>
            <w:vAlign w:val="center"/>
            <w:hideMark/>
          </w:tcPr>
          <w:p w14:paraId="3E03C3AE" w14:textId="77777777" w:rsidR="00874916" w:rsidRPr="002C524B" w:rsidRDefault="00874916" w:rsidP="00EA28C4">
            <w:pPr>
              <w:jc w:val="center"/>
              <w:rPr>
                <w:color w:val="000000"/>
                <w:sz w:val="18"/>
                <w:szCs w:val="18"/>
              </w:rPr>
            </w:pPr>
            <w:r w:rsidRPr="002C524B">
              <w:rPr>
                <w:color w:val="000000"/>
                <w:sz w:val="18"/>
                <w:szCs w:val="18"/>
              </w:rPr>
              <w:t>United States of America</w:t>
            </w:r>
          </w:p>
        </w:tc>
        <w:tc>
          <w:tcPr>
            <w:tcW w:w="742" w:type="pct"/>
            <w:shd w:val="clear" w:color="auto" w:fill="auto"/>
            <w:noWrap/>
            <w:vAlign w:val="center"/>
            <w:hideMark/>
          </w:tcPr>
          <w:p w14:paraId="3176C9E5" w14:textId="77777777" w:rsidR="00874916" w:rsidRPr="002C524B" w:rsidRDefault="00874916" w:rsidP="00EA28C4">
            <w:pPr>
              <w:jc w:val="center"/>
              <w:rPr>
                <w:color w:val="000000"/>
                <w:sz w:val="18"/>
                <w:szCs w:val="18"/>
              </w:rPr>
            </w:pPr>
            <w:r w:rsidRPr="002C524B">
              <w:rPr>
                <w:color w:val="000000"/>
                <w:sz w:val="18"/>
                <w:szCs w:val="18"/>
              </w:rPr>
              <w:t>14.41</w:t>
            </w:r>
          </w:p>
        </w:tc>
        <w:tc>
          <w:tcPr>
            <w:tcW w:w="605" w:type="pct"/>
            <w:shd w:val="clear" w:color="auto" w:fill="auto"/>
            <w:noWrap/>
            <w:vAlign w:val="center"/>
            <w:hideMark/>
          </w:tcPr>
          <w:p w14:paraId="352C2E4F" w14:textId="77777777" w:rsidR="00874916" w:rsidRPr="002C524B" w:rsidRDefault="00874916" w:rsidP="00EA28C4">
            <w:pPr>
              <w:jc w:val="center"/>
              <w:rPr>
                <w:color w:val="000000"/>
                <w:sz w:val="18"/>
                <w:szCs w:val="18"/>
              </w:rPr>
            </w:pPr>
            <w:r w:rsidRPr="002C524B">
              <w:rPr>
                <w:color w:val="000000"/>
                <w:sz w:val="18"/>
                <w:szCs w:val="18"/>
              </w:rPr>
              <w:t>6.78%</w:t>
            </w:r>
          </w:p>
        </w:tc>
        <w:tc>
          <w:tcPr>
            <w:tcW w:w="1153" w:type="pct"/>
            <w:shd w:val="clear" w:color="auto" w:fill="auto"/>
            <w:noWrap/>
            <w:vAlign w:val="center"/>
            <w:hideMark/>
          </w:tcPr>
          <w:p w14:paraId="7AF9578D" w14:textId="77777777" w:rsidR="00874916" w:rsidRPr="002C524B" w:rsidRDefault="00874916" w:rsidP="00EA28C4">
            <w:pPr>
              <w:jc w:val="center"/>
              <w:rPr>
                <w:color w:val="000000"/>
                <w:sz w:val="18"/>
                <w:szCs w:val="18"/>
              </w:rPr>
            </w:pPr>
            <w:r w:rsidRPr="002C524B">
              <w:rPr>
                <w:color w:val="000000"/>
                <w:sz w:val="18"/>
                <w:szCs w:val="18"/>
              </w:rPr>
              <w:t>United Arab Emirates</w:t>
            </w:r>
          </w:p>
        </w:tc>
        <w:tc>
          <w:tcPr>
            <w:tcW w:w="742" w:type="pct"/>
            <w:shd w:val="clear" w:color="auto" w:fill="auto"/>
            <w:noWrap/>
            <w:vAlign w:val="center"/>
            <w:hideMark/>
          </w:tcPr>
          <w:p w14:paraId="4AA0A7AB" w14:textId="77777777" w:rsidR="00874916" w:rsidRPr="002C524B" w:rsidRDefault="00874916" w:rsidP="00EA28C4">
            <w:pPr>
              <w:jc w:val="center"/>
              <w:rPr>
                <w:color w:val="000000"/>
                <w:sz w:val="18"/>
                <w:szCs w:val="18"/>
              </w:rPr>
            </w:pPr>
            <w:r w:rsidRPr="002C524B">
              <w:rPr>
                <w:color w:val="000000"/>
                <w:sz w:val="18"/>
                <w:szCs w:val="18"/>
              </w:rPr>
              <w:t>14.50</w:t>
            </w:r>
          </w:p>
        </w:tc>
        <w:tc>
          <w:tcPr>
            <w:tcW w:w="605" w:type="pct"/>
            <w:shd w:val="clear" w:color="auto" w:fill="auto"/>
            <w:noWrap/>
            <w:vAlign w:val="center"/>
            <w:hideMark/>
          </w:tcPr>
          <w:p w14:paraId="104D373F" w14:textId="77777777" w:rsidR="00874916" w:rsidRPr="002C524B" w:rsidRDefault="00874916" w:rsidP="00EA28C4">
            <w:pPr>
              <w:jc w:val="center"/>
              <w:rPr>
                <w:color w:val="000000"/>
                <w:sz w:val="18"/>
                <w:szCs w:val="18"/>
              </w:rPr>
            </w:pPr>
            <w:r w:rsidRPr="002C524B">
              <w:rPr>
                <w:color w:val="000000"/>
                <w:sz w:val="18"/>
                <w:szCs w:val="18"/>
              </w:rPr>
              <w:t>6.17%</w:t>
            </w:r>
          </w:p>
        </w:tc>
      </w:tr>
      <w:tr w:rsidR="00874916" w:rsidRPr="002C524B" w14:paraId="587C469A" w14:textId="77777777" w:rsidTr="00EA28C4">
        <w:trPr>
          <w:trHeight w:val="270"/>
        </w:trPr>
        <w:tc>
          <w:tcPr>
            <w:tcW w:w="1153" w:type="pct"/>
            <w:shd w:val="clear" w:color="auto" w:fill="auto"/>
            <w:noWrap/>
            <w:vAlign w:val="center"/>
            <w:hideMark/>
          </w:tcPr>
          <w:p w14:paraId="13571D59" w14:textId="77777777" w:rsidR="00874916" w:rsidRPr="002C524B" w:rsidRDefault="00874916" w:rsidP="00EA28C4">
            <w:pPr>
              <w:jc w:val="center"/>
              <w:rPr>
                <w:color w:val="000000"/>
                <w:sz w:val="18"/>
                <w:szCs w:val="18"/>
              </w:rPr>
            </w:pPr>
            <w:r w:rsidRPr="002C524B">
              <w:rPr>
                <w:color w:val="000000"/>
                <w:sz w:val="18"/>
                <w:szCs w:val="18"/>
              </w:rPr>
              <w:t>Kazakhstan</w:t>
            </w:r>
          </w:p>
        </w:tc>
        <w:tc>
          <w:tcPr>
            <w:tcW w:w="742" w:type="pct"/>
            <w:shd w:val="clear" w:color="auto" w:fill="auto"/>
            <w:noWrap/>
            <w:vAlign w:val="center"/>
            <w:hideMark/>
          </w:tcPr>
          <w:p w14:paraId="100D95F5" w14:textId="77777777" w:rsidR="00874916" w:rsidRPr="002C524B" w:rsidRDefault="00874916" w:rsidP="00EA28C4">
            <w:pPr>
              <w:jc w:val="center"/>
              <w:rPr>
                <w:color w:val="000000"/>
                <w:sz w:val="18"/>
                <w:szCs w:val="18"/>
              </w:rPr>
            </w:pPr>
            <w:r w:rsidRPr="002C524B">
              <w:rPr>
                <w:color w:val="000000"/>
                <w:sz w:val="18"/>
                <w:szCs w:val="18"/>
              </w:rPr>
              <w:t>12.47</w:t>
            </w:r>
          </w:p>
        </w:tc>
        <w:tc>
          <w:tcPr>
            <w:tcW w:w="605" w:type="pct"/>
            <w:shd w:val="clear" w:color="auto" w:fill="auto"/>
            <w:noWrap/>
            <w:vAlign w:val="center"/>
            <w:hideMark/>
          </w:tcPr>
          <w:p w14:paraId="743E9B70" w14:textId="77777777" w:rsidR="00874916" w:rsidRPr="002C524B" w:rsidRDefault="00874916" w:rsidP="00EA28C4">
            <w:pPr>
              <w:jc w:val="center"/>
              <w:rPr>
                <w:color w:val="000000"/>
                <w:sz w:val="18"/>
                <w:szCs w:val="18"/>
              </w:rPr>
            </w:pPr>
            <w:r w:rsidRPr="002C524B">
              <w:rPr>
                <w:color w:val="000000"/>
                <w:sz w:val="18"/>
                <w:szCs w:val="18"/>
              </w:rPr>
              <w:t>5.86%</w:t>
            </w:r>
          </w:p>
        </w:tc>
        <w:tc>
          <w:tcPr>
            <w:tcW w:w="1153" w:type="pct"/>
            <w:shd w:val="clear" w:color="auto" w:fill="auto"/>
            <w:noWrap/>
            <w:vAlign w:val="center"/>
            <w:hideMark/>
          </w:tcPr>
          <w:p w14:paraId="20DE03D0" w14:textId="77777777" w:rsidR="00874916" w:rsidRPr="002C524B" w:rsidRDefault="00874916" w:rsidP="00EA28C4">
            <w:pPr>
              <w:jc w:val="center"/>
              <w:rPr>
                <w:color w:val="000000"/>
                <w:sz w:val="18"/>
                <w:szCs w:val="18"/>
              </w:rPr>
            </w:pPr>
            <w:r w:rsidRPr="002C524B">
              <w:rPr>
                <w:color w:val="000000"/>
                <w:sz w:val="18"/>
                <w:szCs w:val="18"/>
              </w:rPr>
              <w:t>Kazakhstan</w:t>
            </w:r>
          </w:p>
        </w:tc>
        <w:tc>
          <w:tcPr>
            <w:tcW w:w="742" w:type="pct"/>
            <w:shd w:val="clear" w:color="auto" w:fill="auto"/>
            <w:noWrap/>
            <w:vAlign w:val="center"/>
            <w:hideMark/>
          </w:tcPr>
          <w:p w14:paraId="0044FA3D" w14:textId="77777777" w:rsidR="00874916" w:rsidRPr="002C524B" w:rsidRDefault="00874916" w:rsidP="00EA28C4">
            <w:pPr>
              <w:jc w:val="center"/>
              <w:rPr>
                <w:color w:val="000000"/>
                <w:sz w:val="18"/>
                <w:szCs w:val="18"/>
              </w:rPr>
            </w:pPr>
            <w:r w:rsidRPr="002C524B">
              <w:rPr>
                <w:color w:val="000000"/>
                <w:sz w:val="18"/>
                <w:szCs w:val="18"/>
              </w:rPr>
              <w:t>11.52</w:t>
            </w:r>
          </w:p>
        </w:tc>
        <w:tc>
          <w:tcPr>
            <w:tcW w:w="605" w:type="pct"/>
            <w:shd w:val="clear" w:color="auto" w:fill="auto"/>
            <w:noWrap/>
            <w:vAlign w:val="center"/>
            <w:hideMark/>
          </w:tcPr>
          <w:p w14:paraId="7140A80F" w14:textId="77777777" w:rsidR="00874916" w:rsidRPr="002C524B" w:rsidRDefault="00874916" w:rsidP="00EA28C4">
            <w:pPr>
              <w:jc w:val="center"/>
              <w:rPr>
                <w:color w:val="000000"/>
                <w:sz w:val="18"/>
                <w:szCs w:val="18"/>
              </w:rPr>
            </w:pPr>
            <w:r w:rsidRPr="002C524B">
              <w:rPr>
                <w:color w:val="000000"/>
                <w:sz w:val="18"/>
                <w:szCs w:val="18"/>
              </w:rPr>
              <w:t>4.90%</w:t>
            </w:r>
          </w:p>
        </w:tc>
      </w:tr>
      <w:tr w:rsidR="00874916" w:rsidRPr="002C524B" w14:paraId="3AB2C708" w14:textId="77777777" w:rsidTr="00EA28C4">
        <w:trPr>
          <w:trHeight w:val="270"/>
        </w:trPr>
        <w:tc>
          <w:tcPr>
            <w:tcW w:w="1153" w:type="pct"/>
            <w:shd w:val="clear" w:color="auto" w:fill="auto"/>
            <w:noWrap/>
            <w:vAlign w:val="center"/>
            <w:hideMark/>
          </w:tcPr>
          <w:p w14:paraId="32AD739D" w14:textId="77777777" w:rsidR="00874916" w:rsidRPr="002C524B" w:rsidRDefault="00874916" w:rsidP="00EA28C4">
            <w:pPr>
              <w:jc w:val="center"/>
              <w:rPr>
                <w:color w:val="000000"/>
                <w:sz w:val="18"/>
                <w:szCs w:val="18"/>
              </w:rPr>
            </w:pPr>
            <w:r w:rsidRPr="002C524B">
              <w:rPr>
                <w:color w:val="000000"/>
                <w:sz w:val="18"/>
                <w:szCs w:val="18"/>
              </w:rPr>
              <w:t>Egypt</w:t>
            </w:r>
          </w:p>
        </w:tc>
        <w:tc>
          <w:tcPr>
            <w:tcW w:w="742" w:type="pct"/>
            <w:shd w:val="clear" w:color="auto" w:fill="auto"/>
            <w:noWrap/>
            <w:vAlign w:val="center"/>
            <w:hideMark/>
          </w:tcPr>
          <w:p w14:paraId="43391691" w14:textId="77777777" w:rsidR="00874916" w:rsidRPr="002C524B" w:rsidRDefault="00874916" w:rsidP="00EA28C4">
            <w:pPr>
              <w:jc w:val="center"/>
              <w:rPr>
                <w:color w:val="000000"/>
                <w:sz w:val="18"/>
                <w:szCs w:val="18"/>
              </w:rPr>
            </w:pPr>
            <w:r w:rsidRPr="002C524B">
              <w:rPr>
                <w:color w:val="000000"/>
                <w:sz w:val="18"/>
                <w:szCs w:val="18"/>
              </w:rPr>
              <w:t>8.17</w:t>
            </w:r>
          </w:p>
        </w:tc>
        <w:tc>
          <w:tcPr>
            <w:tcW w:w="605" w:type="pct"/>
            <w:shd w:val="clear" w:color="auto" w:fill="auto"/>
            <w:noWrap/>
            <w:vAlign w:val="center"/>
            <w:hideMark/>
          </w:tcPr>
          <w:p w14:paraId="00238BED" w14:textId="77777777" w:rsidR="00874916" w:rsidRPr="002C524B" w:rsidRDefault="00874916" w:rsidP="00EA28C4">
            <w:pPr>
              <w:jc w:val="center"/>
              <w:rPr>
                <w:color w:val="000000"/>
                <w:sz w:val="18"/>
                <w:szCs w:val="18"/>
              </w:rPr>
            </w:pPr>
            <w:r w:rsidRPr="002C524B">
              <w:rPr>
                <w:color w:val="000000"/>
                <w:sz w:val="18"/>
                <w:szCs w:val="18"/>
              </w:rPr>
              <w:t>3.84%</w:t>
            </w:r>
          </w:p>
        </w:tc>
        <w:tc>
          <w:tcPr>
            <w:tcW w:w="1153" w:type="pct"/>
            <w:shd w:val="clear" w:color="auto" w:fill="auto"/>
            <w:noWrap/>
            <w:vAlign w:val="center"/>
            <w:hideMark/>
          </w:tcPr>
          <w:p w14:paraId="6EBBAF01" w14:textId="77777777" w:rsidR="00874916" w:rsidRPr="002C524B" w:rsidRDefault="00874916" w:rsidP="00EA28C4">
            <w:pPr>
              <w:jc w:val="center"/>
              <w:rPr>
                <w:color w:val="000000"/>
                <w:sz w:val="18"/>
                <w:szCs w:val="18"/>
              </w:rPr>
            </w:pPr>
            <w:r w:rsidRPr="002C524B">
              <w:rPr>
                <w:color w:val="000000"/>
                <w:sz w:val="18"/>
                <w:szCs w:val="18"/>
              </w:rPr>
              <w:t>Germany</w:t>
            </w:r>
          </w:p>
        </w:tc>
        <w:tc>
          <w:tcPr>
            <w:tcW w:w="742" w:type="pct"/>
            <w:shd w:val="clear" w:color="auto" w:fill="auto"/>
            <w:noWrap/>
            <w:vAlign w:val="center"/>
            <w:hideMark/>
          </w:tcPr>
          <w:p w14:paraId="3135A424" w14:textId="77777777" w:rsidR="00874916" w:rsidRPr="002C524B" w:rsidRDefault="00874916" w:rsidP="00EA28C4">
            <w:pPr>
              <w:jc w:val="center"/>
              <w:rPr>
                <w:color w:val="000000"/>
                <w:sz w:val="18"/>
                <w:szCs w:val="18"/>
              </w:rPr>
            </w:pPr>
            <w:r w:rsidRPr="002C524B">
              <w:rPr>
                <w:color w:val="000000"/>
                <w:sz w:val="18"/>
                <w:szCs w:val="18"/>
              </w:rPr>
              <w:t>10.61</w:t>
            </w:r>
          </w:p>
        </w:tc>
        <w:tc>
          <w:tcPr>
            <w:tcW w:w="605" w:type="pct"/>
            <w:shd w:val="clear" w:color="auto" w:fill="auto"/>
            <w:noWrap/>
            <w:vAlign w:val="center"/>
            <w:hideMark/>
          </w:tcPr>
          <w:p w14:paraId="71E6B4CB" w14:textId="77777777" w:rsidR="00874916" w:rsidRPr="002C524B" w:rsidRDefault="00874916" w:rsidP="00EA28C4">
            <w:pPr>
              <w:jc w:val="center"/>
              <w:rPr>
                <w:color w:val="000000"/>
                <w:sz w:val="18"/>
                <w:szCs w:val="18"/>
              </w:rPr>
            </w:pPr>
            <w:r w:rsidRPr="002C524B">
              <w:rPr>
                <w:color w:val="000000"/>
                <w:sz w:val="18"/>
                <w:szCs w:val="18"/>
              </w:rPr>
              <w:t>4.51%</w:t>
            </w:r>
          </w:p>
        </w:tc>
      </w:tr>
      <w:tr w:rsidR="00874916" w:rsidRPr="002C524B" w14:paraId="42CC5A02" w14:textId="77777777" w:rsidTr="00EA28C4">
        <w:trPr>
          <w:trHeight w:val="270"/>
        </w:trPr>
        <w:tc>
          <w:tcPr>
            <w:tcW w:w="1153" w:type="pct"/>
            <w:shd w:val="clear" w:color="auto" w:fill="auto"/>
            <w:noWrap/>
            <w:vAlign w:val="center"/>
            <w:hideMark/>
          </w:tcPr>
          <w:p w14:paraId="778A5E56" w14:textId="77777777" w:rsidR="00874916" w:rsidRPr="002C524B" w:rsidRDefault="00874916" w:rsidP="00EA28C4">
            <w:pPr>
              <w:jc w:val="center"/>
              <w:rPr>
                <w:color w:val="000000"/>
                <w:sz w:val="18"/>
                <w:szCs w:val="18"/>
              </w:rPr>
            </w:pPr>
            <w:r w:rsidRPr="002C524B">
              <w:rPr>
                <w:color w:val="000000"/>
                <w:sz w:val="18"/>
                <w:szCs w:val="18"/>
              </w:rPr>
              <w:t>Germany</w:t>
            </w:r>
          </w:p>
        </w:tc>
        <w:tc>
          <w:tcPr>
            <w:tcW w:w="742" w:type="pct"/>
            <w:shd w:val="clear" w:color="auto" w:fill="auto"/>
            <w:noWrap/>
            <w:vAlign w:val="center"/>
            <w:hideMark/>
          </w:tcPr>
          <w:p w14:paraId="125200AE" w14:textId="77777777" w:rsidR="00874916" w:rsidRPr="002C524B" w:rsidRDefault="00874916" w:rsidP="00EA28C4">
            <w:pPr>
              <w:jc w:val="center"/>
              <w:rPr>
                <w:color w:val="000000"/>
                <w:sz w:val="18"/>
                <w:szCs w:val="18"/>
              </w:rPr>
            </w:pPr>
            <w:r w:rsidRPr="002C524B">
              <w:rPr>
                <w:color w:val="000000"/>
                <w:sz w:val="18"/>
                <w:szCs w:val="18"/>
              </w:rPr>
              <w:t>7.80</w:t>
            </w:r>
          </w:p>
        </w:tc>
        <w:tc>
          <w:tcPr>
            <w:tcW w:w="605" w:type="pct"/>
            <w:shd w:val="clear" w:color="auto" w:fill="auto"/>
            <w:noWrap/>
            <w:vAlign w:val="center"/>
            <w:hideMark/>
          </w:tcPr>
          <w:p w14:paraId="6EF0DB5D" w14:textId="77777777" w:rsidR="00874916" w:rsidRPr="002C524B" w:rsidRDefault="00874916" w:rsidP="00EA28C4">
            <w:pPr>
              <w:jc w:val="center"/>
              <w:rPr>
                <w:color w:val="000000"/>
                <w:sz w:val="18"/>
                <w:szCs w:val="18"/>
              </w:rPr>
            </w:pPr>
            <w:r w:rsidRPr="002C524B">
              <w:rPr>
                <w:color w:val="000000"/>
                <w:sz w:val="18"/>
                <w:szCs w:val="18"/>
              </w:rPr>
              <w:t>3.67%</w:t>
            </w:r>
          </w:p>
        </w:tc>
        <w:tc>
          <w:tcPr>
            <w:tcW w:w="1153" w:type="pct"/>
            <w:shd w:val="clear" w:color="auto" w:fill="auto"/>
            <w:noWrap/>
            <w:vAlign w:val="center"/>
            <w:hideMark/>
          </w:tcPr>
          <w:p w14:paraId="291C7BEB" w14:textId="77777777" w:rsidR="00874916" w:rsidRPr="002C524B" w:rsidRDefault="00874916" w:rsidP="00EA28C4">
            <w:pPr>
              <w:jc w:val="center"/>
              <w:rPr>
                <w:color w:val="000000"/>
                <w:sz w:val="18"/>
                <w:szCs w:val="18"/>
              </w:rPr>
            </w:pPr>
            <w:r w:rsidRPr="002C524B">
              <w:rPr>
                <w:color w:val="000000"/>
                <w:sz w:val="18"/>
                <w:szCs w:val="18"/>
              </w:rPr>
              <w:t>Bangladesh</w:t>
            </w:r>
          </w:p>
        </w:tc>
        <w:tc>
          <w:tcPr>
            <w:tcW w:w="742" w:type="pct"/>
            <w:shd w:val="clear" w:color="auto" w:fill="auto"/>
            <w:noWrap/>
            <w:vAlign w:val="center"/>
            <w:hideMark/>
          </w:tcPr>
          <w:p w14:paraId="44CAA709" w14:textId="77777777" w:rsidR="00874916" w:rsidRPr="002C524B" w:rsidRDefault="00874916" w:rsidP="00EA28C4">
            <w:pPr>
              <w:jc w:val="center"/>
              <w:rPr>
                <w:color w:val="000000"/>
                <w:sz w:val="18"/>
                <w:szCs w:val="18"/>
              </w:rPr>
            </w:pPr>
            <w:r w:rsidRPr="002C524B">
              <w:rPr>
                <w:color w:val="000000"/>
                <w:sz w:val="18"/>
                <w:szCs w:val="18"/>
              </w:rPr>
              <w:t>8.93</w:t>
            </w:r>
          </w:p>
        </w:tc>
        <w:tc>
          <w:tcPr>
            <w:tcW w:w="605" w:type="pct"/>
            <w:shd w:val="clear" w:color="auto" w:fill="auto"/>
            <w:noWrap/>
            <w:vAlign w:val="center"/>
            <w:hideMark/>
          </w:tcPr>
          <w:p w14:paraId="2D76D4BE" w14:textId="77777777" w:rsidR="00874916" w:rsidRPr="002C524B" w:rsidRDefault="00874916" w:rsidP="00EA28C4">
            <w:pPr>
              <w:jc w:val="center"/>
              <w:rPr>
                <w:color w:val="000000"/>
                <w:sz w:val="18"/>
                <w:szCs w:val="18"/>
              </w:rPr>
            </w:pPr>
            <w:r w:rsidRPr="002C524B">
              <w:rPr>
                <w:color w:val="000000"/>
                <w:sz w:val="18"/>
                <w:szCs w:val="18"/>
              </w:rPr>
              <w:t>3.80%</w:t>
            </w:r>
          </w:p>
        </w:tc>
      </w:tr>
      <w:tr w:rsidR="00874916" w:rsidRPr="002C524B" w14:paraId="0793DF4F" w14:textId="77777777" w:rsidTr="00EA28C4">
        <w:trPr>
          <w:trHeight w:val="270"/>
        </w:trPr>
        <w:tc>
          <w:tcPr>
            <w:tcW w:w="1153" w:type="pct"/>
            <w:tcBorders>
              <w:bottom w:val="single" w:sz="4" w:space="0" w:color="auto"/>
            </w:tcBorders>
            <w:shd w:val="clear" w:color="auto" w:fill="auto"/>
            <w:noWrap/>
            <w:vAlign w:val="center"/>
            <w:hideMark/>
          </w:tcPr>
          <w:p w14:paraId="34A5E887" w14:textId="77777777" w:rsidR="00874916" w:rsidRPr="002C524B" w:rsidRDefault="00874916" w:rsidP="00EA28C4">
            <w:pPr>
              <w:jc w:val="center"/>
              <w:rPr>
                <w:color w:val="000000"/>
                <w:sz w:val="18"/>
                <w:szCs w:val="18"/>
              </w:rPr>
            </w:pPr>
            <w:r w:rsidRPr="002C524B">
              <w:rPr>
                <w:color w:val="000000"/>
                <w:sz w:val="18"/>
                <w:szCs w:val="18"/>
              </w:rPr>
              <w:t>Bangladesh</w:t>
            </w:r>
          </w:p>
        </w:tc>
        <w:tc>
          <w:tcPr>
            <w:tcW w:w="742" w:type="pct"/>
            <w:tcBorders>
              <w:bottom w:val="single" w:sz="4" w:space="0" w:color="auto"/>
            </w:tcBorders>
            <w:shd w:val="clear" w:color="auto" w:fill="auto"/>
            <w:noWrap/>
            <w:vAlign w:val="center"/>
            <w:hideMark/>
          </w:tcPr>
          <w:p w14:paraId="5BD648CD" w14:textId="77777777" w:rsidR="00874916" w:rsidRPr="002C524B" w:rsidRDefault="00874916" w:rsidP="00EA28C4">
            <w:pPr>
              <w:jc w:val="center"/>
              <w:rPr>
                <w:color w:val="000000"/>
                <w:sz w:val="18"/>
                <w:szCs w:val="18"/>
              </w:rPr>
            </w:pPr>
            <w:r w:rsidRPr="002C524B">
              <w:rPr>
                <w:color w:val="000000"/>
                <w:sz w:val="18"/>
                <w:szCs w:val="18"/>
              </w:rPr>
              <w:t>5.96</w:t>
            </w:r>
          </w:p>
        </w:tc>
        <w:tc>
          <w:tcPr>
            <w:tcW w:w="605" w:type="pct"/>
            <w:tcBorders>
              <w:bottom w:val="single" w:sz="4" w:space="0" w:color="auto"/>
            </w:tcBorders>
            <w:shd w:val="clear" w:color="auto" w:fill="auto"/>
            <w:noWrap/>
            <w:vAlign w:val="center"/>
            <w:hideMark/>
          </w:tcPr>
          <w:p w14:paraId="46B3BE6F" w14:textId="77777777" w:rsidR="00874916" w:rsidRPr="002C524B" w:rsidRDefault="00874916" w:rsidP="00EA28C4">
            <w:pPr>
              <w:jc w:val="center"/>
              <w:rPr>
                <w:color w:val="000000"/>
                <w:sz w:val="18"/>
                <w:szCs w:val="18"/>
              </w:rPr>
            </w:pPr>
            <w:r w:rsidRPr="002C524B">
              <w:rPr>
                <w:color w:val="000000"/>
                <w:sz w:val="18"/>
                <w:szCs w:val="18"/>
              </w:rPr>
              <w:t>2.81%</w:t>
            </w:r>
          </w:p>
        </w:tc>
        <w:tc>
          <w:tcPr>
            <w:tcW w:w="1153" w:type="pct"/>
            <w:tcBorders>
              <w:bottom w:val="single" w:sz="4" w:space="0" w:color="auto"/>
            </w:tcBorders>
            <w:shd w:val="clear" w:color="auto" w:fill="auto"/>
            <w:noWrap/>
            <w:vAlign w:val="center"/>
            <w:hideMark/>
          </w:tcPr>
          <w:p w14:paraId="789D799E" w14:textId="77777777" w:rsidR="00874916" w:rsidRPr="002C524B" w:rsidRDefault="00874916" w:rsidP="00EA28C4">
            <w:pPr>
              <w:jc w:val="center"/>
              <w:rPr>
                <w:color w:val="000000"/>
                <w:sz w:val="18"/>
                <w:szCs w:val="18"/>
              </w:rPr>
            </w:pPr>
            <w:r w:rsidRPr="002C524B">
              <w:rPr>
                <w:color w:val="000000"/>
                <w:sz w:val="18"/>
                <w:szCs w:val="18"/>
              </w:rPr>
              <w:t>Poland</w:t>
            </w:r>
          </w:p>
        </w:tc>
        <w:tc>
          <w:tcPr>
            <w:tcW w:w="742" w:type="pct"/>
            <w:tcBorders>
              <w:bottom w:val="single" w:sz="4" w:space="0" w:color="auto"/>
            </w:tcBorders>
            <w:shd w:val="clear" w:color="auto" w:fill="auto"/>
            <w:noWrap/>
            <w:vAlign w:val="center"/>
            <w:hideMark/>
          </w:tcPr>
          <w:p w14:paraId="4C4FA5AC" w14:textId="77777777" w:rsidR="00874916" w:rsidRPr="002C524B" w:rsidRDefault="00874916" w:rsidP="00EA28C4">
            <w:pPr>
              <w:jc w:val="center"/>
              <w:rPr>
                <w:color w:val="000000"/>
                <w:sz w:val="18"/>
                <w:szCs w:val="18"/>
              </w:rPr>
            </w:pPr>
            <w:r w:rsidRPr="002C524B">
              <w:rPr>
                <w:color w:val="000000"/>
                <w:sz w:val="18"/>
                <w:szCs w:val="18"/>
              </w:rPr>
              <w:t>5.39</w:t>
            </w:r>
          </w:p>
        </w:tc>
        <w:tc>
          <w:tcPr>
            <w:tcW w:w="605" w:type="pct"/>
            <w:tcBorders>
              <w:bottom w:val="single" w:sz="4" w:space="0" w:color="auto"/>
            </w:tcBorders>
            <w:shd w:val="clear" w:color="auto" w:fill="auto"/>
            <w:noWrap/>
            <w:vAlign w:val="center"/>
            <w:hideMark/>
          </w:tcPr>
          <w:p w14:paraId="26939A51" w14:textId="77777777" w:rsidR="00874916" w:rsidRPr="002C524B" w:rsidRDefault="00874916" w:rsidP="00EA28C4">
            <w:pPr>
              <w:jc w:val="center"/>
              <w:rPr>
                <w:color w:val="000000"/>
                <w:sz w:val="18"/>
                <w:szCs w:val="18"/>
              </w:rPr>
            </w:pPr>
            <w:r w:rsidRPr="002C524B">
              <w:rPr>
                <w:color w:val="000000"/>
                <w:sz w:val="18"/>
                <w:szCs w:val="18"/>
              </w:rPr>
              <w:t>2.29%</w:t>
            </w:r>
          </w:p>
        </w:tc>
      </w:tr>
      <w:tr w:rsidR="00874916" w:rsidRPr="002C524B" w14:paraId="31DDE95D" w14:textId="77777777" w:rsidTr="00EA28C4">
        <w:trPr>
          <w:trHeight w:val="270"/>
        </w:trPr>
        <w:tc>
          <w:tcPr>
            <w:tcW w:w="1153" w:type="pct"/>
            <w:tcBorders>
              <w:top w:val="single" w:sz="4" w:space="0" w:color="auto"/>
              <w:bottom w:val="nil"/>
            </w:tcBorders>
            <w:shd w:val="clear" w:color="auto" w:fill="auto"/>
            <w:noWrap/>
            <w:vAlign w:val="center"/>
            <w:hideMark/>
          </w:tcPr>
          <w:p w14:paraId="4EEA90EC" w14:textId="77777777" w:rsidR="00874916" w:rsidRPr="002C524B" w:rsidRDefault="00874916" w:rsidP="00EA28C4">
            <w:pPr>
              <w:jc w:val="center"/>
              <w:rPr>
                <w:color w:val="000000"/>
                <w:sz w:val="18"/>
                <w:szCs w:val="18"/>
              </w:rPr>
            </w:pPr>
            <w:r w:rsidRPr="002C524B">
              <w:rPr>
                <w:color w:val="000000"/>
                <w:sz w:val="18"/>
                <w:szCs w:val="18"/>
              </w:rPr>
              <w:t>Total Export</w:t>
            </w:r>
          </w:p>
        </w:tc>
        <w:tc>
          <w:tcPr>
            <w:tcW w:w="742" w:type="pct"/>
            <w:tcBorders>
              <w:top w:val="single" w:sz="4" w:space="0" w:color="auto"/>
              <w:bottom w:val="nil"/>
            </w:tcBorders>
            <w:shd w:val="clear" w:color="auto" w:fill="auto"/>
            <w:noWrap/>
            <w:vAlign w:val="center"/>
            <w:hideMark/>
          </w:tcPr>
          <w:p w14:paraId="17C6828E" w14:textId="77777777" w:rsidR="00874916" w:rsidRPr="002C524B" w:rsidRDefault="00874916" w:rsidP="00EA28C4">
            <w:pPr>
              <w:jc w:val="center"/>
              <w:rPr>
                <w:color w:val="000000"/>
                <w:sz w:val="18"/>
                <w:szCs w:val="18"/>
              </w:rPr>
            </w:pPr>
            <w:r w:rsidRPr="002C524B">
              <w:rPr>
                <w:color w:val="000000"/>
                <w:sz w:val="18"/>
                <w:szCs w:val="18"/>
              </w:rPr>
              <w:t>212.61</w:t>
            </w:r>
          </w:p>
        </w:tc>
        <w:tc>
          <w:tcPr>
            <w:tcW w:w="605" w:type="pct"/>
            <w:tcBorders>
              <w:top w:val="single" w:sz="4" w:space="0" w:color="auto"/>
              <w:bottom w:val="nil"/>
            </w:tcBorders>
            <w:shd w:val="clear" w:color="auto" w:fill="auto"/>
            <w:noWrap/>
            <w:vAlign w:val="center"/>
            <w:hideMark/>
          </w:tcPr>
          <w:p w14:paraId="358B4CBD" w14:textId="77777777" w:rsidR="00874916" w:rsidRPr="002C524B" w:rsidRDefault="00874916" w:rsidP="00EA28C4">
            <w:pPr>
              <w:jc w:val="center"/>
              <w:rPr>
                <w:color w:val="000000"/>
                <w:sz w:val="18"/>
                <w:szCs w:val="18"/>
              </w:rPr>
            </w:pPr>
            <w:r w:rsidRPr="002C524B">
              <w:rPr>
                <w:color w:val="000000"/>
                <w:sz w:val="18"/>
                <w:szCs w:val="18"/>
              </w:rPr>
              <w:t>—</w:t>
            </w:r>
          </w:p>
        </w:tc>
        <w:tc>
          <w:tcPr>
            <w:tcW w:w="1153" w:type="pct"/>
            <w:tcBorders>
              <w:top w:val="single" w:sz="4" w:space="0" w:color="auto"/>
              <w:bottom w:val="nil"/>
            </w:tcBorders>
            <w:shd w:val="clear" w:color="auto" w:fill="auto"/>
            <w:noWrap/>
            <w:vAlign w:val="center"/>
            <w:hideMark/>
          </w:tcPr>
          <w:p w14:paraId="3C0BCF9E" w14:textId="77777777" w:rsidR="00874916" w:rsidRPr="002C524B" w:rsidRDefault="00874916" w:rsidP="00EA28C4">
            <w:pPr>
              <w:jc w:val="center"/>
              <w:rPr>
                <w:color w:val="000000"/>
                <w:sz w:val="18"/>
                <w:szCs w:val="18"/>
              </w:rPr>
            </w:pPr>
            <w:r w:rsidRPr="002C524B">
              <w:rPr>
                <w:color w:val="000000"/>
                <w:sz w:val="18"/>
                <w:szCs w:val="18"/>
              </w:rPr>
              <w:t>Total Export</w:t>
            </w:r>
          </w:p>
        </w:tc>
        <w:tc>
          <w:tcPr>
            <w:tcW w:w="742" w:type="pct"/>
            <w:tcBorders>
              <w:top w:val="single" w:sz="4" w:space="0" w:color="auto"/>
              <w:bottom w:val="nil"/>
            </w:tcBorders>
            <w:shd w:val="clear" w:color="auto" w:fill="auto"/>
            <w:noWrap/>
            <w:vAlign w:val="center"/>
            <w:hideMark/>
          </w:tcPr>
          <w:p w14:paraId="2C28BBE3" w14:textId="77777777" w:rsidR="00874916" w:rsidRPr="002C524B" w:rsidRDefault="00874916" w:rsidP="00EA28C4">
            <w:pPr>
              <w:jc w:val="center"/>
              <w:rPr>
                <w:color w:val="000000"/>
                <w:sz w:val="18"/>
                <w:szCs w:val="18"/>
              </w:rPr>
            </w:pPr>
            <w:r w:rsidRPr="002C524B">
              <w:rPr>
                <w:color w:val="000000"/>
                <w:sz w:val="18"/>
                <w:szCs w:val="18"/>
              </w:rPr>
              <w:t>235.13</w:t>
            </w:r>
          </w:p>
        </w:tc>
        <w:tc>
          <w:tcPr>
            <w:tcW w:w="605" w:type="pct"/>
            <w:tcBorders>
              <w:top w:val="single" w:sz="4" w:space="0" w:color="auto"/>
              <w:bottom w:val="nil"/>
            </w:tcBorders>
            <w:shd w:val="clear" w:color="auto" w:fill="auto"/>
            <w:noWrap/>
            <w:vAlign w:val="center"/>
            <w:hideMark/>
          </w:tcPr>
          <w:p w14:paraId="31BCC4FD" w14:textId="77777777" w:rsidR="00874916" w:rsidRPr="002C524B" w:rsidRDefault="00874916" w:rsidP="00EA28C4">
            <w:pPr>
              <w:jc w:val="center"/>
              <w:rPr>
                <w:color w:val="000000"/>
                <w:sz w:val="18"/>
                <w:szCs w:val="18"/>
              </w:rPr>
            </w:pPr>
            <w:r w:rsidRPr="002C524B">
              <w:rPr>
                <w:color w:val="000000"/>
                <w:sz w:val="18"/>
                <w:szCs w:val="18"/>
              </w:rPr>
              <w:t>—</w:t>
            </w:r>
          </w:p>
        </w:tc>
      </w:tr>
      <w:tr w:rsidR="00874916" w:rsidRPr="002C524B" w14:paraId="331E78D0" w14:textId="77777777" w:rsidTr="00EA28C4">
        <w:trPr>
          <w:trHeight w:val="300"/>
        </w:trPr>
        <w:tc>
          <w:tcPr>
            <w:tcW w:w="1153" w:type="pct"/>
            <w:tcBorders>
              <w:top w:val="nil"/>
            </w:tcBorders>
            <w:shd w:val="clear" w:color="auto" w:fill="auto"/>
            <w:noWrap/>
            <w:vAlign w:val="center"/>
            <w:hideMark/>
          </w:tcPr>
          <w:p w14:paraId="294E6B41" w14:textId="77777777" w:rsidR="00874916" w:rsidRPr="002C524B" w:rsidRDefault="00874916" w:rsidP="00EA28C4">
            <w:pPr>
              <w:jc w:val="center"/>
              <w:rPr>
                <w:color w:val="000000"/>
                <w:sz w:val="18"/>
                <w:szCs w:val="18"/>
              </w:rPr>
            </w:pPr>
            <w:r w:rsidRPr="002C524B">
              <w:rPr>
                <w:color w:val="000000"/>
                <w:sz w:val="18"/>
                <w:szCs w:val="18"/>
              </w:rPr>
              <w:t>Total</w:t>
            </w:r>
          </w:p>
        </w:tc>
        <w:tc>
          <w:tcPr>
            <w:tcW w:w="742" w:type="pct"/>
            <w:tcBorders>
              <w:top w:val="nil"/>
            </w:tcBorders>
            <w:shd w:val="clear" w:color="auto" w:fill="auto"/>
            <w:noWrap/>
            <w:vAlign w:val="center"/>
            <w:hideMark/>
          </w:tcPr>
          <w:p w14:paraId="4075679E" w14:textId="77777777" w:rsidR="00874916" w:rsidRPr="002C524B" w:rsidRDefault="00874916" w:rsidP="00EA28C4">
            <w:pPr>
              <w:jc w:val="center"/>
              <w:rPr>
                <w:color w:val="000000"/>
                <w:sz w:val="18"/>
                <w:szCs w:val="18"/>
              </w:rPr>
            </w:pPr>
            <w:r w:rsidRPr="002C524B">
              <w:rPr>
                <w:color w:val="000000"/>
                <w:sz w:val="18"/>
                <w:szCs w:val="18"/>
              </w:rPr>
              <w:t>—</w:t>
            </w:r>
          </w:p>
        </w:tc>
        <w:tc>
          <w:tcPr>
            <w:tcW w:w="605" w:type="pct"/>
            <w:tcBorders>
              <w:top w:val="nil"/>
            </w:tcBorders>
            <w:shd w:val="clear" w:color="auto" w:fill="auto"/>
            <w:noWrap/>
            <w:vAlign w:val="center"/>
            <w:hideMark/>
          </w:tcPr>
          <w:p w14:paraId="7314EB6B" w14:textId="77777777" w:rsidR="00874916" w:rsidRPr="002C524B" w:rsidRDefault="00874916" w:rsidP="00EA28C4">
            <w:pPr>
              <w:jc w:val="center"/>
              <w:rPr>
                <w:color w:val="000000"/>
                <w:sz w:val="18"/>
                <w:szCs w:val="18"/>
              </w:rPr>
            </w:pPr>
            <w:r w:rsidRPr="002C524B">
              <w:rPr>
                <w:color w:val="000000"/>
                <w:sz w:val="18"/>
                <w:szCs w:val="18"/>
              </w:rPr>
              <w:t>74.67%</w:t>
            </w:r>
          </w:p>
        </w:tc>
        <w:tc>
          <w:tcPr>
            <w:tcW w:w="1153" w:type="pct"/>
            <w:tcBorders>
              <w:top w:val="nil"/>
            </w:tcBorders>
            <w:shd w:val="clear" w:color="auto" w:fill="auto"/>
            <w:noWrap/>
            <w:vAlign w:val="center"/>
            <w:hideMark/>
          </w:tcPr>
          <w:p w14:paraId="04984B9B" w14:textId="77777777" w:rsidR="00874916" w:rsidRPr="002C524B" w:rsidRDefault="00874916" w:rsidP="00EA28C4">
            <w:pPr>
              <w:jc w:val="center"/>
              <w:rPr>
                <w:color w:val="000000"/>
                <w:sz w:val="18"/>
                <w:szCs w:val="18"/>
              </w:rPr>
            </w:pPr>
            <w:r w:rsidRPr="002C524B">
              <w:rPr>
                <w:color w:val="000000"/>
                <w:sz w:val="18"/>
                <w:szCs w:val="18"/>
              </w:rPr>
              <w:t>Total</w:t>
            </w:r>
          </w:p>
        </w:tc>
        <w:tc>
          <w:tcPr>
            <w:tcW w:w="742" w:type="pct"/>
            <w:tcBorders>
              <w:top w:val="nil"/>
            </w:tcBorders>
            <w:shd w:val="clear" w:color="auto" w:fill="auto"/>
            <w:noWrap/>
            <w:vAlign w:val="center"/>
            <w:hideMark/>
          </w:tcPr>
          <w:p w14:paraId="619923CB" w14:textId="77777777" w:rsidR="00874916" w:rsidRPr="002C524B" w:rsidRDefault="00874916" w:rsidP="00EA28C4">
            <w:pPr>
              <w:jc w:val="center"/>
              <w:rPr>
                <w:color w:val="000000"/>
                <w:sz w:val="18"/>
                <w:szCs w:val="18"/>
              </w:rPr>
            </w:pPr>
            <w:r w:rsidRPr="002C524B">
              <w:rPr>
                <w:color w:val="000000"/>
                <w:sz w:val="18"/>
                <w:szCs w:val="18"/>
              </w:rPr>
              <w:t>—</w:t>
            </w:r>
          </w:p>
        </w:tc>
        <w:tc>
          <w:tcPr>
            <w:tcW w:w="605" w:type="pct"/>
            <w:tcBorders>
              <w:top w:val="nil"/>
            </w:tcBorders>
            <w:shd w:val="clear" w:color="auto" w:fill="auto"/>
            <w:noWrap/>
            <w:vAlign w:val="center"/>
            <w:hideMark/>
          </w:tcPr>
          <w:p w14:paraId="4AFEFC36" w14:textId="77777777" w:rsidR="00874916" w:rsidRPr="002C524B" w:rsidRDefault="00874916" w:rsidP="00EA28C4">
            <w:pPr>
              <w:jc w:val="center"/>
              <w:rPr>
                <w:color w:val="000000"/>
                <w:sz w:val="18"/>
                <w:szCs w:val="18"/>
              </w:rPr>
            </w:pPr>
            <w:r w:rsidRPr="002C524B">
              <w:rPr>
                <w:color w:val="000000"/>
                <w:sz w:val="18"/>
                <w:szCs w:val="18"/>
              </w:rPr>
              <w:t>76.19%</w:t>
            </w:r>
          </w:p>
        </w:tc>
      </w:tr>
    </w:tbl>
    <w:p w14:paraId="4BCC1946" w14:textId="77777777" w:rsidR="001F0BEC" w:rsidRDefault="001F0BEC" w:rsidP="001F0BEC">
      <w:pPr>
        <w:pStyle w:val="2"/>
        <w:numPr>
          <w:ilvl w:val="0"/>
          <w:numId w:val="0"/>
        </w:numPr>
        <w:spacing w:before="100" w:beforeAutospacing="1" w:afterLines="0" w:after="0" w:line="240" w:lineRule="auto"/>
        <w:ind w:left="420" w:hanging="420"/>
        <w:rPr>
          <w:rFonts w:cs="Times New Roman"/>
        </w:rPr>
      </w:pPr>
    </w:p>
    <w:p w14:paraId="4061998F" w14:textId="77777777" w:rsidR="001F0BEC" w:rsidRDefault="001F0BEC">
      <w:pPr>
        <w:rPr>
          <w:rFonts w:eastAsiaTheme="majorEastAsia"/>
          <w:b/>
          <w:bCs/>
          <w:kern w:val="2"/>
          <w:szCs w:val="32"/>
          <w:lang w:eastAsia="zh-CN"/>
        </w:rPr>
      </w:pPr>
      <w:r>
        <w:br w:type="page"/>
      </w:r>
    </w:p>
    <w:p w14:paraId="330D8B32" w14:textId="6FF26034" w:rsidR="00874916" w:rsidRPr="00FC5EFF" w:rsidRDefault="001F0BEC" w:rsidP="001F0BEC">
      <w:pPr>
        <w:pStyle w:val="2"/>
        <w:numPr>
          <w:ilvl w:val="0"/>
          <w:numId w:val="0"/>
        </w:numPr>
        <w:spacing w:before="100" w:beforeAutospacing="1" w:afterLines="0" w:after="0" w:line="240" w:lineRule="auto"/>
        <w:ind w:left="420" w:hanging="420"/>
        <w:rPr>
          <w:rFonts w:cs="Times New Roman"/>
        </w:rPr>
      </w:pPr>
      <w:r>
        <w:rPr>
          <w:rFonts w:cs="Times New Roman" w:hint="eastAsia"/>
        </w:rPr>
        <w:lastRenderedPageBreak/>
        <w:t xml:space="preserve">2.4 </w:t>
      </w:r>
      <w:r w:rsidR="00874916" w:rsidRPr="00FC5EFF">
        <w:rPr>
          <w:rFonts w:cs="Times New Roman"/>
        </w:rPr>
        <w:t>Sri Lanka tea export</w:t>
      </w:r>
    </w:p>
    <w:p w14:paraId="29A1C985" w14:textId="71761370" w:rsidR="00874916" w:rsidRPr="002C524B" w:rsidRDefault="001F0BEC" w:rsidP="003B4565">
      <w:pPr>
        <w:spacing w:after="100" w:afterAutospacing="1"/>
        <w:rPr>
          <w:szCs w:val="21"/>
        </w:rPr>
      </w:pPr>
      <w:r>
        <w:rPr>
          <w:szCs w:val="21"/>
        </w:rPr>
        <w:br/>
      </w:r>
      <w:r w:rsidR="00874916" w:rsidRPr="002C524B">
        <w:rPr>
          <w:szCs w:val="21"/>
        </w:rPr>
        <w:t xml:space="preserve">Russia has been the main export market </w:t>
      </w:r>
      <w:r w:rsidR="00874916" w:rsidRPr="002C524B">
        <w:rPr>
          <w:rFonts w:hint="eastAsia"/>
          <w:szCs w:val="21"/>
        </w:rPr>
        <w:t>of</w:t>
      </w:r>
      <w:r w:rsidR="00874916" w:rsidRPr="002C524B">
        <w:rPr>
          <w:szCs w:val="21"/>
        </w:rPr>
        <w:t xml:space="preserve"> Sri Lanka</w:t>
      </w:r>
      <w:r w:rsidR="00874916" w:rsidRPr="002C524B">
        <w:rPr>
          <w:rFonts w:hint="eastAsia"/>
          <w:szCs w:val="21"/>
        </w:rPr>
        <w:t xml:space="preserve"> tea</w:t>
      </w:r>
      <w:r w:rsidR="00874916" w:rsidRPr="002C524B">
        <w:rPr>
          <w:szCs w:val="21"/>
        </w:rPr>
        <w:t xml:space="preserve">, followed by Turkey, Iraq and Iran, but in recent years due to the political situation, Sri Lanka </w:t>
      </w:r>
      <w:r w:rsidR="00874916" w:rsidRPr="002C524B">
        <w:rPr>
          <w:rFonts w:hint="eastAsia"/>
          <w:szCs w:val="21"/>
        </w:rPr>
        <w:t>tea exported to</w:t>
      </w:r>
      <w:r w:rsidR="00874916" w:rsidRPr="002C524B">
        <w:rPr>
          <w:szCs w:val="21"/>
        </w:rPr>
        <w:t xml:space="preserve"> Russia and Iran</w:t>
      </w:r>
      <w:r w:rsidR="00874916" w:rsidRPr="002C524B">
        <w:rPr>
          <w:rFonts w:hint="eastAsia"/>
          <w:szCs w:val="21"/>
        </w:rPr>
        <w:t xml:space="preserve"> has</w:t>
      </w:r>
      <w:r w:rsidR="00874916" w:rsidRPr="002C524B">
        <w:rPr>
          <w:szCs w:val="21"/>
        </w:rPr>
        <w:t xml:space="preserve"> decreased.</w:t>
      </w:r>
    </w:p>
    <w:tbl>
      <w:tblPr>
        <w:tblW w:w="5000" w:type="pct"/>
        <w:jc w:val="center"/>
        <w:tblLayout w:type="fixed"/>
        <w:tblLook w:val="04A0" w:firstRow="1" w:lastRow="0" w:firstColumn="1" w:lastColumn="0" w:noHBand="0" w:noVBand="1"/>
      </w:tblPr>
      <w:tblGrid>
        <w:gridCol w:w="1080"/>
        <w:gridCol w:w="962"/>
        <w:gridCol w:w="829"/>
        <w:gridCol w:w="1108"/>
        <w:gridCol w:w="968"/>
        <w:gridCol w:w="817"/>
        <w:gridCol w:w="1077"/>
        <w:gridCol w:w="1009"/>
        <w:gridCol w:w="790"/>
      </w:tblGrid>
      <w:tr w:rsidR="00874916" w:rsidRPr="002C524B" w14:paraId="5E97D824" w14:textId="77777777" w:rsidTr="001F0BEC">
        <w:trPr>
          <w:trHeight w:val="270"/>
          <w:jc w:val="center"/>
        </w:trPr>
        <w:tc>
          <w:tcPr>
            <w:tcW w:w="625" w:type="pct"/>
            <w:tcBorders>
              <w:top w:val="single" w:sz="12" w:space="0" w:color="auto"/>
              <w:left w:val="nil"/>
              <w:bottom w:val="nil"/>
              <w:right w:val="nil"/>
            </w:tcBorders>
            <w:shd w:val="clear" w:color="auto" w:fill="auto"/>
            <w:vAlign w:val="center"/>
            <w:hideMark/>
          </w:tcPr>
          <w:p w14:paraId="3EBCAA50" w14:textId="77777777" w:rsidR="00874916" w:rsidRPr="00910292" w:rsidRDefault="00874916" w:rsidP="00EA28C4">
            <w:pPr>
              <w:jc w:val="center"/>
              <w:rPr>
                <w:b/>
                <w:bCs/>
                <w:sz w:val="18"/>
                <w:szCs w:val="18"/>
              </w:rPr>
            </w:pPr>
          </w:p>
        </w:tc>
        <w:tc>
          <w:tcPr>
            <w:tcW w:w="557" w:type="pct"/>
            <w:tcBorders>
              <w:top w:val="single" w:sz="12" w:space="0" w:color="auto"/>
              <w:left w:val="nil"/>
              <w:bottom w:val="nil"/>
              <w:right w:val="nil"/>
            </w:tcBorders>
            <w:shd w:val="clear" w:color="auto" w:fill="auto"/>
            <w:vAlign w:val="center"/>
            <w:hideMark/>
          </w:tcPr>
          <w:p w14:paraId="66DEA556" w14:textId="77777777" w:rsidR="00874916" w:rsidRPr="00910292" w:rsidRDefault="00874916" w:rsidP="00EA28C4">
            <w:pPr>
              <w:jc w:val="center"/>
              <w:rPr>
                <w:b/>
                <w:bCs/>
                <w:sz w:val="18"/>
                <w:szCs w:val="18"/>
              </w:rPr>
            </w:pPr>
            <w:r w:rsidRPr="00910292">
              <w:rPr>
                <w:b/>
                <w:bCs/>
                <w:sz w:val="18"/>
                <w:szCs w:val="18"/>
              </w:rPr>
              <w:t>2011</w:t>
            </w:r>
          </w:p>
        </w:tc>
        <w:tc>
          <w:tcPr>
            <w:tcW w:w="480" w:type="pct"/>
            <w:tcBorders>
              <w:top w:val="single" w:sz="12" w:space="0" w:color="auto"/>
              <w:left w:val="nil"/>
              <w:bottom w:val="nil"/>
              <w:right w:val="single" w:sz="4" w:space="0" w:color="auto"/>
            </w:tcBorders>
            <w:shd w:val="clear" w:color="auto" w:fill="auto"/>
            <w:noWrap/>
            <w:vAlign w:val="center"/>
            <w:hideMark/>
          </w:tcPr>
          <w:p w14:paraId="0679D220" w14:textId="77777777" w:rsidR="00874916" w:rsidRPr="00910292" w:rsidRDefault="00874916" w:rsidP="00EA28C4">
            <w:pPr>
              <w:jc w:val="center"/>
              <w:rPr>
                <w:sz w:val="18"/>
                <w:szCs w:val="18"/>
              </w:rPr>
            </w:pPr>
          </w:p>
        </w:tc>
        <w:tc>
          <w:tcPr>
            <w:tcW w:w="641" w:type="pct"/>
            <w:tcBorders>
              <w:top w:val="single" w:sz="12" w:space="0" w:color="auto"/>
              <w:left w:val="nil"/>
              <w:bottom w:val="nil"/>
              <w:right w:val="nil"/>
            </w:tcBorders>
            <w:shd w:val="clear" w:color="auto" w:fill="auto"/>
            <w:vAlign w:val="center"/>
            <w:hideMark/>
          </w:tcPr>
          <w:p w14:paraId="0A7ECF19" w14:textId="77777777" w:rsidR="00874916" w:rsidRPr="00910292" w:rsidRDefault="00874916" w:rsidP="00EA28C4">
            <w:pPr>
              <w:jc w:val="center"/>
              <w:rPr>
                <w:b/>
                <w:bCs/>
                <w:sz w:val="18"/>
                <w:szCs w:val="18"/>
              </w:rPr>
            </w:pPr>
          </w:p>
        </w:tc>
        <w:tc>
          <w:tcPr>
            <w:tcW w:w="560" w:type="pct"/>
            <w:tcBorders>
              <w:top w:val="single" w:sz="12" w:space="0" w:color="auto"/>
              <w:left w:val="nil"/>
              <w:bottom w:val="nil"/>
              <w:right w:val="nil"/>
            </w:tcBorders>
            <w:shd w:val="clear" w:color="auto" w:fill="auto"/>
            <w:vAlign w:val="center"/>
            <w:hideMark/>
          </w:tcPr>
          <w:p w14:paraId="3DDBB1C6" w14:textId="77777777" w:rsidR="00874916" w:rsidRPr="00910292" w:rsidRDefault="00874916" w:rsidP="00EA28C4">
            <w:pPr>
              <w:jc w:val="center"/>
              <w:rPr>
                <w:b/>
                <w:bCs/>
                <w:sz w:val="18"/>
                <w:szCs w:val="18"/>
              </w:rPr>
            </w:pPr>
            <w:r w:rsidRPr="00910292">
              <w:rPr>
                <w:b/>
                <w:bCs/>
                <w:sz w:val="18"/>
                <w:szCs w:val="18"/>
              </w:rPr>
              <w:t>2012</w:t>
            </w:r>
          </w:p>
        </w:tc>
        <w:tc>
          <w:tcPr>
            <w:tcW w:w="473" w:type="pct"/>
            <w:tcBorders>
              <w:top w:val="single" w:sz="12" w:space="0" w:color="auto"/>
              <w:left w:val="nil"/>
              <w:bottom w:val="nil"/>
              <w:right w:val="single" w:sz="4" w:space="0" w:color="auto"/>
            </w:tcBorders>
            <w:shd w:val="clear" w:color="auto" w:fill="auto"/>
            <w:noWrap/>
            <w:vAlign w:val="center"/>
            <w:hideMark/>
          </w:tcPr>
          <w:p w14:paraId="303FBB8B" w14:textId="77777777" w:rsidR="00874916" w:rsidRPr="00910292" w:rsidRDefault="00874916" w:rsidP="00EA28C4">
            <w:pPr>
              <w:jc w:val="center"/>
              <w:rPr>
                <w:sz w:val="18"/>
                <w:szCs w:val="18"/>
              </w:rPr>
            </w:pPr>
          </w:p>
        </w:tc>
        <w:tc>
          <w:tcPr>
            <w:tcW w:w="623" w:type="pct"/>
            <w:tcBorders>
              <w:top w:val="single" w:sz="12" w:space="0" w:color="auto"/>
              <w:left w:val="nil"/>
              <w:bottom w:val="nil"/>
              <w:right w:val="nil"/>
            </w:tcBorders>
            <w:shd w:val="clear" w:color="auto" w:fill="auto"/>
            <w:vAlign w:val="center"/>
            <w:hideMark/>
          </w:tcPr>
          <w:p w14:paraId="180A8955" w14:textId="77777777" w:rsidR="00874916" w:rsidRPr="00910292" w:rsidRDefault="00874916" w:rsidP="00EA28C4">
            <w:pPr>
              <w:jc w:val="center"/>
              <w:rPr>
                <w:b/>
                <w:bCs/>
                <w:sz w:val="18"/>
                <w:szCs w:val="18"/>
              </w:rPr>
            </w:pPr>
          </w:p>
        </w:tc>
        <w:tc>
          <w:tcPr>
            <w:tcW w:w="584" w:type="pct"/>
            <w:tcBorders>
              <w:top w:val="single" w:sz="12" w:space="0" w:color="auto"/>
              <w:left w:val="nil"/>
              <w:bottom w:val="nil"/>
              <w:right w:val="nil"/>
            </w:tcBorders>
            <w:shd w:val="clear" w:color="auto" w:fill="auto"/>
            <w:vAlign w:val="center"/>
            <w:hideMark/>
          </w:tcPr>
          <w:p w14:paraId="67434071" w14:textId="77777777" w:rsidR="00874916" w:rsidRPr="00910292" w:rsidRDefault="00874916" w:rsidP="00EA28C4">
            <w:pPr>
              <w:jc w:val="center"/>
              <w:rPr>
                <w:b/>
                <w:bCs/>
                <w:sz w:val="18"/>
                <w:szCs w:val="18"/>
              </w:rPr>
            </w:pPr>
            <w:r w:rsidRPr="00910292">
              <w:rPr>
                <w:b/>
                <w:bCs/>
                <w:sz w:val="18"/>
                <w:szCs w:val="18"/>
              </w:rPr>
              <w:t>2013</w:t>
            </w:r>
          </w:p>
        </w:tc>
        <w:tc>
          <w:tcPr>
            <w:tcW w:w="457" w:type="pct"/>
            <w:tcBorders>
              <w:top w:val="single" w:sz="12" w:space="0" w:color="auto"/>
              <w:left w:val="nil"/>
              <w:bottom w:val="nil"/>
              <w:right w:val="nil"/>
            </w:tcBorders>
            <w:shd w:val="clear" w:color="auto" w:fill="auto"/>
            <w:noWrap/>
            <w:vAlign w:val="center"/>
            <w:hideMark/>
          </w:tcPr>
          <w:p w14:paraId="1A0C2298" w14:textId="77777777" w:rsidR="00874916" w:rsidRPr="00910292" w:rsidRDefault="00874916" w:rsidP="00EA28C4">
            <w:pPr>
              <w:jc w:val="center"/>
              <w:rPr>
                <w:sz w:val="18"/>
                <w:szCs w:val="18"/>
              </w:rPr>
            </w:pPr>
          </w:p>
        </w:tc>
      </w:tr>
      <w:tr w:rsidR="00874916" w:rsidRPr="002C524B" w14:paraId="62E1556F" w14:textId="77777777" w:rsidTr="001F0BEC">
        <w:trPr>
          <w:trHeight w:val="270"/>
          <w:jc w:val="center"/>
        </w:trPr>
        <w:tc>
          <w:tcPr>
            <w:tcW w:w="625" w:type="pct"/>
            <w:tcBorders>
              <w:top w:val="single" w:sz="4" w:space="0" w:color="auto"/>
              <w:left w:val="nil"/>
              <w:bottom w:val="single" w:sz="4" w:space="0" w:color="auto"/>
              <w:right w:val="nil"/>
            </w:tcBorders>
            <w:shd w:val="clear" w:color="auto" w:fill="auto"/>
            <w:noWrap/>
            <w:vAlign w:val="center"/>
            <w:hideMark/>
          </w:tcPr>
          <w:p w14:paraId="024BBC64" w14:textId="77777777" w:rsidR="00874916" w:rsidRPr="00910292" w:rsidRDefault="00874916" w:rsidP="00EA28C4">
            <w:pPr>
              <w:jc w:val="center"/>
              <w:rPr>
                <w:sz w:val="18"/>
                <w:szCs w:val="18"/>
              </w:rPr>
            </w:pPr>
            <w:r w:rsidRPr="002C524B">
              <w:rPr>
                <w:sz w:val="18"/>
                <w:szCs w:val="18"/>
              </w:rPr>
              <w:t>Importer</w:t>
            </w:r>
          </w:p>
        </w:tc>
        <w:tc>
          <w:tcPr>
            <w:tcW w:w="557" w:type="pct"/>
            <w:tcBorders>
              <w:top w:val="single" w:sz="4" w:space="0" w:color="auto"/>
              <w:left w:val="nil"/>
              <w:bottom w:val="single" w:sz="4" w:space="0" w:color="auto"/>
              <w:right w:val="nil"/>
            </w:tcBorders>
            <w:shd w:val="clear" w:color="auto" w:fill="auto"/>
            <w:noWrap/>
            <w:vAlign w:val="center"/>
            <w:hideMark/>
          </w:tcPr>
          <w:p w14:paraId="2E86FD9B" w14:textId="77777777" w:rsidR="00874916" w:rsidRPr="00910292" w:rsidRDefault="00874916" w:rsidP="00EA28C4">
            <w:pPr>
              <w:jc w:val="center"/>
              <w:rPr>
                <w:sz w:val="18"/>
                <w:szCs w:val="18"/>
              </w:rPr>
            </w:pPr>
            <w:r w:rsidRPr="002C524B">
              <w:rPr>
                <w:sz w:val="18"/>
                <w:szCs w:val="18"/>
              </w:rPr>
              <w:t xml:space="preserve">Thousand </w:t>
            </w:r>
            <w:r>
              <w:rPr>
                <w:sz w:val="18"/>
                <w:szCs w:val="18"/>
              </w:rPr>
              <w:t>Tons</w:t>
            </w:r>
          </w:p>
        </w:tc>
        <w:tc>
          <w:tcPr>
            <w:tcW w:w="480" w:type="pct"/>
            <w:tcBorders>
              <w:top w:val="single" w:sz="4" w:space="0" w:color="auto"/>
              <w:left w:val="nil"/>
              <w:bottom w:val="single" w:sz="4" w:space="0" w:color="auto"/>
              <w:right w:val="single" w:sz="4" w:space="0" w:color="auto"/>
            </w:tcBorders>
            <w:shd w:val="clear" w:color="auto" w:fill="auto"/>
            <w:noWrap/>
            <w:vAlign w:val="center"/>
            <w:hideMark/>
          </w:tcPr>
          <w:p w14:paraId="0BBBDC69" w14:textId="77777777" w:rsidR="00874916" w:rsidRPr="00910292" w:rsidRDefault="00874916" w:rsidP="00EA28C4">
            <w:pPr>
              <w:jc w:val="center"/>
              <w:rPr>
                <w:sz w:val="18"/>
                <w:szCs w:val="18"/>
              </w:rPr>
            </w:pPr>
            <w:r w:rsidRPr="002C524B">
              <w:rPr>
                <w:sz w:val="18"/>
                <w:szCs w:val="18"/>
              </w:rPr>
              <w:t>Percent</w:t>
            </w:r>
          </w:p>
        </w:tc>
        <w:tc>
          <w:tcPr>
            <w:tcW w:w="641" w:type="pct"/>
            <w:tcBorders>
              <w:top w:val="single" w:sz="4" w:space="0" w:color="auto"/>
              <w:left w:val="nil"/>
              <w:bottom w:val="single" w:sz="4" w:space="0" w:color="auto"/>
              <w:right w:val="nil"/>
            </w:tcBorders>
            <w:shd w:val="clear" w:color="auto" w:fill="auto"/>
            <w:noWrap/>
            <w:vAlign w:val="center"/>
            <w:hideMark/>
          </w:tcPr>
          <w:p w14:paraId="41035BFF" w14:textId="77777777" w:rsidR="00874916" w:rsidRPr="00910292" w:rsidRDefault="00874916" w:rsidP="00EA28C4">
            <w:pPr>
              <w:jc w:val="center"/>
              <w:rPr>
                <w:sz w:val="18"/>
                <w:szCs w:val="18"/>
              </w:rPr>
            </w:pPr>
            <w:r w:rsidRPr="002C524B">
              <w:rPr>
                <w:sz w:val="18"/>
                <w:szCs w:val="18"/>
              </w:rPr>
              <w:t>Importer</w:t>
            </w:r>
          </w:p>
        </w:tc>
        <w:tc>
          <w:tcPr>
            <w:tcW w:w="560" w:type="pct"/>
            <w:tcBorders>
              <w:top w:val="single" w:sz="4" w:space="0" w:color="auto"/>
              <w:left w:val="nil"/>
              <w:bottom w:val="single" w:sz="4" w:space="0" w:color="auto"/>
              <w:right w:val="nil"/>
            </w:tcBorders>
            <w:shd w:val="clear" w:color="auto" w:fill="auto"/>
            <w:noWrap/>
            <w:vAlign w:val="center"/>
            <w:hideMark/>
          </w:tcPr>
          <w:p w14:paraId="38ED13CA" w14:textId="77777777" w:rsidR="00874916" w:rsidRPr="00910292" w:rsidRDefault="00874916" w:rsidP="00EA28C4">
            <w:pPr>
              <w:jc w:val="center"/>
              <w:rPr>
                <w:sz w:val="18"/>
                <w:szCs w:val="18"/>
              </w:rPr>
            </w:pPr>
            <w:r w:rsidRPr="002C524B">
              <w:rPr>
                <w:sz w:val="18"/>
                <w:szCs w:val="18"/>
              </w:rPr>
              <w:t xml:space="preserve">Thousand </w:t>
            </w:r>
            <w:r>
              <w:rPr>
                <w:sz w:val="18"/>
                <w:szCs w:val="18"/>
              </w:rPr>
              <w:t>Tons</w:t>
            </w:r>
          </w:p>
        </w:tc>
        <w:tc>
          <w:tcPr>
            <w:tcW w:w="473" w:type="pct"/>
            <w:tcBorders>
              <w:top w:val="single" w:sz="4" w:space="0" w:color="auto"/>
              <w:left w:val="nil"/>
              <w:bottom w:val="single" w:sz="4" w:space="0" w:color="auto"/>
              <w:right w:val="single" w:sz="4" w:space="0" w:color="auto"/>
            </w:tcBorders>
            <w:shd w:val="clear" w:color="auto" w:fill="auto"/>
            <w:noWrap/>
            <w:vAlign w:val="center"/>
            <w:hideMark/>
          </w:tcPr>
          <w:p w14:paraId="7A1CF12A" w14:textId="77777777" w:rsidR="00874916" w:rsidRPr="00910292" w:rsidRDefault="00874916" w:rsidP="00EA28C4">
            <w:pPr>
              <w:jc w:val="center"/>
              <w:rPr>
                <w:sz w:val="18"/>
                <w:szCs w:val="18"/>
              </w:rPr>
            </w:pPr>
            <w:r w:rsidRPr="002C524B">
              <w:rPr>
                <w:sz w:val="18"/>
                <w:szCs w:val="18"/>
              </w:rPr>
              <w:t>Percent</w:t>
            </w:r>
          </w:p>
        </w:tc>
        <w:tc>
          <w:tcPr>
            <w:tcW w:w="623" w:type="pct"/>
            <w:tcBorders>
              <w:top w:val="single" w:sz="4" w:space="0" w:color="auto"/>
              <w:left w:val="nil"/>
              <w:bottom w:val="single" w:sz="4" w:space="0" w:color="auto"/>
              <w:right w:val="nil"/>
            </w:tcBorders>
            <w:shd w:val="clear" w:color="auto" w:fill="auto"/>
            <w:noWrap/>
            <w:vAlign w:val="center"/>
            <w:hideMark/>
          </w:tcPr>
          <w:p w14:paraId="435CCEB8" w14:textId="77777777" w:rsidR="00874916" w:rsidRPr="00910292" w:rsidRDefault="00874916" w:rsidP="00EA28C4">
            <w:pPr>
              <w:jc w:val="center"/>
              <w:rPr>
                <w:sz w:val="18"/>
                <w:szCs w:val="18"/>
              </w:rPr>
            </w:pPr>
            <w:r w:rsidRPr="002C524B">
              <w:rPr>
                <w:sz w:val="18"/>
                <w:szCs w:val="18"/>
              </w:rPr>
              <w:t>Importer</w:t>
            </w:r>
          </w:p>
        </w:tc>
        <w:tc>
          <w:tcPr>
            <w:tcW w:w="584" w:type="pct"/>
            <w:tcBorders>
              <w:top w:val="single" w:sz="4" w:space="0" w:color="auto"/>
              <w:left w:val="nil"/>
              <w:bottom w:val="single" w:sz="4" w:space="0" w:color="auto"/>
              <w:right w:val="nil"/>
            </w:tcBorders>
            <w:shd w:val="clear" w:color="auto" w:fill="auto"/>
            <w:noWrap/>
            <w:vAlign w:val="center"/>
            <w:hideMark/>
          </w:tcPr>
          <w:p w14:paraId="5A73496D" w14:textId="77777777" w:rsidR="00874916" w:rsidRPr="00910292" w:rsidRDefault="00874916" w:rsidP="00EA28C4">
            <w:pPr>
              <w:jc w:val="center"/>
              <w:rPr>
                <w:sz w:val="18"/>
                <w:szCs w:val="18"/>
              </w:rPr>
            </w:pPr>
            <w:r w:rsidRPr="002C524B">
              <w:rPr>
                <w:sz w:val="18"/>
                <w:szCs w:val="18"/>
              </w:rPr>
              <w:t xml:space="preserve">Thousand </w:t>
            </w:r>
            <w:r>
              <w:rPr>
                <w:sz w:val="18"/>
                <w:szCs w:val="18"/>
              </w:rPr>
              <w:t>Tons</w:t>
            </w:r>
          </w:p>
        </w:tc>
        <w:tc>
          <w:tcPr>
            <w:tcW w:w="457" w:type="pct"/>
            <w:tcBorders>
              <w:top w:val="single" w:sz="4" w:space="0" w:color="auto"/>
              <w:left w:val="nil"/>
              <w:bottom w:val="single" w:sz="4" w:space="0" w:color="auto"/>
              <w:right w:val="nil"/>
            </w:tcBorders>
            <w:shd w:val="clear" w:color="auto" w:fill="auto"/>
            <w:noWrap/>
            <w:vAlign w:val="center"/>
            <w:hideMark/>
          </w:tcPr>
          <w:p w14:paraId="13D4B99C" w14:textId="77777777" w:rsidR="00874916" w:rsidRPr="00910292" w:rsidRDefault="00874916" w:rsidP="00EA28C4">
            <w:pPr>
              <w:jc w:val="center"/>
              <w:rPr>
                <w:sz w:val="18"/>
                <w:szCs w:val="18"/>
              </w:rPr>
            </w:pPr>
            <w:r w:rsidRPr="002C524B">
              <w:rPr>
                <w:sz w:val="18"/>
                <w:szCs w:val="18"/>
              </w:rPr>
              <w:t>Percent</w:t>
            </w:r>
          </w:p>
        </w:tc>
      </w:tr>
      <w:tr w:rsidR="00874916" w:rsidRPr="002C524B" w14:paraId="43FE0F5A" w14:textId="77777777" w:rsidTr="001F0BEC">
        <w:trPr>
          <w:trHeight w:val="630"/>
          <w:jc w:val="center"/>
        </w:trPr>
        <w:tc>
          <w:tcPr>
            <w:tcW w:w="625" w:type="pct"/>
            <w:tcBorders>
              <w:top w:val="nil"/>
              <w:left w:val="nil"/>
              <w:bottom w:val="nil"/>
              <w:right w:val="nil"/>
            </w:tcBorders>
            <w:shd w:val="clear" w:color="auto" w:fill="auto"/>
            <w:vAlign w:val="center"/>
            <w:hideMark/>
          </w:tcPr>
          <w:p w14:paraId="79977344" w14:textId="77777777" w:rsidR="00874916" w:rsidRPr="00910292" w:rsidRDefault="00874916" w:rsidP="00EA28C4">
            <w:pPr>
              <w:jc w:val="center"/>
              <w:rPr>
                <w:sz w:val="18"/>
                <w:szCs w:val="18"/>
              </w:rPr>
            </w:pPr>
            <w:r w:rsidRPr="00910292">
              <w:rPr>
                <w:sz w:val="18"/>
                <w:szCs w:val="18"/>
              </w:rPr>
              <w:t>Russian Federation</w:t>
            </w:r>
          </w:p>
        </w:tc>
        <w:tc>
          <w:tcPr>
            <w:tcW w:w="557" w:type="pct"/>
            <w:tcBorders>
              <w:top w:val="nil"/>
              <w:left w:val="nil"/>
              <w:bottom w:val="nil"/>
              <w:right w:val="nil"/>
            </w:tcBorders>
            <w:shd w:val="clear" w:color="auto" w:fill="auto"/>
            <w:vAlign w:val="center"/>
            <w:hideMark/>
          </w:tcPr>
          <w:p w14:paraId="422DDFC7" w14:textId="77777777" w:rsidR="00874916" w:rsidRPr="00910292" w:rsidRDefault="00874916" w:rsidP="00EA28C4">
            <w:pPr>
              <w:jc w:val="center"/>
              <w:rPr>
                <w:sz w:val="18"/>
                <w:szCs w:val="18"/>
              </w:rPr>
            </w:pPr>
            <w:r w:rsidRPr="00910292">
              <w:rPr>
                <w:sz w:val="18"/>
                <w:szCs w:val="18"/>
              </w:rPr>
              <w:t>54.21</w:t>
            </w:r>
          </w:p>
        </w:tc>
        <w:tc>
          <w:tcPr>
            <w:tcW w:w="480" w:type="pct"/>
            <w:tcBorders>
              <w:top w:val="nil"/>
              <w:left w:val="nil"/>
              <w:bottom w:val="nil"/>
              <w:right w:val="single" w:sz="4" w:space="0" w:color="auto"/>
            </w:tcBorders>
            <w:shd w:val="clear" w:color="auto" w:fill="auto"/>
            <w:noWrap/>
            <w:vAlign w:val="center"/>
            <w:hideMark/>
          </w:tcPr>
          <w:p w14:paraId="74EEBAAB" w14:textId="77777777" w:rsidR="00874916" w:rsidRPr="00910292" w:rsidRDefault="00874916" w:rsidP="00EA28C4">
            <w:pPr>
              <w:jc w:val="center"/>
              <w:rPr>
                <w:sz w:val="18"/>
                <w:szCs w:val="18"/>
              </w:rPr>
            </w:pPr>
            <w:r w:rsidRPr="00910292">
              <w:rPr>
                <w:sz w:val="18"/>
                <w:szCs w:val="18"/>
              </w:rPr>
              <w:t>16.88%</w:t>
            </w:r>
          </w:p>
        </w:tc>
        <w:tc>
          <w:tcPr>
            <w:tcW w:w="641" w:type="pct"/>
            <w:tcBorders>
              <w:top w:val="nil"/>
              <w:left w:val="nil"/>
              <w:bottom w:val="nil"/>
              <w:right w:val="nil"/>
            </w:tcBorders>
            <w:shd w:val="clear" w:color="auto" w:fill="auto"/>
            <w:vAlign w:val="center"/>
            <w:hideMark/>
          </w:tcPr>
          <w:p w14:paraId="057C291C" w14:textId="77777777" w:rsidR="00874916" w:rsidRPr="00910292" w:rsidRDefault="00874916" w:rsidP="00EA28C4">
            <w:pPr>
              <w:jc w:val="center"/>
              <w:rPr>
                <w:sz w:val="18"/>
                <w:szCs w:val="18"/>
              </w:rPr>
            </w:pPr>
            <w:r w:rsidRPr="00910292">
              <w:rPr>
                <w:sz w:val="18"/>
                <w:szCs w:val="18"/>
              </w:rPr>
              <w:t>Russian Federation</w:t>
            </w:r>
          </w:p>
        </w:tc>
        <w:tc>
          <w:tcPr>
            <w:tcW w:w="560" w:type="pct"/>
            <w:tcBorders>
              <w:top w:val="nil"/>
              <w:left w:val="nil"/>
              <w:bottom w:val="nil"/>
              <w:right w:val="nil"/>
            </w:tcBorders>
            <w:shd w:val="clear" w:color="auto" w:fill="auto"/>
            <w:vAlign w:val="center"/>
            <w:hideMark/>
          </w:tcPr>
          <w:p w14:paraId="0741DBBC" w14:textId="77777777" w:rsidR="00874916" w:rsidRPr="00910292" w:rsidRDefault="00874916" w:rsidP="00EA28C4">
            <w:pPr>
              <w:jc w:val="center"/>
              <w:rPr>
                <w:sz w:val="18"/>
                <w:szCs w:val="18"/>
              </w:rPr>
            </w:pPr>
            <w:r w:rsidRPr="00910292">
              <w:rPr>
                <w:sz w:val="18"/>
                <w:szCs w:val="18"/>
              </w:rPr>
              <w:t>49.23</w:t>
            </w:r>
          </w:p>
        </w:tc>
        <w:tc>
          <w:tcPr>
            <w:tcW w:w="473" w:type="pct"/>
            <w:tcBorders>
              <w:top w:val="nil"/>
              <w:left w:val="nil"/>
              <w:bottom w:val="nil"/>
              <w:right w:val="single" w:sz="4" w:space="0" w:color="auto"/>
            </w:tcBorders>
            <w:shd w:val="clear" w:color="auto" w:fill="auto"/>
            <w:noWrap/>
            <w:vAlign w:val="center"/>
            <w:hideMark/>
          </w:tcPr>
          <w:p w14:paraId="0497767F" w14:textId="77777777" w:rsidR="00874916" w:rsidRPr="00910292" w:rsidRDefault="00874916" w:rsidP="00EA28C4">
            <w:pPr>
              <w:jc w:val="center"/>
              <w:rPr>
                <w:sz w:val="18"/>
                <w:szCs w:val="18"/>
              </w:rPr>
            </w:pPr>
            <w:r w:rsidRPr="00910292">
              <w:rPr>
                <w:sz w:val="18"/>
                <w:szCs w:val="18"/>
              </w:rPr>
              <w:t>15.46%</w:t>
            </w:r>
          </w:p>
        </w:tc>
        <w:tc>
          <w:tcPr>
            <w:tcW w:w="623" w:type="pct"/>
            <w:tcBorders>
              <w:top w:val="nil"/>
              <w:left w:val="nil"/>
              <w:bottom w:val="nil"/>
              <w:right w:val="nil"/>
            </w:tcBorders>
            <w:shd w:val="clear" w:color="auto" w:fill="auto"/>
            <w:vAlign w:val="center"/>
            <w:hideMark/>
          </w:tcPr>
          <w:p w14:paraId="41A98648" w14:textId="5AAFA077" w:rsidR="00874916" w:rsidRPr="00910292" w:rsidRDefault="00874916" w:rsidP="001F0BEC">
            <w:pPr>
              <w:jc w:val="center"/>
              <w:rPr>
                <w:sz w:val="18"/>
                <w:szCs w:val="18"/>
              </w:rPr>
            </w:pPr>
            <w:r w:rsidRPr="00910292">
              <w:rPr>
                <w:sz w:val="18"/>
                <w:szCs w:val="18"/>
              </w:rPr>
              <w:t>Iran</w:t>
            </w:r>
          </w:p>
        </w:tc>
        <w:tc>
          <w:tcPr>
            <w:tcW w:w="584" w:type="pct"/>
            <w:tcBorders>
              <w:top w:val="nil"/>
              <w:left w:val="nil"/>
              <w:bottom w:val="nil"/>
              <w:right w:val="nil"/>
            </w:tcBorders>
            <w:shd w:val="clear" w:color="auto" w:fill="auto"/>
            <w:vAlign w:val="center"/>
            <w:hideMark/>
          </w:tcPr>
          <w:p w14:paraId="1F914F13" w14:textId="77777777" w:rsidR="00874916" w:rsidRPr="00910292" w:rsidRDefault="00874916" w:rsidP="00EA28C4">
            <w:pPr>
              <w:jc w:val="center"/>
              <w:rPr>
                <w:sz w:val="18"/>
                <w:szCs w:val="18"/>
              </w:rPr>
            </w:pPr>
            <w:r w:rsidRPr="00910292">
              <w:rPr>
                <w:sz w:val="18"/>
                <w:szCs w:val="18"/>
              </w:rPr>
              <w:t>64.03</w:t>
            </w:r>
          </w:p>
        </w:tc>
        <w:tc>
          <w:tcPr>
            <w:tcW w:w="457" w:type="pct"/>
            <w:tcBorders>
              <w:top w:val="nil"/>
              <w:left w:val="nil"/>
              <w:bottom w:val="nil"/>
              <w:right w:val="nil"/>
            </w:tcBorders>
            <w:shd w:val="clear" w:color="auto" w:fill="auto"/>
            <w:noWrap/>
            <w:vAlign w:val="center"/>
            <w:hideMark/>
          </w:tcPr>
          <w:p w14:paraId="24935A5B" w14:textId="77777777" w:rsidR="00874916" w:rsidRPr="00910292" w:rsidRDefault="00874916" w:rsidP="00EA28C4">
            <w:pPr>
              <w:jc w:val="center"/>
              <w:rPr>
                <w:sz w:val="18"/>
                <w:szCs w:val="18"/>
              </w:rPr>
            </w:pPr>
            <w:r w:rsidRPr="00910292">
              <w:rPr>
                <w:sz w:val="18"/>
                <w:szCs w:val="18"/>
              </w:rPr>
              <w:t>18.02%</w:t>
            </w:r>
          </w:p>
        </w:tc>
      </w:tr>
      <w:tr w:rsidR="00874916" w:rsidRPr="002C524B" w14:paraId="242C95BD" w14:textId="77777777" w:rsidTr="001F0BEC">
        <w:trPr>
          <w:trHeight w:val="207"/>
          <w:jc w:val="center"/>
        </w:trPr>
        <w:tc>
          <w:tcPr>
            <w:tcW w:w="625" w:type="pct"/>
            <w:tcBorders>
              <w:top w:val="nil"/>
              <w:left w:val="nil"/>
              <w:bottom w:val="nil"/>
              <w:right w:val="nil"/>
            </w:tcBorders>
            <w:shd w:val="clear" w:color="auto" w:fill="auto"/>
            <w:vAlign w:val="center"/>
            <w:hideMark/>
          </w:tcPr>
          <w:p w14:paraId="049FD5AD" w14:textId="07713C3F" w:rsidR="00874916" w:rsidRPr="00910292" w:rsidRDefault="001F0BEC" w:rsidP="001F0BEC">
            <w:pPr>
              <w:jc w:val="center"/>
              <w:rPr>
                <w:sz w:val="18"/>
                <w:szCs w:val="18"/>
              </w:rPr>
            </w:pPr>
            <w:r>
              <w:rPr>
                <w:sz w:val="18"/>
                <w:szCs w:val="18"/>
              </w:rPr>
              <w:t>Iran</w:t>
            </w:r>
          </w:p>
        </w:tc>
        <w:tc>
          <w:tcPr>
            <w:tcW w:w="557" w:type="pct"/>
            <w:tcBorders>
              <w:top w:val="nil"/>
              <w:left w:val="nil"/>
              <w:bottom w:val="nil"/>
              <w:right w:val="nil"/>
            </w:tcBorders>
            <w:shd w:val="clear" w:color="auto" w:fill="auto"/>
            <w:vAlign w:val="center"/>
            <w:hideMark/>
          </w:tcPr>
          <w:p w14:paraId="02D5097F" w14:textId="77777777" w:rsidR="00874916" w:rsidRPr="00910292" w:rsidRDefault="00874916" w:rsidP="00EA28C4">
            <w:pPr>
              <w:jc w:val="center"/>
              <w:rPr>
                <w:sz w:val="18"/>
                <w:szCs w:val="18"/>
              </w:rPr>
            </w:pPr>
            <w:r w:rsidRPr="00910292">
              <w:rPr>
                <w:sz w:val="18"/>
                <w:szCs w:val="18"/>
              </w:rPr>
              <w:t>32.10</w:t>
            </w:r>
          </w:p>
        </w:tc>
        <w:tc>
          <w:tcPr>
            <w:tcW w:w="480" w:type="pct"/>
            <w:tcBorders>
              <w:top w:val="nil"/>
              <w:left w:val="nil"/>
              <w:bottom w:val="nil"/>
              <w:right w:val="single" w:sz="4" w:space="0" w:color="auto"/>
            </w:tcBorders>
            <w:shd w:val="clear" w:color="auto" w:fill="auto"/>
            <w:noWrap/>
            <w:vAlign w:val="center"/>
            <w:hideMark/>
          </w:tcPr>
          <w:p w14:paraId="41D9F0BA" w14:textId="77777777" w:rsidR="00874916" w:rsidRPr="00910292" w:rsidRDefault="00874916" w:rsidP="00EA28C4">
            <w:pPr>
              <w:jc w:val="center"/>
              <w:rPr>
                <w:sz w:val="18"/>
                <w:szCs w:val="18"/>
              </w:rPr>
            </w:pPr>
            <w:r w:rsidRPr="00910292">
              <w:rPr>
                <w:sz w:val="18"/>
                <w:szCs w:val="18"/>
              </w:rPr>
              <w:t>10.00%</w:t>
            </w:r>
          </w:p>
        </w:tc>
        <w:tc>
          <w:tcPr>
            <w:tcW w:w="641" w:type="pct"/>
            <w:tcBorders>
              <w:top w:val="nil"/>
              <w:left w:val="nil"/>
              <w:bottom w:val="nil"/>
              <w:right w:val="nil"/>
            </w:tcBorders>
            <w:shd w:val="clear" w:color="auto" w:fill="auto"/>
            <w:vAlign w:val="center"/>
            <w:hideMark/>
          </w:tcPr>
          <w:p w14:paraId="60F4F420" w14:textId="175CA4F6" w:rsidR="00874916" w:rsidRPr="00910292" w:rsidRDefault="001F0BEC" w:rsidP="001F0BEC">
            <w:pPr>
              <w:jc w:val="center"/>
              <w:rPr>
                <w:sz w:val="18"/>
                <w:szCs w:val="18"/>
              </w:rPr>
            </w:pPr>
            <w:r>
              <w:rPr>
                <w:sz w:val="18"/>
                <w:szCs w:val="18"/>
              </w:rPr>
              <w:t>Iran</w:t>
            </w:r>
          </w:p>
        </w:tc>
        <w:tc>
          <w:tcPr>
            <w:tcW w:w="560" w:type="pct"/>
            <w:tcBorders>
              <w:top w:val="nil"/>
              <w:left w:val="nil"/>
              <w:bottom w:val="nil"/>
              <w:right w:val="nil"/>
            </w:tcBorders>
            <w:shd w:val="clear" w:color="auto" w:fill="auto"/>
            <w:vAlign w:val="center"/>
            <w:hideMark/>
          </w:tcPr>
          <w:p w14:paraId="30465754" w14:textId="77777777" w:rsidR="00874916" w:rsidRPr="00910292" w:rsidRDefault="00874916" w:rsidP="00EA28C4">
            <w:pPr>
              <w:jc w:val="center"/>
              <w:rPr>
                <w:sz w:val="18"/>
                <w:szCs w:val="18"/>
              </w:rPr>
            </w:pPr>
            <w:r w:rsidRPr="00910292">
              <w:rPr>
                <w:sz w:val="18"/>
                <w:szCs w:val="18"/>
              </w:rPr>
              <w:t>41.04</w:t>
            </w:r>
          </w:p>
        </w:tc>
        <w:tc>
          <w:tcPr>
            <w:tcW w:w="473" w:type="pct"/>
            <w:tcBorders>
              <w:top w:val="nil"/>
              <w:left w:val="nil"/>
              <w:bottom w:val="nil"/>
              <w:right w:val="single" w:sz="4" w:space="0" w:color="auto"/>
            </w:tcBorders>
            <w:shd w:val="clear" w:color="auto" w:fill="auto"/>
            <w:noWrap/>
            <w:vAlign w:val="center"/>
            <w:hideMark/>
          </w:tcPr>
          <w:p w14:paraId="1590F3FB" w14:textId="77777777" w:rsidR="00874916" w:rsidRPr="00910292" w:rsidRDefault="00874916" w:rsidP="00EA28C4">
            <w:pPr>
              <w:jc w:val="center"/>
              <w:rPr>
                <w:sz w:val="18"/>
                <w:szCs w:val="18"/>
              </w:rPr>
            </w:pPr>
            <w:r w:rsidRPr="00910292">
              <w:rPr>
                <w:sz w:val="18"/>
                <w:szCs w:val="18"/>
              </w:rPr>
              <w:t>12.89%</w:t>
            </w:r>
          </w:p>
        </w:tc>
        <w:tc>
          <w:tcPr>
            <w:tcW w:w="623" w:type="pct"/>
            <w:tcBorders>
              <w:top w:val="nil"/>
              <w:left w:val="nil"/>
              <w:bottom w:val="nil"/>
              <w:right w:val="nil"/>
            </w:tcBorders>
            <w:shd w:val="clear" w:color="auto" w:fill="auto"/>
            <w:vAlign w:val="center"/>
            <w:hideMark/>
          </w:tcPr>
          <w:p w14:paraId="74EC9C14" w14:textId="77777777" w:rsidR="00874916" w:rsidRPr="00910292" w:rsidRDefault="00874916" w:rsidP="00EA28C4">
            <w:pPr>
              <w:jc w:val="center"/>
              <w:rPr>
                <w:sz w:val="18"/>
                <w:szCs w:val="18"/>
              </w:rPr>
            </w:pPr>
            <w:r w:rsidRPr="00910292">
              <w:rPr>
                <w:sz w:val="18"/>
                <w:szCs w:val="18"/>
              </w:rPr>
              <w:t>Russian Federation</w:t>
            </w:r>
          </w:p>
        </w:tc>
        <w:tc>
          <w:tcPr>
            <w:tcW w:w="584" w:type="pct"/>
            <w:tcBorders>
              <w:top w:val="nil"/>
              <w:left w:val="nil"/>
              <w:bottom w:val="nil"/>
              <w:right w:val="nil"/>
            </w:tcBorders>
            <w:shd w:val="clear" w:color="auto" w:fill="auto"/>
            <w:vAlign w:val="center"/>
            <w:hideMark/>
          </w:tcPr>
          <w:p w14:paraId="342C9870" w14:textId="77777777" w:rsidR="00874916" w:rsidRPr="00910292" w:rsidRDefault="00874916" w:rsidP="00EA28C4">
            <w:pPr>
              <w:jc w:val="center"/>
              <w:rPr>
                <w:sz w:val="18"/>
                <w:szCs w:val="18"/>
              </w:rPr>
            </w:pPr>
            <w:r w:rsidRPr="00910292">
              <w:rPr>
                <w:sz w:val="18"/>
                <w:szCs w:val="18"/>
              </w:rPr>
              <w:t>61.53</w:t>
            </w:r>
          </w:p>
        </w:tc>
        <w:tc>
          <w:tcPr>
            <w:tcW w:w="457" w:type="pct"/>
            <w:tcBorders>
              <w:top w:val="nil"/>
              <w:left w:val="nil"/>
              <w:bottom w:val="nil"/>
              <w:right w:val="nil"/>
            </w:tcBorders>
            <w:shd w:val="clear" w:color="auto" w:fill="auto"/>
            <w:noWrap/>
            <w:vAlign w:val="center"/>
            <w:hideMark/>
          </w:tcPr>
          <w:p w14:paraId="2DE0CD31" w14:textId="77777777" w:rsidR="00874916" w:rsidRPr="00910292" w:rsidRDefault="00874916" w:rsidP="00EA28C4">
            <w:pPr>
              <w:jc w:val="center"/>
              <w:rPr>
                <w:sz w:val="18"/>
                <w:szCs w:val="18"/>
              </w:rPr>
            </w:pPr>
            <w:r w:rsidRPr="00910292">
              <w:rPr>
                <w:sz w:val="18"/>
                <w:szCs w:val="18"/>
              </w:rPr>
              <w:t>17.32%</w:t>
            </w:r>
          </w:p>
        </w:tc>
      </w:tr>
      <w:tr w:rsidR="00874916" w:rsidRPr="002C524B" w14:paraId="73F9CAC1" w14:textId="77777777" w:rsidTr="001F0BEC">
        <w:trPr>
          <w:trHeight w:val="513"/>
          <w:jc w:val="center"/>
        </w:trPr>
        <w:tc>
          <w:tcPr>
            <w:tcW w:w="625" w:type="pct"/>
            <w:tcBorders>
              <w:top w:val="nil"/>
              <w:left w:val="nil"/>
              <w:bottom w:val="nil"/>
              <w:right w:val="nil"/>
            </w:tcBorders>
            <w:shd w:val="clear" w:color="auto" w:fill="auto"/>
            <w:vAlign w:val="center"/>
            <w:hideMark/>
          </w:tcPr>
          <w:p w14:paraId="5D792B55" w14:textId="4699F992" w:rsidR="00874916" w:rsidRPr="00910292" w:rsidRDefault="001F0BEC" w:rsidP="00EA28C4">
            <w:pPr>
              <w:jc w:val="center"/>
              <w:rPr>
                <w:sz w:val="18"/>
                <w:szCs w:val="18"/>
              </w:rPr>
            </w:pPr>
            <w:r>
              <w:rPr>
                <w:sz w:val="18"/>
                <w:szCs w:val="18"/>
              </w:rPr>
              <w:t>Syria</w:t>
            </w:r>
          </w:p>
        </w:tc>
        <w:tc>
          <w:tcPr>
            <w:tcW w:w="557" w:type="pct"/>
            <w:tcBorders>
              <w:top w:val="nil"/>
              <w:left w:val="nil"/>
              <w:bottom w:val="nil"/>
              <w:right w:val="nil"/>
            </w:tcBorders>
            <w:shd w:val="clear" w:color="auto" w:fill="auto"/>
            <w:vAlign w:val="center"/>
            <w:hideMark/>
          </w:tcPr>
          <w:p w14:paraId="0C803426" w14:textId="77777777" w:rsidR="00874916" w:rsidRPr="00910292" w:rsidRDefault="00874916" w:rsidP="00EA28C4">
            <w:pPr>
              <w:jc w:val="center"/>
              <w:rPr>
                <w:sz w:val="18"/>
                <w:szCs w:val="18"/>
              </w:rPr>
            </w:pPr>
            <w:r w:rsidRPr="00910292">
              <w:rPr>
                <w:sz w:val="18"/>
                <w:szCs w:val="18"/>
              </w:rPr>
              <w:t>28.87</w:t>
            </w:r>
          </w:p>
        </w:tc>
        <w:tc>
          <w:tcPr>
            <w:tcW w:w="480" w:type="pct"/>
            <w:tcBorders>
              <w:top w:val="nil"/>
              <w:left w:val="nil"/>
              <w:bottom w:val="nil"/>
              <w:right w:val="single" w:sz="4" w:space="0" w:color="auto"/>
            </w:tcBorders>
            <w:shd w:val="clear" w:color="auto" w:fill="auto"/>
            <w:noWrap/>
            <w:vAlign w:val="center"/>
            <w:hideMark/>
          </w:tcPr>
          <w:p w14:paraId="2D5D483C" w14:textId="77777777" w:rsidR="00874916" w:rsidRPr="00910292" w:rsidRDefault="00874916" w:rsidP="00EA28C4">
            <w:pPr>
              <w:jc w:val="center"/>
              <w:rPr>
                <w:sz w:val="18"/>
                <w:szCs w:val="18"/>
              </w:rPr>
            </w:pPr>
            <w:r w:rsidRPr="00910292">
              <w:rPr>
                <w:sz w:val="18"/>
                <w:szCs w:val="18"/>
              </w:rPr>
              <w:t>8.99%</w:t>
            </w:r>
          </w:p>
        </w:tc>
        <w:tc>
          <w:tcPr>
            <w:tcW w:w="641" w:type="pct"/>
            <w:tcBorders>
              <w:top w:val="nil"/>
              <w:left w:val="nil"/>
              <w:bottom w:val="nil"/>
              <w:right w:val="nil"/>
            </w:tcBorders>
            <w:shd w:val="clear" w:color="auto" w:fill="auto"/>
            <w:vAlign w:val="center"/>
            <w:hideMark/>
          </w:tcPr>
          <w:p w14:paraId="6EA8E2A3" w14:textId="4E48B3D8" w:rsidR="00874916" w:rsidRPr="00910292" w:rsidRDefault="001F0BEC" w:rsidP="001F0BEC">
            <w:pPr>
              <w:jc w:val="center"/>
              <w:rPr>
                <w:sz w:val="18"/>
                <w:szCs w:val="18"/>
              </w:rPr>
            </w:pPr>
            <w:r>
              <w:rPr>
                <w:sz w:val="18"/>
                <w:szCs w:val="18"/>
              </w:rPr>
              <w:t>Syria</w:t>
            </w:r>
          </w:p>
        </w:tc>
        <w:tc>
          <w:tcPr>
            <w:tcW w:w="560" w:type="pct"/>
            <w:tcBorders>
              <w:top w:val="nil"/>
              <w:left w:val="nil"/>
              <w:bottom w:val="nil"/>
              <w:right w:val="nil"/>
            </w:tcBorders>
            <w:shd w:val="clear" w:color="auto" w:fill="auto"/>
            <w:vAlign w:val="center"/>
            <w:hideMark/>
          </w:tcPr>
          <w:p w14:paraId="600B73EF" w14:textId="77777777" w:rsidR="00874916" w:rsidRPr="00910292" w:rsidRDefault="00874916" w:rsidP="00EA28C4">
            <w:pPr>
              <w:jc w:val="center"/>
              <w:rPr>
                <w:sz w:val="18"/>
                <w:szCs w:val="18"/>
              </w:rPr>
            </w:pPr>
            <w:r w:rsidRPr="00910292">
              <w:rPr>
                <w:sz w:val="18"/>
                <w:szCs w:val="18"/>
              </w:rPr>
              <w:t>24.74</w:t>
            </w:r>
          </w:p>
        </w:tc>
        <w:tc>
          <w:tcPr>
            <w:tcW w:w="473" w:type="pct"/>
            <w:tcBorders>
              <w:top w:val="nil"/>
              <w:left w:val="nil"/>
              <w:bottom w:val="nil"/>
              <w:right w:val="single" w:sz="4" w:space="0" w:color="auto"/>
            </w:tcBorders>
            <w:shd w:val="clear" w:color="auto" w:fill="auto"/>
            <w:noWrap/>
            <w:vAlign w:val="center"/>
            <w:hideMark/>
          </w:tcPr>
          <w:p w14:paraId="326B873E" w14:textId="77777777" w:rsidR="00874916" w:rsidRPr="00910292" w:rsidRDefault="00874916" w:rsidP="00EA28C4">
            <w:pPr>
              <w:jc w:val="center"/>
              <w:rPr>
                <w:sz w:val="18"/>
                <w:szCs w:val="18"/>
              </w:rPr>
            </w:pPr>
            <w:r w:rsidRPr="00910292">
              <w:rPr>
                <w:sz w:val="18"/>
                <w:szCs w:val="18"/>
              </w:rPr>
              <w:t>7.77%</w:t>
            </w:r>
          </w:p>
        </w:tc>
        <w:tc>
          <w:tcPr>
            <w:tcW w:w="623" w:type="pct"/>
            <w:tcBorders>
              <w:top w:val="nil"/>
              <w:left w:val="nil"/>
              <w:bottom w:val="nil"/>
              <w:right w:val="nil"/>
            </w:tcBorders>
            <w:shd w:val="clear" w:color="auto" w:fill="auto"/>
            <w:vAlign w:val="center"/>
            <w:hideMark/>
          </w:tcPr>
          <w:p w14:paraId="6230332F" w14:textId="77777777" w:rsidR="00874916" w:rsidRPr="00910292" w:rsidRDefault="00874916" w:rsidP="00EA28C4">
            <w:pPr>
              <w:jc w:val="center"/>
              <w:rPr>
                <w:sz w:val="18"/>
                <w:szCs w:val="18"/>
              </w:rPr>
            </w:pPr>
            <w:r w:rsidRPr="00910292">
              <w:rPr>
                <w:sz w:val="18"/>
                <w:szCs w:val="18"/>
              </w:rPr>
              <w:t>Turkey</w:t>
            </w:r>
          </w:p>
        </w:tc>
        <w:tc>
          <w:tcPr>
            <w:tcW w:w="584" w:type="pct"/>
            <w:tcBorders>
              <w:top w:val="nil"/>
              <w:left w:val="nil"/>
              <w:bottom w:val="nil"/>
              <w:right w:val="nil"/>
            </w:tcBorders>
            <w:shd w:val="clear" w:color="auto" w:fill="auto"/>
            <w:vAlign w:val="center"/>
            <w:hideMark/>
          </w:tcPr>
          <w:p w14:paraId="6E286DDC" w14:textId="77777777" w:rsidR="00874916" w:rsidRPr="00910292" w:rsidRDefault="00874916" w:rsidP="00EA28C4">
            <w:pPr>
              <w:jc w:val="center"/>
              <w:rPr>
                <w:sz w:val="18"/>
                <w:szCs w:val="18"/>
              </w:rPr>
            </w:pPr>
            <w:r w:rsidRPr="00910292">
              <w:rPr>
                <w:sz w:val="18"/>
                <w:szCs w:val="18"/>
              </w:rPr>
              <w:t>26.06</w:t>
            </w:r>
          </w:p>
        </w:tc>
        <w:tc>
          <w:tcPr>
            <w:tcW w:w="457" w:type="pct"/>
            <w:tcBorders>
              <w:top w:val="nil"/>
              <w:left w:val="nil"/>
              <w:bottom w:val="nil"/>
              <w:right w:val="nil"/>
            </w:tcBorders>
            <w:shd w:val="clear" w:color="auto" w:fill="auto"/>
            <w:noWrap/>
            <w:vAlign w:val="center"/>
            <w:hideMark/>
          </w:tcPr>
          <w:p w14:paraId="200B7E52" w14:textId="77777777" w:rsidR="00874916" w:rsidRPr="00910292" w:rsidRDefault="00874916" w:rsidP="00EA28C4">
            <w:pPr>
              <w:jc w:val="center"/>
              <w:rPr>
                <w:sz w:val="18"/>
                <w:szCs w:val="18"/>
              </w:rPr>
            </w:pPr>
            <w:r w:rsidRPr="00910292">
              <w:rPr>
                <w:sz w:val="18"/>
                <w:szCs w:val="18"/>
              </w:rPr>
              <w:t>7.34%</w:t>
            </w:r>
          </w:p>
        </w:tc>
      </w:tr>
      <w:tr w:rsidR="00874916" w:rsidRPr="002C524B" w14:paraId="12E2CE25" w14:textId="77777777" w:rsidTr="001F0BEC">
        <w:trPr>
          <w:trHeight w:val="270"/>
          <w:jc w:val="center"/>
        </w:trPr>
        <w:tc>
          <w:tcPr>
            <w:tcW w:w="625" w:type="pct"/>
            <w:tcBorders>
              <w:top w:val="nil"/>
              <w:left w:val="nil"/>
              <w:bottom w:val="nil"/>
              <w:right w:val="nil"/>
            </w:tcBorders>
            <w:shd w:val="clear" w:color="auto" w:fill="auto"/>
            <w:vAlign w:val="center"/>
            <w:hideMark/>
          </w:tcPr>
          <w:p w14:paraId="50E44C71" w14:textId="77777777" w:rsidR="00874916" w:rsidRPr="00910292" w:rsidRDefault="00874916" w:rsidP="00EA28C4">
            <w:pPr>
              <w:jc w:val="center"/>
              <w:rPr>
                <w:sz w:val="18"/>
                <w:szCs w:val="18"/>
              </w:rPr>
            </w:pPr>
            <w:r w:rsidRPr="00910292">
              <w:rPr>
                <w:sz w:val="18"/>
                <w:szCs w:val="18"/>
              </w:rPr>
              <w:t>Iraq</w:t>
            </w:r>
          </w:p>
        </w:tc>
        <w:tc>
          <w:tcPr>
            <w:tcW w:w="557" w:type="pct"/>
            <w:tcBorders>
              <w:top w:val="nil"/>
              <w:left w:val="nil"/>
              <w:bottom w:val="nil"/>
              <w:right w:val="nil"/>
            </w:tcBorders>
            <w:shd w:val="clear" w:color="auto" w:fill="auto"/>
            <w:vAlign w:val="center"/>
            <w:hideMark/>
          </w:tcPr>
          <w:p w14:paraId="61556E7B" w14:textId="77777777" w:rsidR="00874916" w:rsidRPr="00910292" w:rsidRDefault="00874916" w:rsidP="00EA28C4">
            <w:pPr>
              <w:jc w:val="center"/>
              <w:rPr>
                <w:sz w:val="18"/>
                <w:szCs w:val="18"/>
              </w:rPr>
            </w:pPr>
            <w:r w:rsidRPr="00910292">
              <w:rPr>
                <w:sz w:val="18"/>
                <w:szCs w:val="18"/>
              </w:rPr>
              <w:t>23.32</w:t>
            </w:r>
          </w:p>
        </w:tc>
        <w:tc>
          <w:tcPr>
            <w:tcW w:w="480" w:type="pct"/>
            <w:tcBorders>
              <w:top w:val="nil"/>
              <w:left w:val="nil"/>
              <w:bottom w:val="nil"/>
              <w:right w:val="single" w:sz="4" w:space="0" w:color="auto"/>
            </w:tcBorders>
            <w:shd w:val="clear" w:color="auto" w:fill="auto"/>
            <w:noWrap/>
            <w:vAlign w:val="center"/>
            <w:hideMark/>
          </w:tcPr>
          <w:p w14:paraId="257C3FF3" w14:textId="77777777" w:rsidR="00874916" w:rsidRPr="00910292" w:rsidRDefault="00874916" w:rsidP="00EA28C4">
            <w:pPr>
              <w:jc w:val="center"/>
              <w:rPr>
                <w:sz w:val="18"/>
                <w:szCs w:val="18"/>
              </w:rPr>
            </w:pPr>
            <w:r w:rsidRPr="00910292">
              <w:rPr>
                <w:sz w:val="18"/>
                <w:szCs w:val="18"/>
              </w:rPr>
              <w:t>7.26%</w:t>
            </w:r>
          </w:p>
        </w:tc>
        <w:tc>
          <w:tcPr>
            <w:tcW w:w="641" w:type="pct"/>
            <w:tcBorders>
              <w:top w:val="nil"/>
              <w:left w:val="nil"/>
              <w:bottom w:val="nil"/>
              <w:right w:val="nil"/>
            </w:tcBorders>
            <w:shd w:val="clear" w:color="auto" w:fill="auto"/>
            <w:vAlign w:val="center"/>
            <w:hideMark/>
          </w:tcPr>
          <w:p w14:paraId="2AAE09E5" w14:textId="77777777" w:rsidR="00874916" w:rsidRPr="00910292" w:rsidRDefault="00874916" w:rsidP="00EA28C4">
            <w:pPr>
              <w:jc w:val="center"/>
              <w:rPr>
                <w:sz w:val="18"/>
                <w:szCs w:val="18"/>
              </w:rPr>
            </w:pPr>
            <w:r w:rsidRPr="00910292">
              <w:rPr>
                <w:sz w:val="18"/>
                <w:szCs w:val="18"/>
              </w:rPr>
              <w:t>Iraq</w:t>
            </w:r>
          </w:p>
        </w:tc>
        <w:tc>
          <w:tcPr>
            <w:tcW w:w="560" w:type="pct"/>
            <w:tcBorders>
              <w:top w:val="nil"/>
              <w:left w:val="nil"/>
              <w:bottom w:val="nil"/>
              <w:right w:val="nil"/>
            </w:tcBorders>
            <w:shd w:val="clear" w:color="auto" w:fill="auto"/>
            <w:vAlign w:val="center"/>
            <w:hideMark/>
          </w:tcPr>
          <w:p w14:paraId="71BE6E01" w14:textId="77777777" w:rsidR="00874916" w:rsidRPr="00910292" w:rsidRDefault="00874916" w:rsidP="00EA28C4">
            <w:pPr>
              <w:jc w:val="center"/>
              <w:rPr>
                <w:sz w:val="18"/>
                <w:szCs w:val="18"/>
              </w:rPr>
            </w:pPr>
            <w:r w:rsidRPr="00910292">
              <w:rPr>
                <w:sz w:val="18"/>
                <w:szCs w:val="18"/>
              </w:rPr>
              <w:t>23.49</w:t>
            </w:r>
          </w:p>
        </w:tc>
        <w:tc>
          <w:tcPr>
            <w:tcW w:w="473" w:type="pct"/>
            <w:tcBorders>
              <w:top w:val="nil"/>
              <w:left w:val="nil"/>
              <w:bottom w:val="nil"/>
              <w:right w:val="single" w:sz="4" w:space="0" w:color="auto"/>
            </w:tcBorders>
            <w:shd w:val="clear" w:color="auto" w:fill="auto"/>
            <w:noWrap/>
            <w:vAlign w:val="center"/>
            <w:hideMark/>
          </w:tcPr>
          <w:p w14:paraId="318F1812" w14:textId="77777777" w:rsidR="00874916" w:rsidRPr="00910292" w:rsidRDefault="00874916" w:rsidP="00EA28C4">
            <w:pPr>
              <w:jc w:val="center"/>
              <w:rPr>
                <w:sz w:val="18"/>
                <w:szCs w:val="18"/>
              </w:rPr>
            </w:pPr>
            <w:r w:rsidRPr="00910292">
              <w:rPr>
                <w:sz w:val="18"/>
                <w:szCs w:val="18"/>
              </w:rPr>
              <w:t>7.38%</w:t>
            </w:r>
          </w:p>
        </w:tc>
        <w:tc>
          <w:tcPr>
            <w:tcW w:w="623" w:type="pct"/>
            <w:tcBorders>
              <w:top w:val="nil"/>
              <w:left w:val="nil"/>
              <w:bottom w:val="nil"/>
              <w:right w:val="nil"/>
            </w:tcBorders>
            <w:shd w:val="clear" w:color="auto" w:fill="auto"/>
            <w:vAlign w:val="center"/>
            <w:hideMark/>
          </w:tcPr>
          <w:p w14:paraId="599B402E" w14:textId="343C3DA3" w:rsidR="00874916" w:rsidRPr="00910292" w:rsidRDefault="00874916" w:rsidP="001F0BEC">
            <w:pPr>
              <w:jc w:val="center"/>
              <w:rPr>
                <w:sz w:val="18"/>
                <w:szCs w:val="18"/>
              </w:rPr>
            </w:pPr>
            <w:r w:rsidRPr="00910292">
              <w:rPr>
                <w:sz w:val="18"/>
                <w:szCs w:val="18"/>
              </w:rPr>
              <w:t>Syria</w:t>
            </w:r>
          </w:p>
        </w:tc>
        <w:tc>
          <w:tcPr>
            <w:tcW w:w="584" w:type="pct"/>
            <w:tcBorders>
              <w:top w:val="nil"/>
              <w:left w:val="nil"/>
              <w:bottom w:val="nil"/>
              <w:right w:val="nil"/>
            </w:tcBorders>
            <w:shd w:val="clear" w:color="auto" w:fill="auto"/>
            <w:vAlign w:val="center"/>
            <w:hideMark/>
          </w:tcPr>
          <w:p w14:paraId="33FA1627" w14:textId="77777777" w:rsidR="00874916" w:rsidRPr="00910292" w:rsidRDefault="00874916" w:rsidP="00EA28C4">
            <w:pPr>
              <w:jc w:val="center"/>
              <w:rPr>
                <w:sz w:val="18"/>
                <w:szCs w:val="18"/>
              </w:rPr>
            </w:pPr>
            <w:r w:rsidRPr="00910292">
              <w:rPr>
                <w:sz w:val="18"/>
                <w:szCs w:val="18"/>
              </w:rPr>
              <w:t>22.65</w:t>
            </w:r>
          </w:p>
        </w:tc>
        <w:tc>
          <w:tcPr>
            <w:tcW w:w="457" w:type="pct"/>
            <w:tcBorders>
              <w:top w:val="nil"/>
              <w:left w:val="nil"/>
              <w:bottom w:val="nil"/>
              <w:right w:val="nil"/>
            </w:tcBorders>
            <w:shd w:val="clear" w:color="auto" w:fill="auto"/>
            <w:noWrap/>
            <w:vAlign w:val="center"/>
            <w:hideMark/>
          </w:tcPr>
          <w:p w14:paraId="1C30B029" w14:textId="77777777" w:rsidR="00874916" w:rsidRPr="00910292" w:rsidRDefault="00874916" w:rsidP="00EA28C4">
            <w:pPr>
              <w:jc w:val="center"/>
              <w:rPr>
                <w:sz w:val="18"/>
                <w:szCs w:val="18"/>
              </w:rPr>
            </w:pPr>
            <w:r w:rsidRPr="00910292">
              <w:rPr>
                <w:sz w:val="18"/>
                <w:szCs w:val="18"/>
              </w:rPr>
              <w:t>6.37%</w:t>
            </w:r>
          </w:p>
        </w:tc>
      </w:tr>
      <w:tr w:rsidR="00874916" w:rsidRPr="002C524B" w14:paraId="15A093D9" w14:textId="77777777" w:rsidTr="001F0BEC">
        <w:trPr>
          <w:trHeight w:val="360"/>
          <w:jc w:val="center"/>
        </w:trPr>
        <w:tc>
          <w:tcPr>
            <w:tcW w:w="625" w:type="pct"/>
            <w:tcBorders>
              <w:top w:val="nil"/>
              <w:left w:val="nil"/>
              <w:bottom w:val="nil"/>
              <w:right w:val="nil"/>
            </w:tcBorders>
            <w:shd w:val="clear" w:color="auto" w:fill="auto"/>
            <w:vAlign w:val="center"/>
            <w:hideMark/>
          </w:tcPr>
          <w:p w14:paraId="220B0C3A" w14:textId="51868189" w:rsidR="00874916" w:rsidRPr="00910292" w:rsidRDefault="001F0BEC" w:rsidP="00EA28C4">
            <w:pPr>
              <w:jc w:val="center"/>
              <w:rPr>
                <w:sz w:val="18"/>
                <w:szCs w:val="18"/>
              </w:rPr>
            </w:pPr>
            <w:r>
              <w:rPr>
                <w:sz w:val="18"/>
                <w:szCs w:val="18"/>
              </w:rPr>
              <w:t>UAE</w:t>
            </w:r>
          </w:p>
        </w:tc>
        <w:tc>
          <w:tcPr>
            <w:tcW w:w="557" w:type="pct"/>
            <w:tcBorders>
              <w:top w:val="nil"/>
              <w:left w:val="nil"/>
              <w:bottom w:val="nil"/>
              <w:right w:val="nil"/>
            </w:tcBorders>
            <w:shd w:val="clear" w:color="auto" w:fill="auto"/>
            <w:vAlign w:val="center"/>
            <w:hideMark/>
          </w:tcPr>
          <w:p w14:paraId="1CE0DC0C" w14:textId="77777777" w:rsidR="00874916" w:rsidRPr="00910292" w:rsidRDefault="00874916" w:rsidP="00EA28C4">
            <w:pPr>
              <w:jc w:val="center"/>
              <w:rPr>
                <w:sz w:val="18"/>
                <w:szCs w:val="18"/>
              </w:rPr>
            </w:pPr>
            <w:r w:rsidRPr="00910292">
              <w:rPr>
                <w:sz w:val="18"/>
                <w:szCs w:val="18"/>
              </w:rPr>
              <w:t>22.58</w:t>
            </w:r>
          </w:p>
        </w:tc>
        <w:tc>
          <w:tcPr>
            <w:tcW w:w="480" w:type="pct"/>
            <w:tcBorders>
              <w:top w:val="nil"/>
              <w:left w:val="nil"/>
              <w:bottom w:val="nil"/>
              <w:right w:val="single" w:sz="4" w:space="0" w:color="auto"/>
            </w:tcBorders>
            <w:shd w:val="clear" w:color="auto" w:fill="auto"/>
            <w:noWrap/>
            <w:vAlign w:val="center"/>
            <w:hideMark/>
          </w:tcPr>
          <w:p w14:paraId="79667D11" w14:textId="77777777" w:rsidR="00874916" w:rsidRPr="00910292" w:rsidRDefault="00874916" w:rsidP="00EA28C4">
            <w:pPr>
              <w:jc w:val="center"/>
              <w:rPr>
                <w:sz w:val="18"/>
                <w:szCs w:val="18"/>
              </w:rPr>
            </w:pPr>
            <w:r w:rsidRPr="00910292">
              <w:rPr>
                <w:sz w:val="18"/>
                <w:szCs w:val="18"/>
              </w:rPr>
              <w:t>7.03%</w:t>
            </w:r>
          </w:p>
        </w:tc>
        <w:tc>
          <w:tcPr>
            <w:tcW w:w="641" w:type="pct"/>
            <w:tcBorders>
              <w:top w:val="nil"/>
              <w:left w:val="nil"/>
              <w:bottom w:val="nil"/>
              <w:right w:val="nil"/>
            </w:tcBorders>
            <w:shd w:val="clear" w:color="auto" w:fill="auto"/>
            <w:vAlign w:val="center"/>
            <w:hideMark/>
          </w:tcPr>
          <w:p w14:paraId="6BD8E4AB" w14:textId="77777777" w:rsidR="00874916" w:rsidRPr="00910292" w:rsidRDefault="00874916" w:rsidP="00EA28C4">
            <w:pPr>
              <w:jc w:val="center"/>
              <w:rPr>
                <w:sz w:val="18"/>
                <w:szCs w:val="18"/>
              </w:rPr>
            </w:pPr>
            <w:r w:rsidRPr="00910292">
              <w:rPr>
                <w:sz w:val="18"/>
                <w:szCs w:val="18"/>
              </w:rPr>
              <w:t>Turkey</w:t>
            </w:r>
          </w:p>
        </w:tc>
        <w:tc>
          <w:tcPr>
            <w:tcW w:w="560" w:type="pct"/>
            <w:tcBorders>
              <w:top w:val="nil"/>
              <w:left w:val="nil"/>
              <w:bottom w:val="nil"/>
              <w:right w:val="nil"/>
            </w:tcBorders>
            <w:shd w:val="clear" w:color="auto" w:fill="auto"/>
            <w:vAlign w:val="center"/>
            <w:hideMark/>
          </w:tcPr>
          <w:p w14:paraId="7AC958BF" w14:textId="77777777" w:rsidR="00874916" w:rsidRPr="00910292" w:rsidRDefault="00874916" w:rsidP="00EA28C4">
            <w:pPr>
              <w:jc w:val="center"/>
              <w:rPr>
                <w:sz w:val="18"/>
                <w:szCs w:val="18"/>
              </w:rPr>
            </w:pPr>
            <w:r w:rsidRPr="00910292">
              <w:rPr>
                <w:sz w:val="18"/>
                <w:szCs w:val="18"/>
              </w:rPr>
              <w:t>23.16</w:t>
            </w:r>
          </w:p>
        </w:tc>
        <w:tc>
          <w:tcPr>
            <w:tcW w:w="473" w:type="pct"/>
            <w:tcBorders>
              <w:top w:val="nil"/>
              <w:left w:val="nil"/>
              <w:bottom w:val="nil"/>
              <w:right w:val="single" w:sz="4" w:space="0" w:color="auto"/>
            </w:tcBorders>
            <w:shd w:val="clear" w:color="auto" w:fill="auto"/>
            <w:noWrap/>
            <w:vAlign w:val="center"/>
            <w:hideMark/>
          </w:tcPr>
          <w:p w14:paraId="195E957E" w14:textId="77777777" w:rsidR="00874916" w:rsidRPr="00910292" w:rsidRDefault="00874916" w:rsidP="00EA28C4">
            <w:pPr>
              <w:jc w:val="center"/>
              <w:rPr>
                <w:sz w:val="18"/>
                <w:szCs w:val="18"/>
              </w:rPr>
            </w:pPr>
            <w:r w:rsidRPr="00910292">
              <w:rPr>
                <w:sz w:val="18"/>
                <w:szCs w:val="18"/>
              </w:rPr>
              <w:t>7.27%</w:t>
            </w:r>
          </w:p>
        </w:tc>
        <w:tc>
          <w:tcPr>
            <w:tcW w:w="623" w:type="pct"/>
            <w:tcBorders>
              <w:top w:val="nil"/>
              <w:left w:val="nil"/>
              <w:bottom w:val="nil"/>
              <w:right w:val="nil"/>
            </w:tcBorders>
            <w:shd w:val="clear" w:color="auto" w:fill="auto"/>
            <w:vAlign w:val="center"/>
            <w:hideMark/>
          </w:tcPr>
          <w:p w14:paraId="5C99D139" w14:textId="4FB16272" w:rsidR="00874916" w:rsidRPr="00910292" w:rsidRDefault="001F0BEC" w:rsidP="00EA28C4">
            <w:pPr>
              <w:jc w:val="center"/>
              <w:rPr>
                <w:sz w:val="18"/>
                <w:szCs w:val="18"/>
              </w:rPr>
            </w:pPr>
            <w:r>
              <w:rPr>
                <w:sz w:val="18"/>
                <w:szCs w:val="18"/>
              </w:rPr>
              <w:t>UAE</w:t>
            </w:r>
          </w:p>
        </w:tc>
        <w:tc>
          <w:tcPr>
            <w:tcW w:w="584" w:type="pct"/>
            <w:tcBorders>
              <w:top w:val="nil"/>
              <w:left w:val="nil"/>
              <w:bottom w:val="nil"/>
              <w:right w:val="nil"/>
            </w:tcBorders>
            <w:shd w:val="clear" w:color="auto" w:fill="auto"/>
            <w:vAlign w:val="center"/>
            <w:hideMark/>
          </w:tcPr>
          <w:p w14:paraId="13FC585E" w14:textId="77777777" w:rsidR="00874916" w:rsidRPr="00910292" w:rsidRDefault="00874916" w:rsidP="00EA28C4">
            <w:pPr>
              <w:jc w:val="center"/>
              <w:rPr>
                <w:sz w:val="18"/>
                <w:szCs w:val="18"/>
              </w:rPr>
            </w:pPr>
            <w:r w:rsidRPr="00910292">
              <w:rPr>
                <w:sz w:val="18"/>
                <w:szCs w:val="18"/>
              </w:rPr>
              <w:t>20.25</w:t>
            </w:r>
          </w:p>
        </w:tc>
        <w:tc>
          <w:tcPr>
            <w:tcW w:w="457" w:type="pct"/>
            <w:tcBorders>
              <w:top w:val="nil"/>
              <w:left w:val="nil"/>
              <w:bottom w:val="nil"/>
              <w:right w:val="nil"/>
            </w:tcBorders>
            <w:shd w:val="clear" w:color="auto" w:fill="auto"/>
            <w:noWrap/>
            <w:vAlign w:val="center"/>
            <w:hideMark/>
          </w:tcPr>
          <w:p w14:paraId="52D6CDC3" w14:textId="77777777" w:rsidR="00874916" w:rsidRPr="00910292" w:rsidRDefault="00874916" w:rsidP="00EA28C4">
            <w:pPr>
              <w:jc w:val="center"/>
              <w:rPr>
                <w:sz w:val="18"/>
                <w:szCs w:val="18"/>
              </w:rPr>
            </w:pPr>
            <w:r w:rsidRPr="00910292">
              <w:rPr>
                <w:sz w:val="18"/>
                <w:szCs w:val="18"/>
              </w:rPr>
              <w:t>5.70%</w:t>
            </w:r>
          </w:p>
        </w:tc>
      </w:tr>
      <w:tr w:rsidR="00874916" w:rsidRPr="002C524B" w14:paraId="223FA4F3" w14:textId="77777777" w:rsidTr="001F0BEC">
        <w:trPr>
          <w:trHeight w:val="270"/>
          <w:jc w:val="center"/>
        </w:trPr>
        <w:tc>
          <w:tcPr>
            <w:tcW w:w="625" w:type="pct"/>
            <w:tcBorders>
              <w:top w:val="nil"/>
              <w:left w:val="nil"/>
              <w:bottom w:val="nil"/>
              <w:right w:val="nil"/>
            </w:tcBorders>
            <w:shd w:val="clear" w:color="auto" w:fill="auto"/>
            <w:vAlign w:val="center"/>
            <w:hideMark/>
          </w:tcPr>
          <w:p w14:paraId="4C54B5C9" w14:textId="77777777" w:rsidR="00874916" w:rsidRPr="00910292" w:rsidRDefault="00874916" w:rsidP="00EA28C4">
            <w:pPr>
              <w:jc w:val="center"/>
              <w:rPr>
                <w:sz w:val="18"/>
                <w:szCs w:val="18"/>
              </w:rPr>
            </w:pPr>
            <w:r w:rsidRPr="00910292">
              <w:rPr>
                <w:sz w:val="18"/>
                <w:szCs w:val="18"/>
              </w:rPr>
              <w:t>Turkey</w:t>
            </w:r>
          </w:p>
        </w:tc>
        <w:tc>
          <w:tcPr>
            <w:tcW w:w="557" w:type="pct"/>
            <w:tcBorders>
              <w:top w:val="nil"/>
              <w:left w:val="nil"/>
              <w:bottom w:val="nil"/>
              <w:right w:val="nil"/>
            </w:tcBorders>
            <w:shd w:val="clear" w:color="auto" w:fill="auto"/>
            <w:vAlign w:val="center"/>
            <w:hideMark/>
          </w:tcPr>
          <w:p w14:paraId="68CEC492" w14:textId="77777777" w:rsidR="00874916" w:rsidRPr="00910292" w:rsidRDefault="00874916" w:rsidP="00EA28C4">
            <w:pPr>
              <w:jc w:val="center"/>
              <w:rPr>
                <w:sz w:val="18"/>
                <w:szCs w:val="18"/>
              </w:rPr>
            </w:pPr>
            <w:r w:rsidRPr="00910292">
              <w:rPr>
                <w:sz w:val="18"/>
                <w:szCs w:val="18"/>
              </w:rPr>
              <w:t>19.28</w:t>
            </w:r>
          </w:p>
        </w:tc>
        <w:tc>
          <w:tcPr>
            <w:tcW w:w="480" w:type="pct"/>
            <w:tcBorders>
              <w:top w:val="nil"/>
              <w:left w:val="nil"/>
              <w:bottom w:val="nil"/>
              <w:right w:val="single" w:sz="4" w:space="0" w:color="auto"/>
            </w:tcBorders>
            <w:shd w:val="clear" w:color="auto" w:fill="auto"/>
            <w:noWrap/>
            <w:vAlign w:val="center"/>
            <w:hideMark/>
          </w:tcPr>
          <w:p w14:paraId="5F580C19" w14:textId="77777777" w:rsidR="00874916" w:rsidRPr="00910292" w:rsidRDefault="00874916" w:rsidP="00EA28C4">
            <w:pPr>
              <w:jc w:val="center"/>
              <w:rPr>
                <w:sz w:val="18"/>
                <w:szCs w:val="18"/>
              </w:rPr>
            </w:pPr>
            <w:r w:rsidRPr="00910292">
              <w:rPr>
                <w:sz w:val="18"/>
                <w:szCs w:val="18"/>
              </w:rPr>
              <w:t>6.00%</w:t>
            </w:r>
          </w:p>
        </w:tc>
        <w:tc>
          <w:tcPr>
            <w:tcW w:w="641" w:type="pct"/>
            <w:tcBorders>
              <w:top w:val="nil"/>
              <w:left w:val="nil"/>
              <w:bottom w:val="nil"/>
              <w:right w:val="nil"/>
            </w:tcBorders>
            <w:shd w:val="clear" w:color="auto" w:fill="auto"/>
            <w:vAlign w:val="center"/>
            <w:hideMark/>
          </w:tcPr>
          <w:p w14:paraId="4FD50CF9" w14:textId="631AA1D4" w:rsidR="00874916" w:rsidRPr="00910292" w:rsidRDefault="00874916" w:rsidP="001F0BEC">
            <w:pPr>
              <w:jc w:val="center"/>
              <w:rPr>
                <w:sz w:val="18"/>
                <w:szCs w:val="18"/>
              </w:rPr>
            </w:pPr>
            <w:r w:rsidRPr="00910292">
              <w:rPr>
                <w:sz w:val="18"/>
                <w:szCs w:val="18"/>
              </w:rPr>
              <w:t>Libya</w:t>
            </w:r>
          </w:p>
        </w:tc>
        <w:tc>
          <w:tcPr>
            <w:tcW w:w="560" w:type="pct"/>
            <w:tcBorders>
              <w:top w:val="nil"/>
              <w:left w:val="nil"/>
              <w:bottom w:val="nil"/>
              <w:right w:val="nil"/>
            </w:tcBorders>
            <w:shd w:val="clear" w:color="auto" w:fill="auto"/>
            <w:vAlign w:val="center"/>
            <w:hideMark/>
          </w:tcPr>
          <w:p w14:paraId="3B5F89E5" w14:textId="77777777" w:rsidR="00874916" w:rsidRPr="00910292" w:rsidRDefault="00874916" w:rsidP="00EA28C4">
            <w:pPr>
              <w:jc w:val="center"/>
              <w:rPr>
                <w:sz w:val="18"/>
                <w:szCs w:val="18"/>
              </w:rPr>
            </w:pPr>
            <w:r w:rsidRPr="00910292">
              <w:rPr>
                <w:sz w:val="18"/>
                <w:szCs w:val="18"/>
              </w:rPr>
              <w:t>16.51</w:t>
            </w:r>
          </w:p>
        </w:tc>
        <w:tc>
          <w:tcPr>
            <w:tcW w:w="473" w:type="pct"/>
            <w:tcBorders>
              <w:top w:val="nil"/>
              <w:left w:val="nil"/>
              <w:bottom w:val="nil"/>
              <w:right w:val="single" w:sz="4" w:space="0" w:color="auto"/>
            </w:tcBorders>
            <w:shd w:val="clear" w:color="auto" w:fill="auto"/>
            <w:noWrap/>
            <w:vAlign w:val="center"/>
            <w:hideMark/>
          </w:tcPr>
          <w:p w14:paraId="5B39DD12" w14:textId="77777777" w:rsidR="00874916" w:rsidRPr="00910292" w:rsidRDefault="00874916" w:rsidP="00EA28C4">
            <w:pPr>
              <w:jc w:val="center"/>
              <w:rPr>
                <w:sz w:val="18"/>
                <w:szCs w:val="18"/>
              </w:rPr>
            </w:pPr>
            <w:r w:rsidRPr="00910292">
              <w:rPr>
                <w:sz w:val="18"/>
                <w:szCs w:val="18"/>
              </w:rPr>
              <w:t>5.19%</w:t>
            </w:r>
          </w:p>
        </w:tc>
        <w:tc>
          <w:tcPr>
            <w:tcW w:w="623" w:type="pct"/>
            <w:tcBorders>
              <w:top w:val="nil"/>
              <w:left w:val="nil"/>
              <w:bottom w:val="nil"/>
              <w:right w:val="nil"/>
            </w:tcBorders>
            <w:shd w:val="clear" w:color="auto" w:fill="auto"/>
            <w:vAlign w:val="center"/>
            <w:hideMark/>
          </w:tcPr>
          <w:p w14:paraId="55E2F54C" w14:textId="77777777" w:rsidR="00874916" w:rsidRPr="00910292" w:rsidRDefault="00874916" w:rsidP="00EA28C4">
            <w:pPr>
              <w:jc w:val="center"/>
              <w:rPr>
                <w:sz w:val="18"/>
                <w:szCs w:val="18"/>
              </w:rPr>
            </w:pPr>
            <w:r w:rsidRPr="00910292">
              <w:rPr>
                <w:sz w:val="18"/>
                <w:szCs w:val="18"/>
              </w:rPr>
              <w:t>Azerbaijan</w:t>
            </w:r>
          </w:p>
        </w:tc>
        <w:tc>
          <w:tcPr>
            <w:tcW w:w="584" w:type="pct"/>
            <w:tcBorders>
              <w:top w:val="nil"/>
              <w:left w:val="nil"/>
              <w:bottom w:val="nil"/>
              <w:right w:val="nil"/>
            </w:tcBorders>
            <w:shd w:val="clear" w:color="auto" w:fill="auto"/>
            <w:vAlign w:val="center"/>
            <w:hideMark/>
          </w:tcPr>
          <w:p w14:paraId="7EE944D0" w14:textId="77777777" w:rsidR="00874916" w:rsidRPr="00910292" w:rsidRDefault="00874916" w:rsidP="00EA28C4">
            <w:pPr>
              <w:jc w:val="center"/>
              <w:rPr>
                <w:sz w:val="18"/>
                <w:szCs w:val="18"/>
              </w:rPr>
            </w:pPr>
            <w:r w:rsidRPr="00910292">
              <w:rPr>
                <w:sz w:val="18"/>
                <w:szCs w:val="18"/>
              </w:rPr>
              <w:t>16.51</w:t>
            </w:r>
          </w:p>
        </w:tc>
        <w:tc>
          <w:tcPr>
            <w:tcW w:w="457" w:type="pct"/>
            <w:tcBorders>
              <w:top w:val="nil"/>
              <w:left w:val="nil"/>
              <w:bottom w:val="nil"/>
              <w:right w:val="nil"/>
            </w:tcBorders>
            <w:shd w:val="clear" w:color="auto" w:fill="auto"/>
            <w:noWrap/>
            <w:vAlign w:val="center"/>
            <w:hideMark/>
          </w:tcPr>
          <w:p w14:paraId="5601E875" w14:textId="77777777" w:rsidR="00874916" w:rsidRPr="00910292" w:rsidRDefault="00874916" w:rsidP="00EA28C4">
            <w:pPr>
              <w:jc w:val="center"/>
              <w:rPr>
                <w:sz w:val="18"/>
                <w:szCs w:val="18"/>
              </w:rPr>
            </w:pPr>
            <w:r w:rsidRPr="00910292">
              <w:rPr>
                <w:sz w:val="18"/>
                <w:szCs w:val="18"/>
              </w:rPr>
              <w:t>4.65%</w:t>
            </w:r>
          </w:p>
        </w:tc>
      </w:tr>
      <w:tr w:rsidR="00874916" w:rsidRPr="002C524B" w14:paraId="2850557D" w14:textId="77777777" w:rsidTr="001F0BEC">
        <w:trPr>
          <w:trHeight w:val="360"/>
          <w:jc w:val="center"/>
        </w:trPr>
        <w:tc>
          <w:tcPr>
            <w:tcW w:w="625" w:type="pct"/>
            <w:tcBorders>
              <w:top w:val="nil"/>
              <w:left w:val="nil"/>
              <w:bottom w:val="nil"/>
              <w:right w:val="nil"/>
            </w:tcBorders>
            <w:shd w:val="clear" w:color="auto" w:fill="auto"/>
            <w:vAlign w:val="center"/>
            <w:hideMark/>
          </w:tcPr>
          <w:p w14:paraId="7EA7CCF3" w14:textId="77777777" w:rsidR="00874916" w:rsidRPr="00910292" w:rsidRDefault="00874916" w:rsidP="00EA28C4">
            <w:pPr>
              <w:jc w:val="center"/>
              <w:rPr>
                <w:sz w:val="18"/>
                <w:szCs w:val="18"/>
              </w:rPr>
            </w:pPr>
            <w:r w:rsidRPr="00910292">
              <w:rPr>
                <w:sz w:val="18"/>
                <w:szCs w:val="18"/>
              </w:rPr>
              <w:t>Ukraine</w:t>
            </w:r>
          </w:p>
        </w:tc>
        <w:tc>
          <w:tcPr>
            <w:tcW w:w="557" w:type="pct"/>
            <w:tcBorders>
              <w:top w:val="nil"/>
              <w:left w:val="nil"/>
              <w:bottom w:val="nil"/>
              <w:right w:val="nil"/>
            </w:tcBorders>
            <w:shd w:val="clear" w:color="auto" w:fill="auto"/>
            <w:vAlign w:val="center"/>
            <w:hideMark/>
          </w:tcPr>
          <w:p w14:paraId="066E7BD8" w14:textId="77777777" w:rsidR="00874916" w:rsidRPr="00910292" w:rsidRDefault="00874916" w:rsidP="00EA28C4">
            <w:pPr>
              <w:jc w:val="center"/>
              <w:rPr>
                <w:sz w:val="18"/>
                <w:szCs w:val="18"/>
              </w:rPr>
            </w:pPr>
            <w:r w:rsidRPr="00910292">
              <w:rPr>
                <w:sz w:val="18"/>
                <w:szCs w:val="18"/>
              </w:rPr>
              <w:t>12.49</w:t>
            </w:r>
          </w:p>
        </w:tc>
        <w:tc>
          <w:tcPr>
            <w:tcW w:w="480" w:type="pct"/>
            <w:tcBorders>
              <w:top w:val="nil"/>
              <w:left w:val="nil"/>
              <w:bottom w:val="nil"/>
              <w:right w:val="single" w:sz="4" w:space="0" w:color="auto"/>
            </w:tcBorders>
            <w:shd w:val="clear" w:color="auto" w:fill="auto"/>
            <w:noWrap/>
            <w:vAlign w:val="center"/>
            <w:hideMark/>
          </w:tcPr>
          <w:p w14:paraId="5791C0CB" w14:textId="77777777" w:rsidR="00874916" w:rsidRPr="00910292" w:rsidRDefault="00874916" w:rsidP="00EA28C4">
            <w:pPr>
              <w:jc w:val="center"/>
              <w:rPr>
                <w:sz w:val="18"/>
                <w:szCs w:val="18"/>
              </w:rPr>
            </w:pPr>
            <w:r w:rsidRPr="00910292">
              <w:rPr>
                <w:sz w:val="18"/>
                <w:szCs w:val="18"/>
              </w:rPr>
              <w:t>3.89%</w:t>
            </w:r>
          </w:p>
        </w:tc>
        <w:tc>
          <w:tcPr>
            <w:tcW w:w="641" w:type="pct"/>
            <w:tcBorders>
              <w:top w:val="nil"/>
              <w:left w:val="nil"/>
              <w:bottom w:val="nil"/>
              <w:right w:val="nil"/>
            </w:tcBorders>
            <w:shd w:val="clear" w:color="auto" w:fill="auto"/>
            <w:vAlign w:val="center"/>
            <w:hideMark/>
          </w:tcPr>
          <w:p w14:paraId="0D9E15D9" w14:textId="4BA5D7B3" w:rsidR="00874916" w:rsidRPr="00910292" w:rsidRDefault="001F0BEC" w:rsidP="00EA28C4">
            <w:pPr>
              <w:jc w:val="center"/>
              <w:rPr>
                <w:sz w:val="18"/>
                <w:szCs w:val="18"/>
              </w:rPr>
            </w:pPr>
            <w:r>
              <w:rPr>
                <w:sz w:val="18"/>
                <w:szCs w:val="18"/>
              </w:rPr>
              <w:t>UAE</w:t>
            </w:r>
          </w:p>
        </w:tc>
        <w:tc>
          <w:tcPr>
            <w:tcW w:w="560" w:type="pct"/>
            <w:tcBorders>
              <w:top w:val="nil"/>
              <w:left w:val="nil"/>
              <w:bottom w:val="nil"/>
              <w:right w:val="nil"/>
            </w:tcBorders>
            <w:shd w:val="clear" w:color="auto" w:fill="auto"/>
            <w:vAlign w:val="center"/>
            <w:hideMark/>
          </w:tcPr>
          <w:p w14:paraId="04B8E11B" w14:textId="77777777" w:rsidR="00874916" w:rsidRPr="00910292" w:rsidRDefault="00874916" w:rsidP="00EA28C4">
            <w:pPr>
              <w:jc w:val="center"/>
              <w:rPr>
                <w:sz w:val="18"/>
                <w:szCs w:val="18"/>
              </w:rPr>
            </w:pPr>
            <w:r w:rsidRPr="00910292">
              <w:rPr>
                <w:sz w:val="18"/>
                <w:szCs w:val="18"/>
              </w:rPr>
              <w:t>11.89</w:t>
            </w:r>
          </w:p>
        </w:tc>
        <w:tc>
          <w:tcPr>
            <w:tcW w:w="473" w:type="pct"/>
            <w:tcBorders>
              <w:top w:val="nil"/>
              <w:left w:val="nil"/>
              <w:bottom w:val="nil"/>
              <w:right w:val="single" w:sz="4" w:space="0" w:color="auto"/>
            </w:tcBorders>
            <w:shd w:val="clear" w:color="auto" w:fill="auto"/>
            <w:noWrap/>
            <w:vAlign w:val="center"/>
            <w:hideMark/>
          </w:tcPr>
          <w:p w14:paraId="43A06FEC" w14:textId="77777777" w:rsidR="00874916" w:rsidRPr="00910292" w:rsidRDefault="00874916" w:rsidP="00EA28C4">
            <w:pPr>
              <w:jc w:val="center"/>
              <w:rPr>
                <w:sz w:val="18"/>
                <w:szCs w:val="18"/>
              </w:rPr>
            </w:pPr>
            <w:r w:rsidRPr="00910292">
              <w:rPr>
                <w:sz w:val="18"/>
                <w:szCs w:val="18"/>
              </w:rPr>
              <w:t>3.73%</w:t>
            </w:r>
          </w:p>
        </w:tc>
        <w:tc>
          <w:tcPr>
            <w:tcW w:w="623" w:type="pct"/>
            <w:tcBorders>
              <w:top w:val="nil"/>
              <w:left w:val="nil"/>
              <w:bottom w:val="nil"/>
              <w:right w:val="nil"/>
            </w:tcBorders>
            <w:shd w:val="clear" w:color="auto" w:fill="auto"/>
            <w:vAlign w:val="center"/>
            <w:hideMark/>
          </w:tcPr>
          <w:p w14:paraId="7CF28387" w14:textId="77777777" w:rsidR="00874916" w:rsidRPr="00910292" w:rsidRDefault="00874916" w:rsidP="00EA28C4">
            <w:pPr>
              <w:jc w:val="center"/>
              <w:rPr>
                <w:sz w:val="18"/>
                <w:szCs w:val="18"/>
              </w:rPr>
            </w:pPr>
            <w:r w:rsidRPr="00910292">
              <w:rPr>
                <w:sz w:val="18"/>
                <w:szCs w:val="18"/>
              </w:rPr>
              <w:t>Kuwait</w:t>
            </w:r>
          </w:p>
        </w:tc>
        <w:tc>
          <w:tcPr>
            <w:tcW w:w="584" w:type="pct"/>
            <w:tcBorders>
              <w:top w:val="nil"/>
              <w:left w:val="nil"/>
              <w:bottom w:val="nil"/>
              <w:right w:val="nil"/>
            </w:tcBorders>
            <w:shd w:val="clear" w:color="auto" w:fill="auto"/>
            <w:vAlign w:val="center"/>
            <w:hideMark/>
          </w:tcPr>
          <w:p w14:paraId="7EACC73A" w14:textId="77777777" w:rsidR="00874916" w:rsidRPr="00910292" w:rsidRDefault="00874916" w:rsidP="00EA28C4">
            <w:pPr>
              <w:jc w:val="center"/>
              <w:rPr>
                <w:sz w:val="18"/>
                <w:szCs w:val="18"/>
              </w:rPr>
            </w:pPr>
            <w:r w:rsidRPr="00910292">
              <w:rPr>
                <w:sz w:val="18"/>
                <w:szCs w:val="18"/>
              </w:rPr>
              <w:t>14.53</w:t>
            </w:r>
          </w:p>
        </w:tc>
        <w:tc>
          <w:tcPr>
            <w:tcW w:w="457" w:type="pct"/>
            <w:tcBorders>
              <w:top w:val="nil"/>
              <w:left w:val="nil"/>
              <w:bottom w:val="nil"/>
              <w:right w:val="nil"/>
            </w:tcBorders>
            <w:shd w:val="clear" w:color="auto" w:fill="auto"/>
            <w:noWrap/>
            <w:vAlign w:val="center"/>
            <w:hideMark/>
          </w:tcPr>
          <w:p w14:paraId="4563FF92" w14:textId="77777777" w:rsidR="00874916" w:rsidRPr="00910292" w:rsidRDefault="00874916" w:rsidP="00EA28C4">
            <w:pPr>
              <w:jc w:val="center"/>
              <w:rPr>
                <w:sz w:val="18"/>
                <w:szCs w:val="18"/>
              </w:rPr>
            </w:pPr>
            <w:r w:rsidRPr="00910292">
              <w:rPr>
                <w:sz w:val="18"/>
                <w:szCs w:val="18"/>
              </w:rPr>
              <w:t>4.09%</w:t>
            </w:r>
          </w:p>
        </w:tc>
      </w:tr>
      <w:tr w:rsidR="00874916" w:rsidRPr="002C524B" w14:paraId="6F79AAB5" w14:textId="77777777" w:rsidTr="001F0BEC">
        <w:trPr>
          <w:trHeight w:val="360"/>
          <w:jc w:val="center"/>
        </w:trPr>
        <w:tc>
          <w:tcPr>
            <w:tcW w:w="625" w:type="pct"/>
            <w:tcBorders>
              <w:top w:val="nil"/>
              <w:left w:val="nil"/>
              <w:bottom w:val="nil"/>
              <w:right w:val="nil"/>
            </w:tcBorders>
            <w:shd w:val="clear" w:color="auto" w:fill="auto"/>
            <w:vAlign w:val="center"/>
            <w:hideMark/>
          </w:tcPr>
          <w:p w14:paraId="2CEC60E5" w14:textId="77777777" w:rsidR="00874916" w:rsidRPr="00910292" w:rsidRDefault="00874916" w:rsidP="00EA28C4">
            <w:pPr>
              <w:jc w:val="center"/>
              <w:rPr>
                <w:sz w:val="18"/>
                <w:szCs w:val="18"/>
              </w:rPr>
            </w:pPr>
            <w:r w:rsidRPr="00910292">
              <w:rPr>
                <w:sz w:val="18"/>
                <w:szCs w:val="18"/>
              </w:rPr>
              <w:t>Azerbaijan</w:t>
            </w:r>
          </w:p>
        </w:tc>
        <w:tc>
          <w:tcPr>
            <w:tcW w:w="557" w:type="pct"/>
            <w:tcBorders>
              <w:top w:val="nil"/>
              <w:left w:val="nil"/>
              <w:bottom w:val="nil"/>
              <w:right w:val="nil"/>
            </w:tcBorders>
            <w:shd w:val="clear" w:color="auto" w:fill="auto"/>
            <w:vAlign w:val="center"/>
            <w:hideMark/>
          </w:tcPr>
          <w:p w14:paraId="034E0BC9" w14:textId="77777777" w:rsidR="00874916" w:rsidRPr="00910292" w:rsidRDefault="00874916" w:rsidP="00EA28C4">
            <w:pPr>
              <w:jc w:val="center"/>
              <w:rPr>
                <w:sz w:val="18"/>
                <w:szCs w:val="18"/>
              </w:rPr>
            </w:pPr>
            <w:r w:rsidRPr="00910292">
              <w:rPr>
                <w:sz w:val="18"/>
                <w:szCs w:val="18"/>
              </w:rPr>
              <w:t>12.19</w:t>
            </w:r>
          </w:p>
        </w:tc>
        <w:tc>
          <w:tcPr>
            <w:tcW w:w="480" w:type="pct"/>
            <w:tcBorders>
              <w:top w:val="nil"/>
              <w:left w:val="nil"/>
              <w:bottom w:val="nil"/>
              <w:right w:val="single" w:sz="4" w:space="0" w:color="auto"/>
            </w:tcBorders>
            <w:shd w:val="clear" w:color="auto" w:fill="auto"/>
            <w:noWrap/>
            <w:vAlign w:val="center"/>
            <w:hideMark/>
          </w:tcPr>
          <w:p w14:paraId="6426C248" w14:textId="77777777" w:rsidR="00874916" w:rsidRPr="00910292" w:rsidRDefault="00874916" w:rsidP="00EA28C4">
            <w:pPr>
              <w:jc w:val="center"/>
              <w:rPr>
                <w:sz w:val="18"/>
                <w:szCs w:val="18"/>
              </w:rPr>
            </w:pPr>
            <w:r w:rsidRPr="00910292">
              <w:rPr>
                <w:sz w:val="18"/>
                <w:szCs w:val="18"/>
              </w:rPr>
              <w:t>3.80%</w:t>
            </w:r>
          </w:p>
        </w:tc>
        <w:tc>
          <w:tcPr>
            <w:tcW w:w="641" w:type="pct"/>
            <w:tcBorders>
              <w:top w:val="nil"/>
              <w:left w:val="nil"/>
              <w:bottom w:val="nil"/>
              <w:right w:val="nil"/>
            </w:tcBorders>
            <w:shd w:val="clear" w:color="auto" w:fill="auto"/>
            <w:vAlign w:val="center"/>
            <w:hideMark/>
          </w:tcPr>
          <w:p w14:paraId="3DF84111" w14:textId="77777777" w:rsidR="00874916" w:rsidRPr="00910292" w:rsidRDefault="00874916" w:rsidP="00EA28C4">
            <w:pPr>
              <w:jc w:val="center"/>
              <w:rPr>
                <w:sz w:val="18"/>
                <w:szCs w:val="18"/>
              </w:rPr>
            </w:pPr>
            <w:r w:rsidRPr="00910292">
              <w:rPr>
                <w:sz w:val="18"/>
                <w:szCs w:val="18"/>
              </w:rPr>
              <w:t>Azerbaijan</w:t>
            </w:r>
          </w:p>
        </w:tc>
        <w:tc>
          <w:tcPr>
            <w:tcW w:w="560" w:type="pct"/>
            <w:tcBorders>
              <w:top w:val="nil"/>
              <w:left w:val="nil"/>
              <w:bottom w:val="nil"/>
              <w:right w:val="nil"/>
            </w:tcBorders>
            <w:shd w:val="clear" w:color="auto" w:fill="auto"/>
            <w:vAlign w:val="center"/>
            <w:hideMark/>
          </w:tcPr>
          <w:p w14:paraId="77E4EBC9" w14:textId="77777777" w:rsidR="00874916" w:rsidRPr="00910292" w:rsidRDefault="00874916" w:rsidP="00EA28C4">
            <w:pPr>
              <w:jc w:val="center"/>
              <w:rPr>
                <w:sz w:val="18"/>
                <w:szCs w:val="18"/>
              </w:rPr>
            </w:pPr>
            <w:r w:rsidRPr="00910292">
              <w:rPr>
                <w:sz w:val="18"/>
                <w:szCs w:val="18"/>
              </w:rPr>
              <w:t>10.69</w:t>
            </w:r>
          </w:p>
        </w:tc>
        <w:tc>
          <w:tcPr>
            <w:tcW w:w="473" w:type="pct"/>
            <w:tcBorders>
              <w:top w:val="nil"/>
              <w:left w:val="nil"/>
              <w:bottom w:val="nil"/>
              <w:right w:val="single" w:sz="4" w:space="0" w:color="auto"/>
            </w:tcBorders>
            <w:shd w:val="clear" w:color="auto" w:fill="auto"/>
            <w:noWrap/>
            <w:vAlign w:val="center"/>
            <w:hideMark/>
          </w:tcPr>
          <w:p w14:paraId="24366A38" w14:textId="77777777" w:rsidR="00874916" w:rsidRPr="00910292" w:rsidRDefault="00874916" w:rsidP="00EA28C4">
            <w:pPr>
              <w:jc w:val="center"/>
              <w:rPr>
                <w:sz w:val="18"/>
                <w:szCs w:val="18"/>
              </w:rPr>
            </w:pPr>
            <w:r w:rsidRPr="00910292">
              <w:rPr>
                <w:sz w:val="18"/>
                <w:szCs w:val="18"/>
              </w:rPr>
              <w:t>3.36%</w:t>
            </w:r>
          </w:p>
        </w:tc>
        <w:tc>
          <w:tcPr>
            <w:tcW w:w="623" w:type="pct"/>
            <w:tcBorders>
              <w:top w:val="nil"/>
              <w:left w:val="nil"/>
              <w:bottom w:val="nil"/>
              <w:right w:val="nil"/>
            </w:tcBorders>
            <w:shd w:val="clear" w:color="auto" w:fill="auto"/>
            <w:vAlign w:val="center"/>
            <w:hideMark/>
          </w:tcPr>
          <w:p w14:paraId="5695A4E8" w14:textId="77777777" w:rsidR="00874916" w:rsidRPr="00910292" w:rsidRDefault="00874916" w:rsidP="00EA28C4">
            <w:pPr>
              <w:jc w:val="center"/>
              <w:rPr>
                <w:sz w:val="18"/>
                <w:szCs w:val="18"/>
              </w:rPr>
            </w:pPr>
            <w:r w:rsidRPr="00910292">
              <w:rPr>
                <w:sz w:val="18"/>
                <w:szCs w:val="18"/>
              </w:rPr>
              <w:t>Japan</w:t>
            </w:r>
          </w:p>
        </w:tc>
        <w:tc>
          <w:tcPr>
            <w:tcW w:w="584" w:type="pct"/>
            <w:tcBorders>
              <w:top w:val="nil"/>
              <w:left w:val="nil"/>
              <w:bottom w:val="nil"/>
              <w:right w:val="nil"/>
            </w:tcBorders>
            <w:shd w:val="clear" w:color="auto" w:fill="auto"/>
            <w:vAlign w:val="center"/>
            <w:hideMark/>
          </w:tcPr>
          <w:p w14:paraId="45E44BD2" w14:textId="77777777" w:rsidR="00874916" w:rsidRPr="00910292" w:rsidRDefault="00874916" w:rsidP="00EA28C4">
            <w:pPr>
              <w:jc w:val="center"/>
              <w:rPr>
                <w:sz w:val="18"/>
                <w:szCs w:val="18"/>
              </w:rPr>
            </w:pPr>
            <w:r w:rsidRPr="00910292">
              <w:rPr>
                <w:sz w:val="18"/>
                <w:szCs w:val="18"/>
              </w:rPr>
              <w:t>13.94</w:t>
            </w:r>
          </w:p>
        </w:tc>
        <w:tc>
          <w:tcPr>
            <w:tcW w:w="457" w:type="pct"/>
            <w:tcBorders>
              <w:top w:val="nil"/>
              <w:left w:val="nil"/>
              <w:bottom w:val="nil"/>
              <w:right w:val="nil"/>
            </w:tcBorders>
            <w:shd w:val="clear" w:color="auto" w:fill="auto"/>
            <w:noWrap/>
            <w:vAlign w:val="center"/>
            <w:hideMark/>
          </w:tcPr>
          <w:p w14:paraId="623D9493" w14:textId="77777777" w:rsidR="00874916" w:rsidRPr="00910292" w:rsidRDefault="00874916" w:rsidP="00EA28C4">
            <w:pPr>
              <w:jc w:val="center"/>
              <w:rPr>
                <w:sz w:val="18"/>
                <w:szCs w:val="18"/>
              </w:rPr>
            </w:pPr>
            <w:r w:rsidRPr="00910292">
              <w:rPr>
                <w:sz w:val="18"/>
                <w:szCs w:val="18"/>
              </w:rPr>
              <w:t>3.92%</w:t>
            </w:r>
          </w:p>
        </w:tc>
      </w:tr>
      <w:tr w:rsidR="00874916" w:rsidRPr="002C524B" w14:paraId="42333283" w14:textId="77777777" w:rsidTr="001F0BEC">
        <w:trPr>
          <w:trHeight w:val="270"/>
          <w:jc w:val="center"/>
        </w:trPr>
        <w:tc>
          <w:tcPr>
            <w:tcW w:w="625" w:type="pct"/>
            <w:tcBorders>
              <w:top w:val="nil"/>
              <w:left w:val="nil"/>
              <w:bottom w:val="nil"/>
              <w:right w:val="nil"/>
            </w:tcBorders>
            <w:shd w:val="clear" w:color="auto" w:fill="auto"/>
            <w:vAlign w:val="center"/>
            <w:hideMark/>
          </w:tcPr>
          <w:p w14:paraId="2996E3C2" w14:textId="77777777" w:rsidR="00874916" w:rsidRPr="00910292" w:rsidRDefault="00874916" w:rsidP="00EA28C4">
            <w:pPr>
              <w:jc w:val="center"/>
              <w:rPr>
                <w:sz w:val="18"/>
                <w:szCs w:val="18"/>
              </w:rPr>
            </w:pPr>
            <w:r w:rsidRPr="00910292">
              <w:rPr>
                <w:sz w:val="18"/>
                <w:szCs w:val="18"/>
              </w:rPr>
              <w:t>Japan</w:t>
            </w:r>
          </w:p>
        </w:tc>
        <w:tc>
          <w:tcPr>
            <w:tcW w:w="557" w:type="pct"/>
            <w:tcBorders>
              <w:top w:val="nil"/>
              <w:left w:val="nil"/>
              <w:bottom w:val="nil"/>
              <w:right w:val="nil"/>
            </w:tcBorders>
            <w:shd w:val="clear" w:color="auto" w:fill="auto"/>
            <w:vAlign w:val="center"/>
            <w:hideMark/>
          </w:tcPr>
          <w:p w14:paraId="1CAC42A6" w14:textId="77777777" w:rsidR="00874916" w:rsidRPr="00910292" w:rsidRDefault="00874916" w:rsidP="00EA28C4">
            <w:pPr>
              <w:jc w:val="center"/>
              <w:rPr>
                <w:sz w:val="18"/>
                <w:szCs w:val="18"/>
              </w:rPr>
            </w:pPr>
            <w:r w:rsidRPr="00910292">
              <w:rPr>
                <w:sz w:val="18"/>
                <w:szCs w:val="18"/>
              </w:rPr>
              <w:t>11.70</w:t>
            </w:r>
          </w:p>
        </w:tc>
        <w:tc>
          <w:tcPr>
            <w:tcW w:w="480" w:type="pct"/>
            <w:tcBorders>
              <w:top w:val="nil"/>
              <w:left w:val="nil"/>
              <w:bottom w:val="nil"/>
              <w:right w:val="single" w:sz="4" w:space="0" w:color="auto"/>
            </w:tcBorders>
            <w:shd w:val="clear" w:color="auto" w:fill="auto"/>
            <w:noWrap/>
            <w:vAlign w:val="center"/>
            <w:hideMark/>
          </w:tcPr>
          <w:p w14:paraId="1785A47D" w14:textId="77777777" w:rsidR="00874916" w:rsidRPr="00910292" w:rsidRDefault="00874916" w:rsidP="00EA28C4">
            <w:pPr>
              <w:jc w:val="center"/>
              <w:rPr>
                <w:sz w:val="18"/>
                <w:szCs w:val="18"/>
              </w:rPr>
            </w:pPr>
            <w:r w:rsidRPr="00910292">
              <w:rPr>
                <w:sz w:val="18"/>
                <w:szCs w:val="18"/>
              </w:rPr>
              <w:t>3.64%</w:t>
            </w:r>
          </w:p>
        </w:tc>
        <w:tc>
          <w:tcPr>
            <w:tcW w:w="641" w:type="pct"/>
            <w:tcBorders>
              <w:top w:val="nil"/>
              <w:left w:val="nil"/>
              <w:bottom w:val="nil"/>
              <w:right w:val="nil"/>
            </w:tcBorders>
            <w:shd w:val="clear" w:color="auto" w:fill="auto"/>
            <w:vAlign w:val="center"/>
            <w:hideMark/>
          </w:tcPr>
          <w:p w14:paraId="7D03FC24" w14:textId="77777777" w:rsidR="00874916" w:rsidRPr="00910292" w:rsidRDefault="00874916" w:rsidP="00EA28C4">
            <w:pPr>
              <w:jc w:val="center"/>
              <w:rPr>
                <w:sz w:val="18"/>
                <w:szCs w:val="18"/>
              </w:rPr>
            </w:pPr>
            <w:r w:rsidRPr="00910292">
              <w:rPr>
                <w:sz w:val="18"/>
                <w:szCs w:val="18"/>
              </w:rPr>
              <w:t>Ukraine</w:t>
            </w:r>
          </w:p>
        </w:tc>
        <w:tc>
          <w:tcPr>
            <w:tcW w:w="560" w:type="pct"/>
            <w:tcBorders>
              <w:top w:val="nil"/>
              <w:left w:val="nil"/>
              <w:bottom w:val="nil"/>
              <w:right w:val="nil"/>
            </w:tcBorders>
            <w:shd w:val="clear" w:color="auto" w:fill="auto"/>
            <w:vAlign w:val="center"/>
            <w:hideMark/>
          </w:tcPr>
          <w:p w14:paraId="1CECDBC7" w14:textId="77777777" w:rsidR="00874916" w:rsidRPr="00910292" w:rsidRDefault="00874916" w:rsidP="00EA28C4">
            <w:pPr>
              <w:jc w:val="center"/>
              <w:rPr>
                <w:sz w:val="18"/>
                <w:szCs w:val="18"/>
              </w:rPr>
            </w:pPr>
            <w:r w:rsidRPr="00910292">
              <w:rPr>
                <w:sz w:val="18"/>
                <w:szCs w:val="18"/>
              </w:rPr>
              <w:t>9.79</w:t>
            </w:r>
          </w:p>
        </w:tc>
        <w:tc>
          <w:tcPr>
            <w:tcW w:w="473" w:type="pct"/>
            <w:tcBorders>
              <w:top w:val="nil"/>
              <w:left w:val="nil"/>
              <w:bottom w:val="nil"/>
              <w:right w:val="single" w:sz="4" w:space="0" w:color="auto"/>
            </w:tcBorders>
            <w:shd w:val="clear" w:color="auto" w:fill="auto"/>
            <w:noWrap/>
            <w:vAlign w:val="center"/>
            <w:hideMark/>
          </w:tcPr>
          <w:p w14:paraId="45B82DF2" w14:textId="77777777" w:rsidR="00874916" w:rsidRPr="00910292" w:rsidRDefault="00874916" w:rsidP="00EA28C4">
            <w:pPr>
              <w:jc w:val="center"/>
              <w:rPr>
                <w:sz w:val="18"/>
                <w:szCs w:val="18"/>
              </w:rPr>
            </w:pPr>
            <w:r w:rsidRPr="00910292">
              <w:rPr>
                <w:sz w:val="18"/>
                <w:szCs w:val="18"/>
              </w:rPr>
              <w:t>3.08%</w:t>
            </w:r>
          </w:p>
        </w:tc>
        <w:tc>
          <w:tcPr>
            <w:tcW w:w="623" w:type="pct"/>
            <w:tcBorders>
              <w:top w:val="nil"/>
              <w:left w:val="nil"/>
              <w:bottom w:val="nil"/>
              <w:right w:val="nil"/>
            </w:tcBorders>
            <w:shd w:val="clear" w:color="auto" w:fill="auto"/>
            <w:vAlign w:val="center"/>
            <w:hideMark/>
          </w:tcPr>
          <w:p w14:paraId="45C76FC9" w14:textId="77777777" w:rsidR="00874916" w:rsidRPr="00910292" w:rsidRDefault="00874916" w:rsidP="00EA28C4">
            <w:pPr>
              <w:jc w:val="center"/>
              <w:rPr>
                <w:sz w:val="18"/>
                <w:szCs w:val="18"/>
              </w:rPr>
            </w:pPr>
            <w:r w:rsidRPr="00910292">
              <w:rPr>
                <w:sz w:val="18"/>
                <w:szCs w:val="18"/>
              </w:rPr>
              <w:t>Iraq</w:t>
            </w:r>
          </w:p>
        </w:tc>
        <w:tc>
          <w:tcPr>
            <w:tcW w:w="584" w:type="pct"/>
            <w:tcBorders>
              <w:top w:val="nil"/>
              <w:left w:val="nil"/>
              <w:bottom w:val="nil"/>
              <w:right w:val="nil"/>
            </w:tcBorders>
            <w:shd w:val="clear" w:color="auto" w:fill="auto"/>
            <w:vAlign w:val="center"/>
            <w:hideMark/>
          </w:tcPr>
          <w:p w14:paraId="0F1847D1" w14:textId="77777777" w:rsidR="00874916" w:rsidRPr="00910292" w:rsidRDefault="00874916" w:rsidP="00EA28C4">
            <w:pPr>
              <w:jc w:val="center"/>
              <w:rPr>
                <w:sz w:val="18"/>
                <w:szCs w:val="18"/>
              </w:rPr>
            </w:pPr>
            <w:r w:rsidRPr="00910292">
              <w:rPr>
                <w:sz w:val="18"/>
                <w:szCs w:val="18"/>
              </w:rPr>
              <w:t>12.20</w:t>
            </w:r>
          </w:p>
        </w:tc>
        <w:tc>
          <w:tcPr>
            <w:tcW w:w="457" w:type="pct"/>
            <w:tcBorders>
              <w:top w:val="nil"/>
              <w:left w:val="nil"/>
              <w:bottom w:val="nil"/>
              <w:right w:val="nil"/>
            </w:tcBorders>
            <w:shd w:val="clear" w:color="auto" w:fill="auto"/>
            <w:noWrap/>
            <w:vAlign w:val="center"/>
            <w:hideMark/>
          </w:tcPr>
          <w:p w14:paraId="3187CF94" w14:textId="77777777" w:rsidR="00874916" w:rsidRPr="00910292" w:rsidRDefault="00874916" w:rsidP="00EA28C4">
            <w:pPr>
              <w:jc w:val="center"/>
              <w:rPr>
                <w:sz w:val="18"/>
                <w:szCs w:val="18"/>
              </w:rPr>
            </w:pPr>
            <w:r w:rsidRPr="00910292">
              <w:rPr>
                <w:sz w:val="18"/>
                <w:szCs w:val="18"/>
              </w:rPr>
              <w:t>3.43%</w:t>
            </w:r>
          </w:p>
        </w:tc>
      </w:tr>
      <w:tr w:rsidR="00874916" w:rsidRPr="002C524B" w14:paraId="36F238F3" w14:textId="77777777" w:rsidTr="001F0BEC">
        <w:trPr>
          <w:trHeight w:val="270"/>
          <w:jc w:val="center"/>
        </w:trPr>
        <w:tc>
          <w:tcPr>
            <w:tcW w:w="625" w:type="pct"/>
            <w:tcBorders>
              <w:top w:val="nil"/>
              <w:left w:val="nil"/>
              <w:bottom w:val="single" w:sz="4" w:space="0" w:color="auto"/>
              <w:right w:val="nil"/>
            </w:tcBorders>
            <w:shd w:val="clear" w:color="auto" w:fill="auto"/>
            <w:vAlign w:val="center"/>
            <w:hideMark/>
          </w:tcPr>
          <w:p w14:paraId="4125ABF3" w14:textId="77777777" w:rsidR="00874916" w:rsidRPr="00910292" w:rsidRDefault="00874916" w:rsidP="00EA28C4">
            <w:pPr>
              <w:jc w:val="center"/>
              <w:rPr>
                <w:sz w:val="18"/>
                <w:szCs w:val="18"/>
              </w:rPr>
            </w:pPr>
            <w:r w:rsidRPr="00910292">
              <w:rPr>
                <w:sz w:val="18"/>
                <w:szCs w:val="18"/>
              </w:rPr>
              <w:t>Kuwait</w:t>
            </w:r>
          </w:p>
        </w:tc>
        <w:tc>
          <w:tcPr>
            <w:tcW w:w="557" w:type="pct"/>
            <w:tcBorders>
              <w:top w:val="nil"/>
              <w:left w:val="nil"/>
              <w:bottom w:val="single" w:sz="4" w:space="0" w:color="auto"/>
              <w:right w:val="nil"/>
            </w:tcBorders>
            <w:shd w:val="clear" w:color="auto" w:fill="auto"/>
            <w:vAlign w:val="center"/>
            <w:hideMark/>
          </w:tcPr>
          <w:p w14:paraId="5D425361" w14:textId="77777777" w:rsidR="00874916" w:rsidRPr="00910292" w:rsidRDefault="00874916" w:rsidP="00EA28C4">
            <w:pPr>
              <w:jc w:val="center"/>
              <w:rPr>
                <w:sz w:val="18"/>
                <w:szCs w:val="18"/>
              </w:rPr>
            </w:pPr>
            <w:r w:rsidRPr="00910292">
              <w:rPr>
                <w:sz w:val="18"/>
                <w:szCs w:val="18"/>
              </w:rPr>
              <w:t>9.27</w:t>
            </w:r>
          </w:p>
        </w:tc>
        <w:tc>
          <w:tcPr>
            <w:tcW w:w="480" w:type="pct"/>
            <w:tcBorders>
              <w:top w:val="nil"/>
              <w:left w:val="nil"/>
              <w:bottom w:val="single" w:sz="4" w:space="0" w:color="auto"/>
              <w:right w:val="single" w:sz="4" w:space="0" w:color="auto"/>
            </w:tcBorders>
            <w:shd w:val="clear" w:color="auto" w:fill="auto"/>
            <w:noWrap/>
            <w:vAlign w:val="center"/>
            <w:hideMark/>
          </w:tcPr>
          <w:p w14:paraId="5485A2BA" w14:textId="77777777" w:rsidR="00874916" w:rsidRPr="00910292" w:rsidRDefault="00874916" w:rsidP="00EA28C4">
            <w:pPr>
              <w:jc w:val="center"/>
              <w:rPr>
                <w:sz w:val="18"/>
                <w:szCs w:val="18"/>
              </w:rPr>
            </w:pPr>
            <w:r w:rsidRPr="00910292">
              <w:rPr>
                <w:sz w:val="18"/>
                <w:szCs w:val="18"/>
              </w:rPr>
              <w:t>2.89%</w:t>
            </w:r>
          </w:p>
        </w:tc>
        <w:tc>
          <w:tcPr>
            <w:tcW w:w="641" w:type="pct"/>
            <w:tcBorders>
              <w:top w:val="nil"/>
              <w:left w:val="nil"/>
              <w:bottom w:val="single" w:sz="4" w:space="0" w:color="auto"/>
              <w:right w:val="nil"/>
            </w:tcBorders>
            <w:shd w:val="clear" w:color="auto" w:fill="auto"/>
            <w:vAlign w:val="center"/>
            <w:hideMark/>
          </w:tcPr>
          <w:p w14:paraId="25C0A864" w14:textId="77777777" w:rsidR="00874916" w:rsidRPr="00910292" w:rsidRDefault="00874916" w:rsidP="00EA28C4">
            <w:pPr>
              <w:jc w:val="center"/>
              <w:rPr>
                <w:sz w:val="18"/>
                <w:szCs w:val="18"/>
              </w:rPr>
            </w:pPr>
            <w:r w:rsidRPr="00910292">
              <w:rPr>
                <w:sz w:val="18"/>
                <w:szCs w:val="18"/>
              </w:rPr>
              <w:t>Japan</w:t>
            </w:r>
          </w:p>
        </w:tc>
        <w:tc>
          <w:tcPr>
            <w:tcW w:w="560" w:type="pct"/>
            <w:tcBorders>
              <w:top w:val="nil"/>
              <w:left w:val="nil"/>
              <w:bottom w:val="single" w:sz="4" w:space="0" w:color="auto"/>
              <w:right w:val="nil"/>
            </w:tcBorders>
            <w:shd w:val="clear" w:color="auto" w:fill="auto"/>
            <w:vAlign w:val="center"/>
            <w:hideMark/>
          </w:tcPr>
          <w:p w14:paraId="6B08D09A" w14:textId="77777777" w:rsidR="00874916" w:rsidRPr="00910292" w:rsidRDefault="00874916" w:rsidP="00EA28C4">
            <w:pPr>
              <w:jc w:val="center"/>
              <w:rPr>
                <w:sz w:val="18"/>
                <w:szCs w:val="18"/>
              </w:rPr>
            </w:pPr>
            <w:r w:rsidRPr="00910292">
              <w:rPr>
                <w:sz w:val="18"/>
                <w:szCs w:val="18"/>
              </w:rPr>
              <w:t>9.73</w:t>
            </w:r>
          </w:p>
        </w:tc>
        <w:tc>
          <w:tcPr>
            <w:tcW w:w="473" w:type="pct"/>
            <w:tcBorders>
              <w:top w:val="nil"/>
              <w:left w:val="nil"/>
              <w:bottom w:val="single" w:sz="4" w:space="0" w:color="auto"/>
              <w:right w:val="single" w:sz="4" w:space="0" w:color="auto"/>
            </w:tcBorders>
            <w:shd w:val="clear" w:color="auto" w:fill="auto"/>
            <w:noWrap/>
            <w:vAlign w:val="center"/>
            <w:hideMark/>
          </w:tcPr>
          <w:p w14:paraId="4C37A0B3" w14:textId="77777777" w:rsidR="00874916" w:rsidRPr="00910292" w:rsidRDefault="00874916" w:rsidP="00EA28C4">
            <w:pPr>
              <w:jc w:val="center"/>
              <w:rPr>
                <w:sz w:val="18"/>
                <w:szCs w:val="18"/>
              </w:rPr>
            </w:pPr>
            <w:r w:rsidRPr="00910292">
              <w:rPr>
                <w:sz w:val="18"/>
                <w:szCs w:val="18"/>
              </w:rPr>
              <w:t>3.05%</w:t>
            </w:r>
          </w:p>
        </w:tc>
        <w:tc>
          <w:tcPr>
            <w:tcW w:w="623" w:type="pct"/>
            <w:tcBorders>
              <w:top w:val="nil"/>
              <w:left w:val="nil"/>
              <w:bottom w:val="single" w:sz="4" w:space="0" w:color="auto"/>
              <w:right w:val="nil"/>
            </w:tcBorders>
            <w:shd w:val="clear" w:color="auto" w:fill="auto"/>
            <w:vAlign w:val="center"/>
            <w:hideMark/>
          </w:tcPr>
          <w:p w14:paraId="0D1CDD81" w14:textId="77777777" w:rsidR="00874916" w:rsidRPr="00910292" w:rsidRDefault="00874916" w:rsidP="00EA28C4">
            <w:pPr>
              <w:jc w:val="center"/>
              <w:rPr>
                <w:sz w:val="18"/>
                <w:szCs w:val="18"/>
              </w:rPr>
            </w:pPr>
            <w:r w:rsidRPr="00910292">
              <w:rPr>
                <w:sz w:val="18"/>
                <w:szCs w:val="18"/>
              </w:rPr>
              <w:t>Ukraine</w:t>
            </w:r>
          </w:p>
        </w:tc>
        <w:tc>
          <w:tcPr>
            <w:tcW w:w="584" w:type="pct"/>
            <w:tcBorders>
              <w:top w:val="nil"/>
              <w:left w:val="nil"/>
              <w:bottom w:val="single" w:sz="4" w:space="0" w:color="auto"/>
              <w:right w:val="nil"/>
            </w:tcBorders>
            <w:shd w:val="clear" w:color="auto" w:fill="auto"/>
            <w:vAlign w:val="center"/>
            <w:hideMark/>
          </w:tcPr>
          <w:p w14:paraId="276A559D" w14:textId="77777777" w:rsidR="00874916" w:rsidRPr="00910292" w:rsidRDefault="00874916" w:rsidP="00EA28C4">
            <w:pPr>
              <w:jc w:val="center"/>
              <w:rPr>
                <w:sz w:val="18"/>
                <w:szCs w:val="18"/>
              </w:rPr>
            </w:pPr>
            <w:r w:rsidRPr="00910292">
              <w:rPr>
                <w:sz w:val="18"/>
                <w:szCs w:val="18"/>
              </w:rPr>
              <w:t>12.02</w:t>
            </w:r>
          </w:p>
        </w:tc>
        <w:tc>
          <w:tcPr>
            <w:tcW w:w="457" w:type="pct"/>
            <w:tcBorders>
              <w:top w:val="nil"/>
              <w:left w:val="nil"/>
              <w:bottom w:val="single" w:sz="4" w:space="0" w:color="auto"/>
              <w:right w:val="nil"/>
            </w:tcBorders>
            <w:shd w:val="clear" w:color="auto" w:fill="auto"/>
            <w:noWrap/>
            <w:vAlign w:val="center"/>
            <w:hideMark/>
          </w:tcPr>
          <w:p w14:paraId="356320E8" w14:textId="77777777" w:rsidR="00874916" w:rsidRPr="00910292" w:rsidRDefault="00874916" w:rsidP="00EA28C4">
            <w:pPr>
              <w:jc w:val="center"/>
              <w:rPr>
                <w:sz w:val="18"/>
                <w:szCs w:val="18"/>
              </w:rPr>
            </w:pPr>
            <w:r w:rsidRPr="00910292">
              <w:rPr>
                <w:sz w:val="18"/>
                <w:szCs w:val="18"/>
              </w:rPr>
              <w:t>3.38%</w:t>
            </w:r>
          </w:p>
        </w:tc>
      </w:tr>
      <w:tr w:rsidR="00874916" w:rsidRPr="002C524B" w14:paraId="6253BAF0" w14:textId="77777777" w:rsidTr="001F0BEC">
        <w:trPr>
          <w:trHeight w:val="270"/>
          <w:jc w:val="center"/>
        </w:trPr>
        <w:tc>
          <w:tcPr>
            <w:tcW w:w="625" w:type="pct"/>
            <w:tcBorders>
              <w:top w:val="nil"/>
              <w:left w:val="nil"/>
              <w:bottom w:val="nil"/>
              <w:right w:val="nil"/>
            </w:tcBorders>
            <w:shd w:val="clear" w:color="auto" w:fill="auto"/>
            <w:vAlign w:val="center"/>
            <w:hideMark/>
          </w:tcPr>
          <w:p w14:paraId="057FA5DC" w14:textId="77777777" w:rsidR="00874916" w:rsidRPr="00910292" w:rsidRDefault="00874916" w:rsidP="00EA28C4">
            <w:pPr>
              <w:jc w:val="center"/>
              <w:rPr>
                <w:sz w:val="18"/>
                <w:szCs w:val="18"/>
              </w:rPr>
            </w:pPr>
            <w:r w:rsidRPr="00910292">
              <w:rPr>
                <w:sz w:val="18"/>
                <w:szCs w:val="18"/>
              </w:rPr>
              <w:t>World</w:t>
            </w:r>
          </w:p>
        </w:tc>
        <w:tc>
          <w:tcPr>
            <w:tcW w:w="557" w:type="pct"/>
            <w:tcBorders>
              <w:top w:val="nil"/>
              <w:left w:val="nil"/>
              <w:bottom w:val="nil"/>
              <w:right w:val="nil"/>
            </w:tcBorders>
            <w:shd w:val="clear" w:color="auto" w:fill="auto"/>
            <w:vAlign w:val="center"/>
            <w:hideMark/>
          </w:tcPr>
          <w:p w14:paraId="0D0AABC3" w14:textId="77777777" w:rsidR="00874916" w:rsidRPr="00910292" w:rsidRDefault="00874916" w:rsidP="00EA28C4">
            <w:pPr>
              <w:jc w:val="center"/>
              <w:rPr>
                <w:sz w:val="18"/>
                <w:szCs w:val="18"/>
              </w:rPr>
            </w:pPr>
            <w:r w:rsidRPr="002C524B">
              <w:rPr>
                <w:sz w:val="18"/>
                <w:szCs w:val="18"/>
              </w:rPr>
              <w:t>321.07</w:t>
            </w:r>
          </w:p>
        </w:tc>
        <w:tc>
          <w:tcPr>
            <w:tcW w:w="480" w:type="pct"/>
            <w:tcBorders>
              <w:top w:val="nil"/>
              <w:left w:val="nil"/>
              <w:bottom w:val="nil"/>
              <w:right w:val="single" w:sz="4" w:space="0" w:color="auto"/>
            </w:tcBorders>
            <w:shd w:val="clear" w:color="auto" w:fill="auto"/>
            <w:noWrap/>
            <w:vAlign w:val="center"/>
            <w:hideMark/>
          </w:tcPr>
          <w:p w14:paraId="6D6C0C36" w14:textId="77777777" w:rsidR="00874916" w:rsidRPr="00910292" w:rsidRDefault="00874916" w:rsidP="00EA28C4">
            <w:pPr>
              <w:jc w:val="center"/>
              <w:rPr>
                <w:color w:val="000000"/>
                <w:sz w:val="18"/>
                <w:szCs w:val="18"/>
              </w:rPr>
            </w:pPr>
            <w:r w:rsidRPr="002C524B">
              <w:rPr>
                <w:color w:val="000000"/>
                <w:sz w:val="18"/>
                <w:szCs w:val="18"/>
              </w:rPr>
              <w:t>—</w:t>
            </w:r>
          </w:p>
        </w:tc>
        <w:tc>
          <w:tcPr>
            <w:tcW w:w="641" w:type="pct"/>
            <w:tcBorders>
              <w:top w:val="nil"/>
              <w:left w:val="nil"/>
              <w:bottom w:val="nil"/>
              <w:right w:val="nil"/>
            </w:tcBorders>
            <w:shd w:val="clear" w:color="auto" w:fill="auto"/>
            <w:vAlign w:val="center"/>
            <w:hideMark/>
          </w:tcPr>
          <w:p w14:paraId="651D728B" w14:textId="77777777" w:rsidR="00874916" w:rsidRPr="00910292" w:rsidRDefault="00874916" w:rsidP="00EA28C4">
            <w:pPr>
              <w:jc w:val="center"/>
              <w:rPr>
                <w:sz w:val="18"/>
                <w:szCs w:val="18"/>
              </w:rPr>
            </w:pPr>
            <w:r w:rsidRPr="00910292">
              <w:rPr>
                <w:sz w:val="18"/>
                <w:szCs w:val="18"/>
              </w:rPr>
              <w:t>World</w:t>
            </w:r>
          </w:p>
        </w:tc>
        <w:tc>
          <w:tcPr>
            <w:tcW w:w="560" w:type="pct"/>
            <w:tcBorders>
              <w:top w:val="nil"/>
              <w:left w:val="nil"/>
              <w:bottom w:val="nil"/>
              <w:right w:val="nil"/>
            </w:tcBorders>
            <w:shd w:val="clear" w:color="auto" w:fill="auto"/>
            <w:vAlign w:val="center"/>
            <w:hideMark/>
          </w:tcPr>
          <w:p w14:paraId="35C0334F" w14:textId="77777777" w:rsidR="00874916" w:rsidRPr="00910292" w:rsidRDefault="00874916" w:rsidP="00EA28C4">
            <w:pPr>
              <w:jc w:val="center"/>
              <w:rPr>
                <w:sz w:val="18"/>
                <w:szCs w:val="18"/>
              </w:rPr>
            </w:pPr>
            <w:r w:rsidRPr="002C524B">
              <w:rPr>
                <w:sz w:val="18"/>
                <w:szCs w:val="18"/>
              </w:rPr>
              <w:t>318.40</w:t>
            </w:r>
          </w:p>
        </w:tc>
        <w:tc>
          <w:tcPr>
            <w:tcW w:w="473" w:type="pct"/>
            <w:tcBorders>
              <w:top w:val="nil"/>
              <w:left w:val="nil"/>
              <w:bottom w:val="nil"/>
              <w:right w:val="single" w:sz="4" w:space="0" w:color="auto"/>
            </w:tcBorders>
            <w:shd w:val="clear" w:color="auto" w:fill="auto"/>
            <w:noWrap/>
            <w:vAlign w:val="center"/>
            <w:hideMark/>
          </w:tcPr>
          <w:p w14:paraId="297D3E5C" w14:textId="77777777" w:rsidR="00874916" w:rsidRPr="00910292" w:rsidRDefault="00874916" w:rsidP="00EA28C4">
            <w:pPr>
              <w:jc w:val="center"/>
              <w:rPr>
                <w:color w:val="000000"/>
                <w:sz w:val="18"/>
                <w:szCs w:val="18"/>
              </w:rPr>
            </w:pPr>
            <w:r w:rsidRPr="002C524B">
              <w:rPr>
                <w:color w:val="000000"/>
                <w:sz w:val="18"/>
                <w:szCs w:val="18"/>
              </w:rPr>
              <w:t>—</w:t>
            </w:r>
          </w:p>
        </w:tc>
        <w:tc>
          <w:tcPr>
            <w:tcW w:w="623" w:type="pct"/>
            <w:tcBorders>
              <w:top w:val="nil"/>
              <w:left w:val="nil"/>
              <w:bottom w:val="nil"/>
              <w:right w:val="nil"/>
            </w:tcBorders>
            <w:shd w:val="clear" w:color="auto" w:fill="auto"/>
            <w:vAlign w:val="center"/>
            <w:hideMark/>
          </w:tcPr>
          <w:p w14:paraId="44CE0F09" w14:textId="77777777" w:rsidR="00874916" w:rsidRPr="00910292" w:rsidRDefault="00874916" w:rsidP="00EA28C4">
            <w:pPr>
              <w:jc w:val="center"/>
              <w:rPr>
                <w:sz w:val="18"/>
                <w:szCs w:val="18"/>
              </w:rPr>
            </w:pPr>
            <w:r w:rsidRPr="00910292">
              <w:rPr>
                <w:sz w:val="18"/>
                <w:szCs w:val="18"/>
              </w:rPr>
              <w:t>World</w:t>
            </w:r>
          </w:p>
        </w:tc>
        <w:tc>
          <w:tcPr>
            <w:tcW w:w="584" w:type="pct"/>
            <w:tcBorders>
              <w:top w:val="nil"/>
              <w:left w:val="nil"/>
              <w:bottom w:val="nil"/>
              <w:right w:val="nil"/>
            </w:tcBorders>
            <w:shd w:val="clear" w:color="auto" w:fill="auto"/>
            <w:vAlign w:val="center"/>
            <w:hideMark/>
          </w:tcPr>
          <w:p w14:paraId="3023AE47" w14:textId="77777777" w:rsidR="00874916" w:rsidRPr="00910292" w:rsidRDefault="00874916" w:rsidP="00EA28C4">
            <w:pPr>
              <w:jc w:val="center"/>
              <w:rPr>
                <w:sz w:val="18"/>
                <w:szCs w:val="18"/>
              </w:rPr>
            </w:pPr>
            <w:r w:rsidRPr="002C524B">
              <w:rPr>
                <w:sz w:val="18"/>
                <w:szCs w:val="18"/>
              </w:rPr>
              <w:t>355.25</w:t>
            </w:r>
          </w:p>
        </w:tc>
        <w:tc>
          <w:tcPr>
            <w:tcW w:w="457" w:type="pct"/>
            <w:tcBorders>
              <w:top w:val="nil"/>
              <w:left w:val="nil"/>
              <w:bottom w:val="nil"/>
              <w:right w:val="nil"/>
            </w:tcBorders>
            <w:shd w:val="clear" w:color="auto" w:fill="auto"/>
            <w:noWrap/>
            <w:vAlign w:val="center"/>
            <w:hideMark/>
          </w:tcPr>
          <w:p w14:paraId="63E1A3BF" w14:textId="77777777" w:rsidR="00874916" w:rsidRPr="00910292" w:rsidRDefault="00874916" w:rsidP="00EA28C4">
            <w:pPr>
              <w:jc w:val="center"/>
              <w:rPr>
                <w:color w:val="000000"/>
                <w:sz w:val="18"/>
                <w:szCs w:val="18"/>
              </w:rPr>
            </w:pPr>
            <w:r w:rsidRPr="002C524B">
              <w:rPr>
                <w:color w:val="000000"/>
                <w:sz w:val="18"/>
                <w:szCs w:val="18"/>
              </w:rPr>
              <w:t>—</w:t>
            </w:r>
          </w:p>
        </w:tc>
      </w:tr>
      <w:tr w:rsidR="00874916" w:rsidRPr="002C524B" w14:paraId="3028DE51" w14:textId="77777777" w:rsidTr="001F0BEC">
        <w:trPr>
          <w:trHeight w:val="270"/>
          <w:jc w:val="center"/>
        </w:trPr>
        <w:tc>
          <w:tcPr>
            <w:tcW w:w="625" w:type="pct"/>
            <w:tcBorders>
              <w:top w:val="single" w:sz="4" w:space="0" w:color="auto"/>
              <w:left w:val="nil"/>
              <w:bottom w:val="single" w:sz="12" w:space="0" w:color="auto"/>
              <w:right w:val="nil"/>
            </w:tcBorders>
            <w:shd w:val="clear" w:color="auto" w:fill="auto"/>
            <w:vAlign w:val="center"/>
            <w:hideMark/>
          </w:tcPr>
          <w:p w14:paraId="41378040" w14:textId="77777777" w:rsidR="00874916" w:rsidRPr="00910292" w:rsidRDefault="00874916" w:rsidP="00EA28C4">
            <w:pPr>
              <w:jc w:val="center"/>
              <w:rPr>
                <w:sz w:val="18"/>
                <w:szCs w:val="18"/>
              </w:rPr>
            </w:pPr>
            <w:r w:rsidRPr="002C524B">
              <w:rPr>
                <w:sz w:val="18"/>
                <w:szCs w:val="18"/>
              </w:rPr>
              <w:t>Total</w:t>
            </w:r>
          </w:p>
        </w:tc>
        <w:tc>
          <w:tcPr>
            <w:tcW w:w="557" w:type="pct"/>
            <w:tcBorders>
              <w:top w:val="single" w:sz="4" w:space="0" w:color="auto"/>
              <w:left w:val="nil"/>
              <w:bottom w:val="single" w:sz="12" w:space="0" w:color="auto"/>
              <w:right w:val="nil"/>
            </w:tcBorders>
            <w:shd w:val="clear" w:color="auto" w:fill="auto"/>
            <w:noWrap/>
            <w:vAlign w:val="center"/>
            <w:hideMark/>
          </w:tcPr>
          <w:p w14:paraId="093FE2C8" w14:textId="77777777" w:rsidR="00874916" w:rsidRPr="00910292" w:rsidRDefault="00874916" w:rsidP="00EA28C4">
            <w:pPr>
              <w:jc w:val="center"/>
              <w:rPr>
                <w:color w:val="000000"/>
                <w:sz w:val="18"/>
                <w:szCs w:val="18"/>
              </w:rPr>
            </w:pPr>
            <w:r w:rsidRPr="002C524B">
              <w:rPr>
                <w:color w:val="000000"/>
                <w:sz w:val="18"/>
                <w:szCs w:val="18"/>
              </w:rPr>
              <w:t>—</w:t>
            </w:r>
          </w:p>
        </w:tc>
        <w:tc>
          <w:tcPr>
            <w:tcW w:w="480" w:type="pct"/>
            <w:tcBorders>
              <w:top w:val="single" w:sz="4" w:space="0" w:color="auto"/>
              <w:left w:val="nil"/>
              <w:bottom w:val="single" w:sz="12" w:space="0" w:color="auto"/>
              <w:right w:val="single" w:sz="4" w:space="0" w:color="auto"/>
            </w:tcBorders>
            <w:shd w:val="clear" w:color="auto" w:fill="auto"/>
            <w:noWrap/>
            <w:vAlign w:val="center"/>
            <w:hideMark/>
          </w:tcPr>
          <w:p w14:paraId="72EBC9BA" w14:textId="77777777" w:rsidR="00874916" w:rsidRPr="00910292" w:rsidRDefault="00874916" w:rsidP="00EA28C4">
            <w:pPr>
              <w:jc w:val="center"/>
              <w:rPr>
                <w:sz w:val="18"/>
                <w:szCs w:val="18"/>
              </w:rPr>
            </w:pPr>
            <w:r w:rsidRPr="002C524B">
              <w:rPr>
                <w:sz w:val="18"/>
                <w:szCs w:val="18"/>
              </w:rPr>
              <w:t>70.39%</w:t>
            </w:r>
          </w:p>
        </w:tc>
        <w:tc>
          <w:tcPr>
            <w:tcW w:w="641" w:type="pct"/>
            <w:tcBorders>
              <w:top w:val="single" w:sz="4" w:space="0" w:color="auto"/>
              <w:left w:val="nil"/>
              <w:bottom w:val="single" w:sz="12" w:space="0" w:color="auto"/>
              <w:right w:val="nil"/>
            </w:tcBorders>
            <w:shd w:val="clear" w:color="auto" w:fill="auto"/>
            <w:vAlign w:val="center"/>
            <w:hideMark/>
          </w:tcPr>
          <w:p w14:paraId="5AA6D1D1" w14:textId="77777777" w:rsidR="00874916" w:rsidRPr="00910292" w:rsidRDefault="00874916" w:rsidP="00EA28C4">
            <w:pPr>
              <w:jc w:val="center"/>
              <w:rPr>
                <w:sz w:val="18"/>
                <w:szCs w:val="18"/>
              </w:rPr>
            </w:pPr>
            <w:r w:rsidRPr="002C524B">
              <w:rPr>
                <w:sz w:val="18"/>
                <w:szCs w:val="18"/>
              </w:rPr>
              <w:t>Total</w:t>
            </w:r>
          </w:p>
        </w:tc>
        <w:tc>
          <w:tcPr>
            <w:tcW w:w="560" w:type="pct"/>
            <w:tcBorders>
              <w:top w:val="single" w:sz="4" w:space="0" w:color="auto"/>
              <w:left w:val="nil"/>
              <w:bottom w:val="single" w:sz="12" w:space="0" w:color="auto"/>
              <w:right w:val="nil"/>
            </w:tcBorders>
            <w:shd w:val="clear" w:color="auto" w:fill="auto"/>
            <w:noWrap/>
            <w:vAlign w:val="center"/>
            <w:hideMark/>
          </w:tcPr>
          <w:p w14:paraId="4CCC1278" w14:textId="77777777" w:rsidR="00874916" w:rsidRPr="00910292" w:rsidRDefault="00874916" w:rsidP="00EA28C4">
            <w:pPr>
              <w:jc w:val="center"/>
              <w:rPr>
                <w:color w:val="000000"/>
                <w:sz w:val="18"/>
                <w:szCs w:val="18"/>
              </w:rPr>
            </w:pPr>
            <w:r w:rsidRPr="002C524B">
              <w:rPr>
                <w:color w:val="000000"/>
                <w:sz w:val="18"/>
                <w:szCs w:val="18"/>
              </w:rPr>
              <w:t>—</w:t>
            </w:r>
          </w:p>
        </w:tc>
        <w:tc>
          <w:tcPr>
            <w:tcW w:w="473" w:type="pct"/>
            <w:tcBorders>
              <w:top w:val="single" w:sz="4" w:space="0" w:color="auto"/>
              <w:left w:val="nil"/>
              <w:bottom w:val="single" w:sz="12" w:space="0" w:color="auto"/>
              <w:right w:val="single" w:sz="4" w:space="0" w:color="auto"/>
            </w:tcBorders>
            <w:shd w:val="clear" w:color="auto" w:fill="auto"/>
            <w:noWrap/>
            <w:vAlign w:val="center"/>
            <w:hideMark/>
          </w:tcPr>
          <w:p w14:paraId="4BED73BD" w14:textId="77777777" w:rsidR="00874916" w:rsidRPr="00910292" w:rsidRDefault="00874916" w:rsidP="00EA28C4">
            <w:pPr>
              <w:jc w:val="center"/>
              <w:rPr>
                <w:sz w:val="18"/>
                <w:szCs w:val="18"/>
              </w:rPr>
            </w:pPr>
            <w:r w:rsidRPr="002C524B">
              <w:rPr>
                <w:sz w:val="18"/>
                <w:szCs w:val="18"/>
              </w:rPr>
              <w:t>69.18%</w:t>
            </w:r>
          </w:p>
        </w:tc>
        <w:tc>
          <w:tcPr>
            <w:tcW w:w="623" w:type="pct"/>
            <w:tcBorders>
              <w:top w:val="single" w:sz="4" w:space="0" w:color="auto"/>
              <w:left w:val="nil"/>
              <w:bottom w:val="single" w:sz="12" w:space="0" w:color="auto"/>
              <w:right w:val="nil"/>
            </w:tcBorders>
            <w:shd w:val="clear" w:color="auto" w:fill="auto"/>
            <w:vAlign w:val="center"/>
            <w:hideMark/>
          </w:tcPr>
          <w:p w14:paraId="6F7DF3F2" w14:textId="77777777" w:rsidR="00874916" w:rsidRPr="00910292" w:rsidRDefault="00874916" w:rsidP="00EA28C4">
            <w:pPr>
              <w:jc w:val="center"/>
              <w:rPr>
                <w:sz w:val="18"/>
                <w:szCs w:val="18"/>
              </w:rPr>
            </w:pPr>
            <w:r w:rsidRPr="002C524B">
              <w:rPr>
                <w:sz w:val="18"/>
                <w:szCs w:val="18"/>
              </w:rPr>
              <w:t>Total</w:t>
            </w:r>
          </w:p>
        </w:tc>
        <w:tc>
          <w:tcPr>
            <w:tcW w:w="584" w:type="pct"/>
            <w:tcBorders>
              <w:top w:val="single" w:sz="4" w:space="0" w:color="auto"/>
              <w:left w:val="nil"/>
              <w:bottom w:val="single" w:sz="12" w:space="0" w:color="auto"/>
              <w:right w:val="nil"/>
            </w:tcBorders>
            <w:shd w:val="clear" w:color="auto" w:fill="auto"/>
            <w:noWrap/>
            <w:vAlign w:val="center"/>
            <w:hideMark/>
          </w:tcPr>
          <w:p w14:paraId="4E048665" w14:textId="77777777" w:rsidR="00874916" w:rsidRPr="00910292" w:rsidRDefault="00874916" w:rsidP="00EA28C4">
            <w:pPr>
              <w:jc w:val="center"/>
              <w:rPr>
                <w:color w:val="000000"/>
                <w:sz w:val="18"/>
                <w:szCs w:val="18"/>
              </w:rPr>
            </w:pPr>
            <w:r w:rsidRPr="002C524B">
              <w:rPr>
                <w:color w:val="000000"/>
                <w:sz w:val="18"/>
                <w:szCs w:val="18"/>
              </w:rPr>
              <w:t>—</w:t>
            </w:r>
          </w:p>
        </w:tc>
        <w:tc>
          <w:tcPr>
            <w:tcW w:w="457" w:type="pct"/>
            <w:tcBorders>
              <w:top w:val="single" w:sz="4" w:space="0" w:color="auto"/>
              <w:left w:val="nil"/>
              <w:bottom w:val="single" w:sz="12" w:space="0" w:color="auto"/>
              <w:right w:val="nil"/>
            </w:tcBorders>
            <w:shd w:val="clear" w:color="auto" w:fill="auto"/>
            <w:noWrap/>
            <w:vAlign w:val="center"/>
            <w:hideMark/>
          </w:tcPr>
          <w:p w14:paraId="1EA4B7B8" w14:textId="77777777" w:rsidR="00874916" w:rsidRPr="00910292" w:rsidRDefault="00874916" w:rsidP="00EA28C4">
            <w:pPr>
              <w:jc w:val="center"/>
              <w:rPr>
                <w:sz w:val="18"/>
                <w:szCs w:val="18"/>
              </w:rPr>
            </w:pPr>
            <w:r w:rsidRPr="002C524B">
              <w:rPr>
                <w:sz w:val="18"/>
                <w:szCs w:val="18"/>
              </w:rPr>
              <w:t>74.24%</w:t>
            </w:r>
          </w:p>
        </w:tc>
      </w:tr>
    </w:tbl>
    <w:p w14:paraId="2AE5A66A" w14:textId="77777777" w:rsidR="00874916" w:rsidRPr="002C524B" w:rsidRDefault="00874916" w:rsidP="00874916">
      <w:pPr>
        <w:autoSpaceDE w:val="0"/>
        <w:autoSpaceDN w:val="0"/>
        <w:adjustRightInd w:val="0"/>
        <w:rPr>
          <w:szCs w:val="21"/>
        </w:rPr>
      </w:pPr>
    </w:p>
    <w:tbl>
      <w:tblPr>
        <w:tblW w:w="5000" w:type="pct"/>
        <w:tblBorders>
          <w:top w:val="single" w:sz="12" w:space="0" w:color="auto"/>
          <w:bottom w:val="single" w:sz="12" w:space="0" w:color="auto"/>
        </w:tblBorders>
        <w:tblLook w:val="04A0" w:firstRow="1" w:lastRow="0" w:firstColumn="1" w:lastColumn="0" w:noHBand="0" w:noVBand="1"/>
      </w:tblPr>
      <w:tblGrid>
        <w:gridCol w:w="1228"/>
        <w:gridCol w:w="1882"/>
        <w:gridCol w:w="1210"/>
        <w:gridCol w:w="1595"/>
        <w:gridCol w:w="1515"/>
        <w:gridCol w:w="1210"/>
      </w:tblGrid>
      <w:tr w:rsidR="00874916" w:rsidRPr="00102DB1" w14:paraId="12BAECC2" w14:textId="77777777" w:rsidTr="00EA28C4">
        <w:trPr>
          <w:trHeight w:val="270"/>
        </w:trPr>
        <w:tc>
          <w:tcPr>
            <w:tcW w:w="711" w:type="pct"/>
            <w:tcBorders>
              <w:bottom w:val="single" w:sz="4" w:space="0" w:color="auto"/>
            </w:tcBorders>
            <w:shd w:val="clear" w:color="auto" w:fill="auto"/>
            <w:vAlign w:val="center"/>
            <w:hideMark/>
          </w:tcPr>
          <w:p w14:paraId="472DF3F1" w14:textId="77777777" w:rsidR="00874916" w:rsidRPr="00102DB1" w:rsidRDefault="00874916" w:rsidP="00EA28C4">
            <w:pPr>
              <w:jc w:val="center"/>
              <w:rPr>
                <w:b/>
                <w:bCs/>
                <w:sz w:val="18"/>
                <w:szCs w:val="18"/>
              </w:rPr>
            </w:pPr>
          </w:p>
        </w:tc>
        <w:tc>
          <w:tcPr>
            <w:tcW w:w="1089" w:type="pct"/>
            <w:tcBorders>
              <w:bottom w:val="single" w:sz="4" w:space="0" w:color="auto"/>
            </w:tcBorders>
            <w:shd w:val="clear" w:color="auto" w:fill="auto"/>
            <w:vAlign w:val="center"/>
            <w:hideMark/>
          </w:tcPr>
          <w:p w14:paraId="48F450AC" w14:textId="77777777" w:rsidR="00874916" w:rsidRPr="00102DB1" w:rsidRDefault="00874916" w:rsidP="00EA28C4">
            <w:pPr>
              <w:jc w:val="center"/>
              <w:rPr>
                <w:b/>
                <w:bCs/>
                <w:sz w:val="18"/>
                <w:szCs w:val="18"/>
              </w:rPr>
            </w:pPr>
            <w:r w:rsidRPr="00102DB1">
              <w:rPr>
                <w:b/>
                <w:bCs/>
                <w:sz w:val="18"/>
                <w:szCs w:val="18"/>
              </w:rPr>
              <w:t>2014</w:t>
            </w:r>
          </w:p>
        </w:tc>
        <w:tc>
          <w:tcPr>
            <w:tcW w:w="700" w:type="pct"/>
            <w:tcBorders>
              <w:bottom w:val="single" w:sz="4" w:space="0" w:color="auto"/>
            </w:tcBorders>
            <w:shd w:val="clear" w:color="auto" w:fill="auto"/>
            <w:noWrap/>
            <w:vAlign w:val="center"/>
            <w:hideMark/>
          </w:tcPr>
          <w:p w14:paraId="5FC7B471" w14:textId="77777777" w:rsidR="00874916" w:rsidRPr="00102DB1" w:rsidRDefault="00874916" w:rsidP="00EA28C4">
            <w:pPr>
              <w:jc w:val="center"/>
              <w:rPr>
                <w:sz w:val="18"/>
                <w:szCs w:val="18"/>
              </w:rPr>
            </w:pPr>
          </w:p>
        </w:tc>
        <w:tc>
          <w:tcPr>
            <w:tcW w:w="923" w:type="pct"/>
            <w:tcBorders>
              <w:bottom w:val="single" w:sz="4" w:space="0" w:color="auto"/>
            </w:tcBorders>
            <w:shd w:val="clear" w:color="auto" w:fill="auto"/>
            <w:vAlign w:val="center"/>
            <w:hideMark/>
          </w:tcPr>
          <w:p w14:paraId="0B624AB7" w14:textId="77777777" w:rsidR="00874916" w:rsidRPr="00102DB1" w:rsidRDefault="00874916" w:rsidP="00EA28C4">
            <w:pPr>
              <w:jc w:val="center"/>
              <w:rPr>
                <w:b/>
                <w:bCs/>
                <w:sz w:val="18"/>
                <w:szCs w:val="18"/>
              </w:rPr>
            </w:pPr>
          </w:p>
        </w:tc>
        <w:tc>
          <w:tcPr>
            <w:tcW w:w="877" w:type="pct"/>
            <w:tcBorders>
              <w:bottom w:val="single" w:sz="4" w:space="0" w:color="auto"/>
            </w:tcBorders>
            <w:shd w:val="clear" w:color="auto" w:fill="auto"/>
            <w:vAlign w:val="center"/>
            <w:hideMark/>
          </w:tcPr>
          <w:p w14:paraId="54D90507" w14:textId="77777777" w:rsidR="00874916" w:rsidRPr="00102DB1" w:rsidRDefault="00874916" w:rsidP="00EA28C4">
            <w:pPr>
              <w:jc w:val="center"/>
              <w:rPr>
                <w:b/>
                <w:bCs/>
                <w:sz w:val="18"/>
                <w:szCs w:val="18"/>
              </w:rPr>
            </w:pPr>
            <w:r w:rsidRPr="00102DB1">
              <w:rPr>
                <w:b/>
                <w:bCs/>
                <w:sz w:val="18"/>
                <w:szCs w:val="18"/>
              </w:rPr>
              <w:t>2015</w:t>
            </w:r>
          </w:p>
        </w:tc>
        <w:tc>
          <w:tcPr>
            <w:tcW w:w="700" w:type="pct"/>
            <w:tcBorders>
              <w:bottom w:val="single" w:sz="4" w:space="0" w:color="auto"/>
            </w:tcBorders>
            <w:shd w:val="clear" w:color="auto" w:fill="auto"/>
            <w:noWrap/>
            <w:vAlign w:val="center"/>
            <w:hideMark/>
          </w:tcPr>
          <w:p w14:paraId="24A2C060" w14:textId="77777777" w:rsidR="00874916" w:rsidRPr="00102DB1" w:rsidRDefault="00874916" w:rsidP="00EA28C4">
            <w:pPr>
              <w:jc w:val="center"/>
              <w:rPr>
                <w:sz w:val="18"/>
                <w:szCs w:val="18"/>
              </w:rPr>
            </w:pPr>
          </w:p>
        </w:tc>
      </w:tr>
      <w:tr w:rsidR="00874916" w:rsidRPr="00102DB1" w14:paraId="5104D100" w14:textId="77777777" w:rsidTr="00EA28C4">
        <w:trPr>
          <w:trHeight w:val="270"/>
        </w:trPr>
        <w:tc>
          <w:tcPr>
            <w:tcW w:w="711" w:type="pct"/>
            <w:tcBorders>
              <w:top w:val="single" w:sz="4" w:space="0" w:color="auto"/>
              <w:bottom w:val="single" w:sz="4" w:space="0" w:color="auto"/>
            </w:tcBorders>
            <w:shd w:val="clear" w:color="auto" w:fill="auto"/>
            <w:noWrap/>
            <w:vAlign w:val="center"/>
            <w:hideMark/>
          </w:tcPr>
          <w:p w14:paraId="281985B3" w14:textId="77777777" w:rsidR="00874916" w:rsidRPr="00102DB1" w:rsidRDefault="00874916" w:rsidP="00EA28C4">
            <w:pPr>
              <w:jc w:val="center"/>
              <w:rPr>
                <w:sz w:val="18"/>
                <w:szCs w:val="18"/>
              </w:rPr>
            </w:pPr>
            <w:r w:rsidRPr="002C524B">
              <w:rPr>
                <w:sz w:val="18"/>
                <w:szCs w:val="18"/>
              </w:rPr>
              <w:t>Importer</w:t>
            </w:r>
          </w:p>
        </w:tc>
        <w:tc>
          <w:tcPr>
            <w:tcW w:w="1089" w:type="pct"/>
            <w:tcBorders>
              <w:top w:val="single" w:sz="4" w:space="0" w:color="auto"/>
              <w:bottom w:val="single" w:sz="4" w:space="0" w:color="auto"/>
            </w:tcBorders>
            <w:shd w:val="clear" w:color="auto" w:fill="auto"/>
            <w:noWrap/>
            <w:vAlign w:val="center"/>
            <w:hideMark/>
          </w:tcPr>
          <w:p w14:paraId="762AF8D8" w14:textId="77777777" w:rsidR="00874916" w:rsidRPr="00102DB1" w:rsidRDefault="00874916" w:rsidP="00EA28C4">
            <w:pPr>
              <w:jc w:val="center"/>
              <w:rPr>
                <w:sz w:val="18"/>
                <w:szCs w:val="18"/>
              </w:rPr>
            </w:pPr>
            <w:r w:rsidRPr="002C524B">
              <w:rPr>
                <w:sz w:val="18"/>
                <w:szCs w:val="18"/>
              </w:rPr>
              <w:t xml:space="preserve">Thousand </w:t>
            </w:r>
            <w:r>
              <w:rPr>
                <w:sz w:val="18"/>
                <w:szCs w:val="18"/>
              </w:rPr>
              <w:t>Tons</w:t>
            </w:r>
          </w:p>
        </w:tc>
        <w:tc>
          <w:tcPr>
            <w:tcW w:w="700" w:type="pct"/>
            <w:tcBorders>
              <w:top w:val="single" w:sz="4" w:space="0" w:color="auto"/>
              <w:bottom w:val="single" w:sz="4" w:space="0" w:color="auto"/>
            </w:tcBorders>
            <w:shd w:val="clear" w:color="auto" w:fill="auto"/>
            <w:noWrap/>
            <w:vAlign w:val="center"/>
            <w:hideMark/>
          </w:tcPr>
          <w:p w14:paraId="699967FC" w14:textId="77777777" w:rsidR="00874916" w:rsidRPr="00102DB1" w:rsidRDefault="00874916" w:rsidP="00EA28C4">
            <w:pPr>
              <w:jc w:val="center"/>
              <w:rPr>
                <w:sz w:val="18"/>
                <w:szCs w:val="18"/>
              </w:rPr>
            </w:pPr>
            <w:r w:rsidRPr="002C524B">
              <w:rPr>
                <w:sz w:val="18"/>
                <w:szCs w:val="18"/>
              </w:rPr>
              <w:t>Percent</w:t>
            </w:r>
          </w:p>
        </w:tc>
        <w:tc>
          <w:tcPr>
            <w:tcW w:w="923" w:type="pct"/>
            <w:tcBorders>
              <w:top w:val="single" w:sz="4" w:space="0" w:color="auto"/>
              <w:bottom w:val="single" w:sz="4" w:space="0" w:color="auto"/>
            </w:tcBorders>
            <w:shd w:val="clear" w:color="auto" w:fill="auto"/>
            <w:noWrap/>
            <w:vAlign w:val="center"/>
            <w:hideMark/>
          </w:tcPr>
          <w:p w14:paraId="3D370F94" w14:textId="77777777" w:rsidR="00874916" w:rsidRPr="00102DB1" w:rsidRDefault="00874916" w:rsidP="00EA28C4">
            <w:pPr>
              <w:jc w:val="center"/>
              <w:rPr>
                <w:sz w:val="18"/>
                <w:szCs w:val="18"/>
              </w:rPr>
            </w:pPr>
            <w:r w:rsidRPr="002C524B">
              <w:rPr>
                <w:sz w:val="18"/>
                <w:szCs w:val="18"/>
              </w:rPr>
              <w:t>Importer</w:t>
            </w:r>
          </w:p>
        </w:tc>
        <w:tc>
          <w:tcPr>
            <w:tcW w:w="877" w:type="pct"/>
            <w:tcBorders>
              <w:top w:val="single" w:sz="4" w:space="0" w:color="auto"/>
              <w:bottom w:val="single" w:sz="4" w:space="0" w:color="auto"/>
            </w:tcBorders>
            <w:shd w:val="clear" w:color="auto" w:fill="auto"/>
            <w:noWrap/>
            <w:vAlign w:val="center"/>
            <w:hideMark/>
          </w:tcPr>
          <w:p w14:paraId="045D833A" w14:textId="77777777" w:rsidR="00874916" w:rsidRPr="00102DB1" w:rsidRDefault="00874916" w:rsidP="00EA28C4">
            <w:pPr>
              <w:jc w:val="center"/>
              <w:rPr>
                <w:sz w:val="18"/>
                <w:szCs w:val="18"/>
              </w:rPr>
            </w:pPr>
            <w:r w:rsidRPr="002C524B">
              <w:rPr>
                <w:sz w:val="18"/>
                <w:szCs w:val="18"/>
              </w:rPr>
              <w:t xml:space="preserve">Thousand </w:t>
            </w:r>
            <w:r>
              <w:rPr>
                <w:sz w:val="18"/>
                <w:szCs w:val="18"/>
              </w:rPr>
              <w:t>Tons</w:t>
            </w:r>
          </w:p>
        </w:tc>
        <w:tc>
          <w:tcPr>
            <w:tcW w:w="700" w:type="pct"/>
            <w:tcBorders>
              <w:top w:val="single" w:sz="4" w:space="0" w:color="auto"/>
              <w:bottom w:val="single" w:sz="4" w:space="0" w:color="auto"/>
            </w:tcBorders>
            <w:shd w:val="clear" w:color="auto" w:fill="auto"/>
            <w:noWrap/>
            <w:vAlign w:val="center"/>
            <w:hideMark/>
          </w:tcPr>
          <w:p w14:paraId="127FEF1C" w14:textId="77777777" w:rsidR="00874916" w:rsidRPr="00102DB1" w:rsidRDefault="00874916" w:rsidP="00EA28C4">
            <w:pPr>
              <w:jc w:val="center"/>
              <w:rPr>
                <w:sz w:val="18"/>
                <w:szCs w:val="18"/>
              </w:rPr>
            </w:pPr>
            <w:r w:rsidRPr="002C524B">
              <w:rPr>
                <w:sz w:val="18"/>
                <w:szCs w:val="18"/>
              </w:rPr>
              <w:t>Percent</w:t>
            </w:r>
          </w:p>
        </w:tc>
      </w:tr>
      <w:tr w:rsidR="00874916" w:rsidRPr="00102DB1" w14:paraId="2B81653C" w14:textId="77777777" w:rsidTr="00EA28C4">
        <w:trPr>
          <w:trHeight w:val="630"/>
        </w:trPr>
        <w:tc>
          <w:tcPr>
            <w:tcW w:w="711" w:type="pct"/>
            <w:tcBorders>
              <w:top w:val="single" w:sz="4" w:space="0" w:color="auto"/>
            </w:tcBorders>
            <w:shd w:val="clear" w:color="auto" w:fill="auto"/>
            <w:vAlign w:val="center"/>
            <w:hideMark/>
          </w:tcPr>
          <w:p w14:paraId="40D2BFF2" w14:textId="77777777" w:rsidR="00874916" w:rsidRPr="00102DB1" w:rsidRDefault="00874916" w:rsidP="00EA28C4">
            <w:pPr>
              <w:jc w:val="center"/>
              <w:rPr>
                <w:sz w:val="18"/>
                <w:szCs w:val="18"/>
              </w:rPr>
            </w:pPr>
            <w:r w:rsidRPr="00102DB1">
              <w:rPr>
                <w:sz w:val="18"/>
                <w:szCs w:val="18"/>
              </w:rPr>
              <w:t>Turkey</w:t>
            </w:r>
          </w:p>
        </w:tc>
        <w:tc>
          <w:tcPr>
            <w:tcW w:w="1089" w:type="pct"/>
            <w:tcBorders>
              <w:top w:val="single" w:sz="4" w:space="0" w:color="auto"/>
            </w:tcBorders>
            <w:shd w:val="clear" w:color="auto" w:fill="auto"/>
            <w:vAlign w:val="center"/>
            <w:hideMark/>
          </w:tcPr>
          <w:p w14:paraId="701A83AC" w14:textId="77777777" w:rsidR="00874916" w:rsidRPr="00102DB1" w:rsidRDefault="00874916" w:rsidP="00EA28C4">
            <w:pPr>
              <w:jc w:val="center"/>
              <w:rPr>
                <w:sz w:val="18"/>
                <w:szCs w:val="18"/>
              </w:rPr>
            </w:pPr>
            <w:r w:rsidRPr="00102DB1">
              <w:rPr>
                <w:sz w:val="18"/>
                <w:szCs w:val="18"/>
              </w:rPr>
              <w:t>44.75</w:t>
            </w:r>
          </w:p>
        </w:tc>
        <w:tc>
          <w:tcPr>
            <w:tcW w:w="700" w:type="pct"/>
            <w:tcBorders>
              <w:top w:val="single" w:sz="4" w:space="0" w:color="auto"/>
            </w:tcBorders>
            <w:shd w:val="clear" w:color="auto" w:fill="auto"/>
            <w:noWrap/>
            <w:vAlign w:val="center"/>
            <w:hideMark/>
          </w:tcPr>
          <w:p w14:paraId="443A58BE" w14:textId="77777777" w:rsidR="00874916" w:rsidRPr="00102DB1" w:rsidRDefault="00874916" w:rsidP="00EA28C4">
            <w:pPr>
              <w:jc w:val="center"/>
              <w:rPr>
                <w:sz w:val="18"/>
                <w:szCs w:val="18"/>
              </w:rPr>
            </w:pPr>
            <w:r w:rsidRPr="00102DB1">
              <w:rPr>
                <w:sz w:val="18"/>
                <w:szCs w:val="18"/>
              </w:rPr>
              <w:t>13.76%</w:t>
            </w:r>
          </w:p>
        </w:tc>
        <w:tc>
          <w:tcPr>
            <w:tcW w:w="923" w:type="pct"/>
            <w:tcBorders>
              <w:top w:val="single" w:sz="4" w:space="0" w:color="auto"/>
            </w:tcBorders>
            <w:shd w:val="clear" w:color="auto" w:fill="auto"/>
            <w:vAlign w:val="center"/>
            <w:hideMark/>
          </w:tcPr>
          <w:p w14:paraId="0D6B4339" w14:textId="77777777" w:rsidR="00874916" w:rsidRPr="00102DB1" w:rsidRDefault="00874916" w:rsidP="00EA28C4">
            <w:pPr>
              <w:jc w:val="center"/>
              <w:rPr>
                <w:sz w:val="18"/>
                <w:szCs w:val="18"/>
              </w:rPr>
            </w:pPr>
            <w:r w:rsidRPr="00102DB1">
              <w:rPr>
                <w:sz w:val="18"/>
                <w:szCs w:val="18"/>
              </w:rPr>
              <w:t>Russian Federation</w:t>
            </w:r>
          </w:p>
        </w:tc>
        <w:tc>
          <w:tcPr>
            <w:tcW w:w="877" w:type="pct"/>
            <w:tcBorders>
              <w:top w:val="single" w:sz="4" w:space="0" w:color="auto"/>
            </w:tcBorders>
            <w:shd w:val="clear" w:color="auto" w:fill="auto"/>
            <w:vAlign w:val="center"/>
            <w:hideMark/>
          </w:tcPr>
          <w:p w14:paraId="66FE9F25" w14:textId="77777777" w:rsidR="00874916" w:rsidRPr="00102DB1" w:rsidRDefault="00874916" w:rsidP="00EA28C4">
            <w:pPr>
              <w:jc w:val="center"/>
              <w:rPr>
                <w:sz w:val="18"/>
                <w:szCs w:val="18"/>
              </w:rPr>
            </w:pPr>
            <w:r w:rsidRPr="00102DB1">
              <w:rPr>
                <w:sz w:val="18"/>
                <w:szCs w:val="18"/>
              </w:rPr>
              <w:t>36.74</w:t>
            </w:r>
          </w:p>
        </w:tc>
        <w:tc>
          <w:tcPr>
            <w:tcW w:w="700" w:type="pct"/>
            <w:tcBorders>
              <w:top w:val="single" w:sz="4" w:space="0" w:color="auto"/>
            </w:tcBorders>
            <w:shd w:val="clear" w:color="auto" w:fill="auto"/>
            <w:noWrap/>
            <w:vAlign w:val="center"/>
            <w:hideMark/>
          </w:tcPr>
          <w:p w14:paraId="512C4C8C" w14:textId="77777777" w:rsidR="00874916" w:rsidRPr="00102DB1" w:rsidRDefault="00874916" w:rsidP="00EA28C4">
            <w:pPr>
              <w:jc w:val="center"/>
              <w:rPr>
                <w:sz w:val="18"/>
                <w:szCs w:val="18"/>
              </w:rPr>
            </w:pPr>
            <w:r w:rsidRPr="00102DB1">
              <w:rPr>
                <w:sz w:val="18"/>
                <w:szCs w:val="18"/>
              </w:rPr>
              <w:t>12.05%</w:t>
            </w:r>
          </w:p>
        </w:tc>
      </w:tr>
      <w:tr w:rsidR="00874916" w:rsidRPr="00102DB1" w14:paraId="057A2FCE" w14:textId="77777777" w:rsidTr="00EA28C4">
        <w:trPr>
          <w:trHeight w:val="630"/>
        </w:trPr>
        <w:tc>
          <w:tcPr>
            <w:tcW w:w="711" w:type="pct"/>
            <w:shd w:val="clear" w:color="auto" w:fill="auto"/>
            <w:vAlign w:val="center"/>
            <w:hideMark/>
          </w:tcPr>
          <w:p w14:paraId="1E15887D" w14:textId="77777777" w:rsidR="00874916" w:rsidRPr="00102DB1" w:rsidRDefault="00874916" w:rsidP="00EA28C4">
            <w:pPr>
              <w:jc w:val="center"/>
              <w:rPr>
                <w:sz w:val="18"/>
                <w:szCs w:val="18"/>
              </w:rPr>
            </w:pPr>
            <w:r w:rsidRPr="00102DB1">
              <w:rPr>
                <w:sz w:val="18"/>
                <w:szCs w:val="18"/>
              </w:rPr>
              <w:t>Russian Federation</w:t>
            </w:r>
          </w:p>
        </w:tc>
        <w:tc>
          <w:tcPr>
            <w:tcW w:w="1089" w:type="pct"/>
            <w:shd w:val="clear" w:color="auto" w:fill="auto"/>
            <w:vAlign w:val="center"/>
            <w:hideMark/>
          </w:tcPr>
          <w:p w14:paraId="3B21E725" w14:textId="77777777" w:rsidR="00874916" w:rsidRPr="00102DB1" w:rsidRDefault="00874916" w:rsidP="00EA28C4">
            <w:pPr>
              <w:jc w:val="center"/>
              <w:rPr>
                <w:sz w:val="18"/>
                <w:szCs w:val="18"/>
              </w:rPr>
            </w:pPr>
            <w:r w:rsidRPr="00102DB1">
              <w:rPr>
                <w:sz w:val="18"/>
                <w:szCs w:val="18"/>
              </w:rPr>
              <w:t>44.10</w:t>
            </w:r>
          </w:p>
        </w:tc>
        <w:tc>
          <w:tcPr>
            <w:tcW w:w="700" w:type="pct"/>
            <w:shd w:val="clear" w:color="auto" w:fill="auto"/>
            <w:noWrap/>
            <w:vAlign w:val="center"/>
            <w:hideMark/>
          </w:tcPr>
          <w:p w14:paraId="1EAD5813" w14:textId="77777777" w:rsidR="00874916" w:rsidRPr="00102DB1" w:rsidRDefault="00874916" w:rsidP="00EA28C4">
            <w:pPr>
              <w:jc w:val="center"/>
              <w:rPr>
                <w:sz w:val="18"/>
                <w:szCs w:val="18"/>
              </w:rPr>
            </w:pPr>
            <w:r w:rsidRPr="00102DB1">
              <w:rPr>
                <w:sz w:val="18"/>
                <w:szCs w:val="18"/>
              </w:rPr>
              <w:t>13.56%</w:t>
            </w:r>
          </w:p>
        </w:tc>
        <w:tc>
          <w:tcPr>
            <w:tcW w:w="923" w:type="pct"/>
            <w:shd w:val="clear" w:color="auto" w:fill="auto"/>
            <w:vAlign w:val="center"/>
            <w:hideMark/>
          </w:tcPr>
          <w:p w14:paraId="7B189E60" w14:textId="77777777" w:rsidR="00874916" w:rsidRPr="00102DB1" w:rsidRDefault="00874916" w:rsidP="00EA28C4">
            <w:pPr>
              <w:jc w:val="center"/>
              <w:rPr>
                <w:sz w:val="18"/>
                <w:szCs w:val="18"/>
              </w:rPr>
            </w:pPr>
            <w:r w:rsidRPr="00102DB1">
              <w:rPr>
                <w:sz w:val="18"/>
                <w:szCs w:val="18"/>
              </w:rPr>
              <w:t>Turkey</w:t>
            </w:r>
          </w:p>
        </w:tc>
        <w:tc>
          <w:tcPr>
            <w:tcW w:w="877" w:type="pct"/>
            <w:shd w:val="clear" w:color="auto" w:fill="auto"/>
            <w:vAlign w:val="center"/>
            <w:hideMark/>
          </w:tcPr>
          <w:p w14:paraId="7A80C208" w14:textId="77777777" w:rsidR="00874916" w:rsidRPr="00102DB1" w:rsidRDefault="00874916" w:rsidP="00EA28C4">
            <w:pPr>
              <w:jc w:val="center"/>
              <w:rPr>
                <w:sz w:val="18"/>
                <w:szCs w:val="18"/>
              </w:rPr>
            </w:pPr>
            <w:r w:rsidRPr="00102DB1">
              <w:rPr>
                <w:sz w:val="18"/>
                <w:szCs w:val="18"/>
              </w:rPr>
              <w:t>33.71</w:t>
            </w:r>
          </w:p>
        </w:tc>
        <w:tc>
          <w:tcPr>
            <w:tcW w:w="700" w:type="pct"/>
            <w:shd w:val="clear" w:color="auto" w:fill="auto"/>
            <w:noWrap/>
            <w:vAlign w:val="center"/>
            <w:hideMark/>
          </w:tcPr>
          <w:p w14:paraId="38A0A22B" w14:textId="77777777" w:rsidR="00874916" w:rsidRPr="00102DB1" w:rsidRDefault="00874916" w:rsidP="00EA28C4">
            <w:pPr>
              <w:jc w:val="center"/>
              <w:rPr>
                <w:sz w:val="18"/>
                <w:szCs w:val="18"/>
              </w:rPr>
            </w:pPr>
            <w:r w:rsidRPr="00102DB1">
              <w:rPr>
                <w:sz w:val="18"/>
                <w:szCs w:val="18"/>
              </w:rPr>
              <w:t>11.06%</w:t>
            </w:r>
          </w:p>
        </w:tc>
      </w:tr>
      <w:tr w:rsidR="00874916" w:rsidRPr="00102DB1" w14:paraId="15F7E17A" w14:textId="77777777" w:rsidTr="00EA28C4">
        <w:trPr>
          <w:trHeight w:val="630"/>
        </w:trPr>
        <w:tc>
          <w:tcPr>
            <w:tcW w:w="711" w:type="pct"/>
            <w:shd w:val="clear" w:color="auto" w:fill="auto"/>
            <w:vAlign w:val="center"/>
            <w:hideMark/>
          </w:tcPr>
          <w:p w14:paraId="3B889FB1" w14:textId="77777777" w:rsidR="00874916" w:rsidRPr="00102DB1" w:rsidRDefault="00874916" w:rsidP="00EA28C4">
            <w:pPr>
              <w:jc w:val="center"/>
              <w:rPr>
                <w:sz w:val="18"/>
                <w:szCs w:val="18"/>
              </w:rPr>
            </w:pPr>
            <w:r w:rsidRPr="00102DB1">
              <w:rPr>
                <w:sz w:val="18"/>
                <w:szCs w:val="18"/>
              </w:rPr>
              <w:t>Iran, Islamic Republic of</w:t>
            </w:r>
          </w:p>
        </w:tc>
        <w:tc>
          <w:tcPr>
            <w:tcW w:w="1089" w:type="pct"/>
            <w:shd w:val="clear" w:color="auto" w:fill="auto"/>
            <w:vAlign w:val="center"/>
            <w:hideMark/>
          </w:tcPr>
          <w:p w14:paraId="03632970" w14:textId="77777777" w:rsidR="00874916" w:rsidRPr="00102DB1" w:rsidRDefault="00874916" w:rsidP="00EA28C4">
            <w:pPr>
              <w:jc w:val="center"/>
              <w:rPr>
                <w:sz w:val="18"/>
                <w:szCs w:val="18"/>
              </w:rPr>
            </w:pPr>
            <w:r w:rsidRPr="00102DB1">
              <w:rPr>
                <w:sz w:val="18"/>
                <w:szCs w:val="18"/>
              </w:rPr>
              <w:t>30.08</w:t>
            </w:r>
          </w:p>
        </w:tc>
        <w:tc>
          <w:tcPr>
            <w:tcW w:w="700" w:type="pct"/>
            <w:shd w:val="clear" w:color="auto" w:fill="auto"/>
            <w:noWrap/>
            <w:vAlign w:val="center"/>
            <w:hideMark/>
          </w:tcPr>
          <w:p w14:paraId="0E3962E4" w14:textId="77777777" w:rsidR="00874916" w:rsidRPr="00102DB1" w:rsidRDefault="00874916" w:rsidP="00EA28C4">
            <w:pPr>
              <w:jc w:val="center"/>
              <w:rPr>
                <w:sz w:val="18"/>
                <w:szCs w:val="18"/>
              </w:rPr>
            </w:pPr>
            <w:r w:rsidRPr="00102DB1">
              <w:rPr>
                <w:sz w:val="18"/>
                <w:szCs w:val="18"/>
              </w:rPr>
              <w:t>9.25%</w:t>
            </w:r>
          </w:p>
        </w:tc>
        <w:tc>
          <w:tcPr>
            <w:tcW w:w="923" w:type="pct"/>
            <w:shd w:val="clear" w:color="auto" w:fill="auto"/>
            <w:vAlign w:val="center"/>
            <w:hideMark/>
          </w:tcPr>
          <w:p w14:paraId="4A9376F4" w14:textId="77777777" w:rsidR="00874916" w:rsidRPr="00102DB1" w:rsidRDefault="00874916" w:rsidP="00EA28C4">
            <w:pPr>
              <w:jc w:val="center"/>
              <w:rPr>
                <w:sz w:val="18"/>
                <w:szCs w:val="18"/>
              </w:rPr>
            </w:pPr>
            <w:r w:rsidRPr="00102DB1">
              <w:rPr>
                <w:sz w:val="18"/>
                <w:szCs w:val="18"/>
              </w:rPr>
              <w:t>Iraq</w:t>
            </w:r>
          </w:p>
        </w:tc>
        <w:tc>
          <w:tcPr>
            <w:tcW w:w="877" w:type="pct"/>
            <w:shd w:val="clear" w:color="auto" w:fill="auto"/>
            <w:vAlign w:val="center"/>
            <w:hideMark/>
          </w:tcPr>
          <w:p w14:paraId="16475C57" w14:textId="77777777" w:rsidR="00874916" w:rsidRPr="00102DB1" w:rsidRDefault="00874916" w:rsidP="00EA28C4">
            <w:pPr>
              <w:jc w:val="center"/>
              <w:rPr>
                <w:sz w:val="18"/>
                <w:szCs w:val="18"/>
              </w:rPr>
            </w:pPr>
            <w:r w:rsidRPr="00102DB1">
              <w:rPr>
                <w:sz w:val="18"/>
                <w:szCs w:val="18"/>
              </w:rPr>
              <w:t>31.37</w:t>
            </w:r>
          </w:p>
        </w:tc>
        <w:tc>
          <w:tcPr>
            <w:tcW w:w="700" w:type="pct"/>
            <w:shd w:val="clear" w:color="auto" w:fill="auto"/>
            <w:noWrap/>
            <w:vAlign w:val="center"/>
            <w:hideMark/>
          </w:tcPr>
          <w:p w14:paraId="4AAE2615" w14:textId="77777777" w:rsidR="00874916" w:rsidRPr="00102DB1" w:rsidRDefault="00874916" w:rsidP="00EA28C4">
            <w:pPr>
              <w:jc w:val="center"/>
              <w:rPr>
                <w:sz w:val="18"/>
                <w:szCs w:val="18"/>
              </w:rPr>
            </w:pPr>
            <w:r w:rsidRPr="00102DB1">
              <w:rPr>
                <w:sz w:val="18"/>
                <w:szCs w:val="18"/>
              </w:rPr>
              <w:t>10.29%</w:t>
            </w:r>
          </w:p>
        </w:tc>
      </w:tr>
      <w:tr w:rsidR="00874916" w:rsidRPr="00102DB1" w14:paraId="5D056AB7" w14:textId="77777777" w:rsidTr="00EA28C4">
        <w:trPr>
          <w:trHeight w:val="630"/>
        </w:trPr>
        <w:tc>
          <w:tcPr>
            <w:tcW w:w="711" w:type="pct"/>
            <w:shd w:val="clear" w:color="auto" w:fill="auto"/>
            <w:vAlign w:val="center"/>
            <w:hideMark/>
          </w:tcPr>
          <w:p w14:paraId="6191C3BC" w14:textId="77777777" w:rsidR="00874916" w:rsidRPr="00102DB1" w:rsidRDefault="00874916" w:rsidP="00EA28C4">
            <w:pPr>
              <w:jc w:val="center"/>
              <w:rPr>
                <w:sz w:val="18"/>
                <w:szCs w:val="18"/>
              </w:rPr>
            </w:pPr>
            <w:r w:rsidRPr="00102DB1">
              <w:rPr>
                <w:sz w:val="18"/>
                <w:szCs w:val="18"/>
              </w:rPr>
              <w:t>Iraq</w:t>
            </w:r>
          </w:p>
        </w:tc>
        <w:tc>
          <w:tcPr>
            <w:tcW w:w="1089" w:type="pct"/>
            <w:shd w:val="clear" w:color="auto" w:fill="auto"/>
            <w:vAlign w:val="center"/>
            <w:hideMark/>
          </w:tcPr>
          <w:p w14:paraId="300EE8E7" w14:textId="77777777" w:rsidR="00874916" w:rsidRPr="00102DB1" w:rsidRDefault="00874916" w:rsidP="00EA28C4">
            <w:pPr>
              <w:jc w:val="center"/>
              <w:rPr>
                <w:sz w:val="18"/>
                <w:szCs w:val="18"/>
              </w:rPr>
            </w:pPr>
            <w:r w:rsidRPr="00102DB1">
              <w:rPr>
                <w:sz w:val="18"/>
                <w:szCs w:val="18"/>
              </w:rPr>
              <w:t>24.75</w:t>
            </w:r>
          </w:p>
        </w:tc>
        <w:tc>
          <w:tcPr>
            <w:tcW w:w="700" w:type="pct"/>
            <w:shd w:val="clear" w:color="auto" w:fill="auto"/>
            <w:noWrap/>
            <w:vAlign w:val="center"/>
            <w:hideMark/>
          </w:tcPr>
          <w:p w14:paraId="4709A515" w14:textId="77777777" w:rsidR="00874916" w:rsidRPr="00102DB1" w:rsidRDefault="00874916" w:rsidP="00EA28C4">
            <w:pPr>
              <w:jc w:val="center"/>
              <w:rPr>
                <w:sz w:val="18"/>
                <w:szCs w:val="18"/>
              </w:rPr>
            </w:pPr>
            <w:r w:rsidRPr="00102DB1">
              <w:rPr>
                <w:sz w:val="18"/>
                <w:szCs w:val="18"/>
              </w:rPr>
              <w:t>7.61%</w:t>
            </w:r>
          </w:p>
        </w:tc>
        <w:tc>
          <w:tcPr>
            <w:tcW w:w="923" w:type="pct"/>
            <w:shd w:val="clear" w:color="auto" w:fill="auto"/>
            <w:vAlign w:val="center"/>
            <w:hideMark/>
          </w:tcPr>
          <w:p w14:paraId="580EF530" w14:textId="77777777" w:rsidR="00874916" w:rsidRPr="00102DB1" w:rsidRDefault="00874916" w:rsidP="00EA28C4">
            <w:pPr>
              <w:jc w:val="center"/>
              <w:rPr>
                <w:sz w:val="18"/>
                <w:szCs w:val="18"/>
              </w:rPr>
            </w:pPr>
            <w:r w:rsidRPr="00102DB1">
              <w:rPr>
                <w:sz w:val="18"/>
                <w:szCs w:val="18"/>
              </w:rPr>
              <w:t>Iran, Islamic Republic of</w:t>
            </w:r>
          </w:p>
        </w:tc>
        <w:tc>
          <w:tcPr>
            <w:tcW w:w="877" w:type="pct"/>
            <w:shd w:val="clear" w:color="auto" w:fill="auto"/>
            <w:vAlign w:val="center"/>
            <w:hideMark/>
          </w:tcPr>
          <w:p w14:paraId="50E1151E" w14:textId="77777777" w:rsidR="00874916" w:rsidRPr="00102DB1" w:rsidRDefault="00874916" w:rsidP="00EA28C4">
            <w:pPr>
              <w:jc w:val="center"/>
              <w:rPr>
                <w:sz w:val="18"/>
                <w:szCs w:val="18"/>
              </w:rPr>
            </w:pPr>
            <w:r w:rsidRPr="00102DB1">
              <w:rPr>
                <w:sz w:val="18"/>
                <w:szCs w:val="18"/>
              </w:rPr>
              <w:t>30.07</w:t>
            </w:r>
          </w:p>
        </w:tc>
        <w:tc>
          <w:tcPr>
            <w:tcW w:w="700" w:type="pct"/>
            <w:shd w:val="clear" w:color="auto" w:fill="auto"/>
            <w:noWrap/>
            <w:vAlign w:val="center"/>
            <w:hideMark/>
          </w:tcPr>
          <w:p w14:paraId="65F40234" w14:textId="77777777" w:rsidR="00874916" w:rsidRPr="00102DB1" w:rsidRDefault="00874916" w:rsidP="00EA28C4">
            <w:pPr>
              <w:jc w:val="center"/>
              <w:rPr>
                <w:sz w:val="18"/>
                <w:szCs w:val="18"/>
              </w:rPr>
            </w:pPr>
            <w:r w:rsidRPr="00102DB1">
              <w:rPr>
                <w:sz w:val="18"/>
                <w:szCs w:val="18"/>
              </w:rPr>
              <w:t>9.86%</w:t>
            </w:r>
          </w:p>
        </w:tc>
      </w:tr>
      <w:tr w:rsidR="00874916" w:rsidRPr="00102DB1" w14:paraId="5DE8BB71" w14:textId="77777777" w:rsidTr="00EA28C4">
        <w:trPr>
          <w:trHeight w:val="420"/>
        </w:trPr>
        <w:tc>
          <w:tcPr>
            <w:tcW w:w="711" w:type="pct"/>
            <w:shd w:val="clear" w:color="auto" w:fill="auto"/>
            <w:vAlign w:val="center"/>
            <w:hideMark/>
          </w:tcPr>
          <w:p w14:paraId="33DBE8EA" w14:textId="77777777" w:rsidR="00874916" w:rsidRPr="00102DB1" w:rsidRDefault="00874916" w:rsidP="00EA28C4">
            <w:pPr>
              <w:jc w:val="center"/>
              <w:rPr>
                <w:sz w:val="18"/>
                <w:szCs w:val="18"/>
              </w:rPr>
            </w:pPr>
            <w:r w:rsidRPr="00102DB1">
              <w:rPr>
                <w:sz w:val="18"/>
                <w:szCs w:val="18"/>
              </w:rPr>
              <w:t>United Arab Emirates</w:t>
            </w:r>
          </w:p>
        </w:tc>
        <w:tc>
          <w:tcPr>
            <w:tcW w:w="1089" w:type="pct"/>
            <w:shd w:val="clear" w:color="auto" w:fill="auto"/>
            <w:vAlign w:val="center"/>
            <w:hideMark/>
          </w:tcPr>
          <w:p w14:paraId="16832B35" w14:textId="77777777" w:rsidR="00874916" w:rsidRPr="00102DB1" w:rsidRDefault="00874916" w:rsidP="00EA28C4">
            <w:pPr>
              <w:jc w:val="center"/>
              <w:rPr>
                <w:sz w:val="18"/>
                <w:szCs w:val="18"/>
              </w:rPr>
            </w:pPr>
            <w:r w:rsidRPr="00102DB1">
              <w:rPr>
                <w:sz w:val="18"/>
                <w:szCs w:val="18"/>
              </w:rPr>
              <w:t>19.81</w:t>
            </w:r>
          </w:p>
        </w:tc>
        <w:tc>
          <w:tcPr>
            <w:tcW w:w="700" w:type="pct"/>
            <w:shd w:val="clear" w:color="auto" w:fill="auto"/>
            <w:noWrap/>
            <w:vAlign w:val="center"/>
            <w:hideMark/>
          </w:tcPr>
          <w:p w14:paraId="411D4DB2" w14:textId="77777777" w:rsidR="00874916" w:rsidRPr="00102DB1" w:rsidRDefault="00874916" w:rsidP="00EA28C4">
            <w:pPr>
              <w:jc w:val="center"/>
              <w:rPr>
                <w:sz w:val="18"/>
                <w:szCs w:val="18"/>
              </w:rPr>
            </w:pPr>
            <w:r w:rsidRPr="00102DB1">
              <w:rPr>
                <w:sz w:val="18"/>
                <w:szCs w:val="18"/>
              </w:rPr>
              <w:t>6.09%</w:t>
            </w:r>
          </w:p>
        </w:tc>
        <w:tc>
          <w:tcPr>
            <w:tcW w:w="923" w:type="pct"/>
            <w:shd w:val="clear" w:color="auto" w:fill="auto"/>
            <w:vAlign w:val="center"/>
            <w:hideMark/>
          </w:tcPr>
          <w:p w14:paraId="1C3A7D68" w14:textId="77777777" w:rsidR="00874916" w:rsidRPr="00102DB1" w:rsidRDefault="00874916" w:rsidP="00EA28C4">
            <w:pPr>
              <w:jc w:val="center"/>
              <w:rPr>
                <w:sz w:val="18"/>
                <w:szCs w:val="18"/>
              </w:rPr>
            </w:pPr>
            <w:r w:rsidRPr="00102DB1">
              <w:rPr>
                <w:sz w:val="18"/>
                <w:szCs w:val="18"/>
              </w:rPr>
              <w:t>United Arab Emirates</w:t>
            </w:r>
          </w:p>
        </w:tc>
        <w:tc>
          <w:tcPr>
            <w:tcW w:w="877" w:type="pct"/>
            <w:shd w:val="clear" w:color="auto" w:fill="auto"/>
            <w:vAlign w:val="center"/>
            <w:hideMark/>
          </w:tcPr>
          <w:p w14:paraId="0AE9CD29" w14:textId="77777777" w:rsidR="00874916" w:rsidRPr="00102DB1" w:rsidRDefault="00874916" w:rsidP="00EA28C4">
            <w:pPr>
              <w:jc w:val="center"/>
              <w:rPr>
                <w:sz w:val="18"/>
                <w:szCs w:val="18"/>
              </w:rPr>
            </w:pPr>
            <w:r w:rsidRPr="00102DB1">
              <w:rPr>
                <w:sz w:val="18"/>
                <w:szCs w:val="18"/>
              </w:rPr>
              <w:t>23.44</w:t>
            </w:r>
          </w:p>
        </w:tc>
        <w:tc>
          <w:tcPr>
            <w:tcW w:w="700" w:type="pct"/>
            <w:shd w:val="clear" w:color="auto" w:fill="auto"/>
            <w:noWrap/>
            <w:vAlign w:val="center"/>
            <w:hideMark/>
          </w:tcPr>
          <w:p w14:paraId="46705138" w14:textId="77777777" w:rsidR="00874916" w:rsidRPr="00102DB1" w:rsidRDefault="00874916" w:rsidP="00EA28C4">
            <w:pPr>
              <w:jc w:val="center"/>
              <w:rPr>
                <w:sz w:val="18"/>
                <w:szCs w:val="18"/>
              </w:rPr>
            </w:pPr>
            <w:r w:rsidRPr="00102DB1">
              <w:rPr>
                <w:sz w:val="18"/>
                <w:szCs w:val="18"/>
              </w:rPr>
              <w:t>7.69%</w:t>
            </w:r>
          </w:p>
        </w:tc>
      </w:tr>
      <w:tr w:rsidR="00874916" w:rsidRPr="00102DB1" w14:paraId="1CEF9DC8" w14:textId="77777777" w:rsidTr="00EA28C4">
        <w:trPr>
          <w:trHeight w:val="420"/>
        </w:trPr>
        <w:tc>
          <w:tcPr>
            <w:tcW w:w="711" w:type="pct"/>
            <w:shd w:val="clear" w:color="auto" w:fill="auto"/>
            <w:vAlign w:val="center"/>
            <w:hideMark/>
          </w:tcPr>
          <w:p w14:paraId="446BBFAF" w14:textId="77777777" w:rsidR="00874916" w:rsidRPr="00102DB1" w:rsidRDefault="00874916" w:rsidP="00EA28C4">
            <w:pPr>
              <w:jc w:val="center"/>
              <w:rPr>
                <w:sz w:val="18"/>
                <w:szCs w:val="18"/>
              </w:rPr>
            </w:pPr>
            <w:r w:rsidRPr="00102DB1">
              <w:rPr>
                <w:sz w:val="18"/>
                <w:szCs w:val="18"/>
              </w:rPr>
              <w:t>Syrian Arab Republic</w:t>
            </w:r>
          </w:p>
        </w:tc>
        <w:tc>
          <w:tcPr>
            <w:tcW w:w="1089" w:type="pct"/>
            <w:shd w:val="clear" w:color="auto" w:fill="auto"/>
            <w:vAlign w:val="center"/>
            <w:hideMark/>
          </w:tcPr>
          <w:p w14:paraId="74A56A0C" w14:textId="77777777" w:rsidR="00874916" w:rsidRPr="00102DB1" w:rsidRDefault="00874916" w:rsidP="00EA28C4">
            <w:pPr>
              <w:jc w:val="center"/>
              <w:rPr>
                <w:sz w:val="18"/>
                <w:szCs w:val="18"/>
              </w:rPr>
            </w:pPr>
            <w:r w:rsidRPr="00102DB1">
              <w:rPr>
                <w:sz w:val="18"/>
                <w:szCs w:val="18"/>
              </w:rPr>
              <w:t>12.92</w:t>
            </w:r>
          </w:p>
        </w:tc>
        <w:tc>
          <w:tcPr>
            <w:tcW w:w="700" w:type="pct"/>
            <w:shd w:val="clear" w:color="auto" w:fill="auto"/>
            <w:noWrap/>
            <w:vAlign w:val="center"/>
            <w:hideMark/>
          </w:tcPr>
          <w:p w14:paraId="08E24786" w14:textId="77777777" w:rsidR="00874916" w:rsidRPr="00102DB1" w:rsidRDefault="00874916" w:rsidP="00EA28C4">
            <w:pPr>
              <w:jc w:val="center"/>
              <w:rPr>
                <w:sz w:val="18"/>
                <w:szCs w:val="18"/>
              </w:rPr>
            </w:pPr>
            <w:r w:rsidRPr="00102DB1">
              <w:rPr>
                <w:sz w:val="18"/>
                <w:szCs w:val="18"/>
              </w:rPr>
              <w:t>3.97%</w:t>
            </w:r>
          </w:p>
        </w:tc>
        <w:tc>
          <w:tcPr>
            <w:tcW w:w="923" w:type="pct"/>
            <w:shd w:val="clear" w:color="auto" w:fill="auto"/>
            <w:vAlign w:val="center"/>
            <w:hideMark/>
          </w:tcPr>
          <w:p w14:paraId="6BDE8837" w14:textId="77777777" w:rsidR="00874916" w:rsidRPr="00102DB1" w:rsidRDefault="00874916" w:rsidP="00EA28C4">
            <w:pPr>
              <w:jc w:val="center"/>
              <w:rPr>
                <w:sz w:val="18"/>
                <w:szCs w:val="18"/>
              </w:rPr>
            </w:pPr>
            <w:r w:rsidRPr="00102DB1">
              <w:rPr>
                <w:sz w:val="18"/>
                <w:szCs w:val="18"/>
              </w:rPr>
              <w:t>Azerbaijan</w:t>
            </w:r>
          </w:p>
        </w:tc>
        <w:tc>
          <w:tcPr>
            <w:tcW w:w="877" w:type="pct"/>
            <w:shd w:val="clear" w:color="auto" w:fill="auto"/>
            <w:vAlign w:val="center"/>
            <w:hideMark/>
          </w:tcPr>
          <w:p w14:paraId="531C8A15" w14:textId="77777777" w:rsidR="00874916" w:rsidRPr="00102DB1" w:rsidRDefault="00874916" w:rsidP="00EA28C4">
            <w:pPr>
              <w:jc w:val="center"/>
              <w:rPr>
                <w:sz w:val="18"/>
                <w:szCs w:val="18"/>
              </w:rPr>
            </w:pPr>
            <w:r w:rsidRPr="00102DB1">
              <w:rPr>
                <w:sz w:val="18"/>
                <w:szCs w:val="18"/>
              </w:rPr>
              <w:t>11.18</w:t>
            </w:r>
          </w:p>
        </w:tc>
        <w:tc>
          <w:tcPr>
            <w:tcW w:w="700" w:type="pct"/>
            <w:shd w:val="clear" w:color="auto" w:fill="auto"/>
            <w:noWrap/>
            <w:vAlign w:val="center"/>
            <w:hideMark/>
          </w:tcPr>
          <w:p w14:paraId="08EA3B3F" w14:textId="77777777" w:rsidR="00874916" w:rsidRPr="00102DB1" w:rsidRDefault="00874916" w:rsidP="00EA28C4">
            <w:pPr>
              <w:jc w:val="center"/>
              <w:rPr>
                <w:sz w:val="18"/>
                <w:szCs w:val="18"/>
              </w:rPr>
            </w:pPr>
            <w:r w:rsidRPr="00102DB1">
              <w:rPr>
                <w:sz w:val="18"/>
                <w:szCs w:val="18"/>
              </w:rPr>
              <w:t>3.67%</w:t>
            </w:r>
          </w:p>
        </w:tc>
      </w:tr>
      <w:tr w:rsidR="00874916" w:rsidRPr="00102DB1" w14:paraId="7D13DB58" w14:textId="77777777" w:rsidTr="00EA28C4">
        <w:trPr>
          <w:trHeight w:val="420"/>
        </w:trPr>
        <w:tc>
          <w:tcPr>
            <w:tcW w:w="711" w:type="pct"/>
            <w:shd w:val="clear" w:color="auto" w:fill="auto"/>
            <w:vAlign w:val="center"/>
            <w:hideMark/>
          </w:tcPr>
          <w:p w14:paraId="2F84B67B" w14:textId="77777777" w:rsidR="00874916" w:rsidRPr="00102DB1" w:rsidRDefault="00874916" w:rsidP="00EA28C4">
            <w:pPr>
              <w:jc w:val="center"/>
              <w:rPr>
                <w:sz w:val="18"/>
                <w:szCs w:val="18"/>
              </w:rPr>
            </w:pPr>
            <w:r w:rsidRPr="00102DB1">
              <w:rPr>
                <w:sz w:val="18"/>
                <w:szCs w:val="18"/>
              </w:rPr>
              <w:t>Libya, State of</w:t>
            </w:r>
          </w:p>
        </w:tc>
        <w:tc>
          <w:tcPr>
            <w:tcW w:w="1089" w:type="pct"/>
            <w:shd w:val="clear" w:color="auto" w:fill="auto"/>
            <w:vAlign w:val="center"/>
            <w:hideMark/>
          </w:tcPr>
          <w:p w14:paraId="115968B3" w14:textId="77777777" w:rsidR="00874916" w:rsidRPr="00102DB1" w:rsidRDefault="00874916" w:rsidP="00EA28C4">
            <w:pPr>
              <w:jc w:val="center"/>
              <w:rPr>
                <w:sz w:val="18"/>
                <w:szCs w:val="18"/>
              </w:rPr>
            </w:pPr>
            <w:r w:rsidRPr="00102DB1">
              <w:rPr>
                <w:sz w:val="18"/>
                <w:szCs w:val="18"/>
              </w:rPr>
              <w:t>12.65</w:t>
            </w:r>
          </w:p>
        </w:tc>
        <w:tc>
          <w:tcPr>
            <w:tcW w:w="700" w:type="pct"/>
            <w:shd w:val="clear" w:color="auto" w:fill="auto"/>
            <w:noWrap/>
            <w:vAlign w:val="center"/>
            <w:hideMark/>
          </w:tcPr>
          <w:p w14:paraId="2E12509A" w14:textId="77777777" w:rsidR="00874916" w:rsidRPr="00102DB1" w:rsidRDefault="00874916" w:rsidP="00EA28C4">
            <w:pPr>
              <w:jc w:val="center"/>
              <w:rPr>
                <w:sz w:val="18"/>
                <w:szCs w:val="18"/>
              </w:rPr>
            </w:pPr>
            <w:r w:rsidRPr="00102DB1">
              <w:rPr>
                <w:sz w:val="18"/>
                <w:szCs w:val="18"/>
              </w:rPr>
              <w:t>3.89%</w:t>
            </w:r>
          </w:p>
        </w:tc>
        <w:tc>
          <w:tcPr>
            <w:tcW w:w="923" w:type="pct"/>
            <w:shd w:val="clear" w:color="auto" w:fill="auto"/>
            <w:vAlign w:val="center"/>
            <w:hideMark/>
          </w:tcPr>
          <w:p w14:paraId="0FAAF8EB" w14:textId="77777777" w:rsidR="00874916" w:rsidRPr="00102DB1" w:rsidRDefault="00874916" w:rsidP="00EA28C4">
            <w:pPr>
              <w:jc w:val="center"/>
              <w:rPr>
                <w:sz w:val="18"/>
                <w:szCs w:val="18"/>
              </w:rPr>
            </w:pPr>
            <w:r w:rsidRPr="00102DB1">
              <w:rPr>
                <w:sz w:val="18"/>
                <w:szCs w:val="18"/>
              </w:rPr>
              <w:t>Syrian Arab Republic</w:t>
            </w:r>
          </w:p>
        </w:tc>
        <w:tc>
          <w:tcPr>
            <w:tcW w:w="877" w:type="pct"/>
            <w:shd w:val="clear" w:color="auto" w:fill="auto"/>
            <w:vAlign w:val="center"/>
            <w:hideMark/>
          </w:tcPr>
          <w:p w14:paraId="2D1C0219" w14:textId="77777777" w:rsidR="00874916" w:rsidRPr="00102DB1" w:rsidRDefault="00874916" w:rsidP="00EA28C4">
            <w:pPr>
              <w:jc w:val="center"/>
              <w:rPr>
                <w:sz w:val="18"/>
                <w:szCs w:val="18"/>
              </w:rPr>
            </w:pPr>
            <w:r w:rsidRPr="00102DB1">
              <w:rPr>
                <w:sz w:val="18"/>
                <w:szCs w:val="18"/>
              </w:rPr>
              <w:t>11.09</w:t>
            </w:r>
          </w:p>
        </w:tc>
        <w:tc>
          <w:tcPr>
            <w:tcW w:w="700" w:type="pct"/>
            <w:shd w:val="clear" w:color="auto" w:fill="auto"/>
            <w:noWrap/>
            <w:vAlign w:val="center"/>
            <w:hideMark/>
          </w:tcPr>
          <w:p w14:paraId="268951CD" w14:textId="77777777" w:rsidR="00874916" w:rsidRPr="00102DB1" w:rsidRDefault="00874916" w:rsidP="00EA28C4">
            <w:pPr>
              <w:jc w:val="center"/>
              <w:rPr>
                <w:sz w:val="18"/>
                <w:szCs w:val="18"/>
              </w:rPr>
            </w:pPr>
            <w:r w:rsidRPr="00102DB1">
              <w:rPr>
                <w:sz w:val="18"/>
                <w:szCs w:val="18"/>
              </w:rPr>
              <w:t>3.64%</w:t>
            </w:r>
          </w:p>
        </w:tc>
      </w:tr>
      <w:tr w:rsidR="00874916" w:rsidRPr="00102DB1" w14:paraId="1A66F110" w14:textId="77777777" w:rsidTr="00EA28C4">
        <w:trPr>
          <w:trHeight w:val="420"/>
        </w:trPr>
        <w:tc>
          <w:tcPr>
            <w:tcW w:w="711" w:type="pct"/>
            <w:shd w:val="clear" w:color="auto" w:fill="auto"/>
            <w:vAlign w:val="center"/>
            <w:hideMark/>
          </w:tcPr>
          <w:p w14:paraId="7DD2AFCF" w14:textId="77777777" w:rsidR="00874916" w:rsidRPr="00102DB1" w:rsidRDefault="00874916" w:rsidP="00EA28C4">
            <w:pPr>
              <w:jc w:val="center"/>
              <w:rPr>
                <w:sz w:val="18"/>
                <w:szCs w:val="18"/>
              </w:rPr>
            </w:pPr>
            <w:r w:rsidRPr="00102DB1">
              <w:rPr>
                <w:sz w:val="18"/>
                <w:szCs w:val="18"/>
              </w:rPr>
              <w:t>Kuwait</w:t>
            </w:r>
          </w:p>
        </w:tc>
        <w:tc>
          <w:tcPr>
            <w:tcW w:w="1089" w:type="pct"/>
            <w:shd w:val="clear" w:color="auto" w:fill="auto"/>
            <w:vAlign w:val="center"/>
            <w:hideMark/>
          </w:tcPr>
          <w:p w14:paraId="16AF8752" w14:textId="77777777" w:rsidR="00874916" w:rsidRPr="00102DB1" w:rsidRDefault="00874916" w:rsidP="00EA28C4">
            <w:pPr>
              <w:jc w:val="center"/>
              <w:rPr>
                <w:sz w:val="18"/>
                <w:szCs w:val="18"/>
              </w:rPr>
            </w:pPr>
            <w:r w:rsidRPr="00102DB1">
              <w:rPr>
                <w:sz w:val="18"/>
                <w:szCs w:val="18"/>
              </w:rPr>
              <w:t>12.22</w:t>
            </w:r>
          </w:p>
        </w:tc>
        <w:tc>
          <w:tcPr>
            <w:tcW w:w="700" w:type="pct"/>
            <w:shd w:val="clear" w:color="auto" w:fill="auto"/>
            <w:noWrap/>
            <w:vAlign w:val="center"/>
            <w:hideMark/>
          </w:tcPr>
          <w:p w14:paraId="66E716A6" w14:textId="77777777" w:rsidR="00874916" w:rsidRPr="00102DB1" w:rsidRDefault="00874916" w:rsidP="00EA28C4">
            <w:pPr>
              <w:jc w:val="center"/>
              <w:rPr>
                <w:sz w:val="18"/>
                <w:szCs w:val="18"/>
              </w:rPr>
            </w:pPr>
            <w:r w:rsidRPr="00102DB1">
              <w:rPr>
                <w:sz w:val="18"/>
                <w:szCs w:val="18"/>
              </w:rPr>
              <w:t>3.76%</w:t>
            </w:r>
          </w:p>
        </w:tc>
        <w:tc>
          <w:tcPr>
            <w:tcW w:w="923" w:type="pct"/>
            <w:shd w:val="clear" w:color="auto" w:fill="auto"/>
            <w:vAlign w:val="center"/>
            <w:hideMark/>
          </w:tcPr>
          <w:p w14:paraId="4A5CD18B" w14:textId="77777777" w:rsidR="00874916" w:rsidRPr="00102DB1" w:rsidRDefault="00874916" w:rsidP="00EA28C4">
            <w:pPr>
              <w:jc w:val="center"/>
              <w:rPr>
                <w:sz w:val="18"/>
                <w:szCs w:val="18"/>
              </w:rPr>
            </w:pPr>
            <w:r w:rsidRPr="00102DB1">
              <w:rPr>
                <w:sz w:val="18"/>
                <w:szCs w:val="18"/>
              </w:rPr>
              <w:t>Libya, State of</w:t>
            </w:r>
          </w:p>
        </w:tc>
        <w:tc>
          <w:tcPr>
            <w:tcW w:w="877" w:type="pct"/>
            <w:shd w:val="clear" w:color="auto" w:fill="auto"/>
            <w:vAlign w:val="center"/>
            <w:hideMark/>
          </w:tcPr>
          <w:p w14:paraId="65DFA945" w14:textId="77777777" w:rsidR="00874916" w:rsidRPr="00102DB1" w:rsidRDefault="00874916" w:rsidP="00EA28C4">
            <w:pPr>
              <w:jc w:val="center"/>
              <w:rPr>
                <w:sz w:val="18"/>
                <w:szCs w:val="18"/>
              </w:rPr>
            </w:pPr>
            <w:r w:rsidRPr="00102DB1">
              <w:rPr>
                <w:sz w:val="18"/>
                <w:szCs w:val="18"/>
              </w:rPr>
              <w:t>9.98</w:t>
            </w:r>
          </w:p>
        </w:tc>
        <w:tc>
          <w:tcPr>
            <w:tcW w:w="700" w:type="pct"/>
            <w:shd w:val="clear" w:color="auto" w:fill="auto"/>
            <w:noWrap/>
            <w:vAlign w:val="center"/>
            <w:hideMark/>
          </w:tcPr>
          <w:p w14:paraId="506DABDC" w14:textId="77777777" w:rsidR="00874916" w:rsidRPr="00102DB1" w:rsidRDefault="00874916" w:rsidP="00EA28C4">
            <w:pPr>
              <w:jc w:val="center"/>
              <w:rPr>
                <w:sz w:val="18"/>
                <w:szCs w:val="18"/>
              </w:rPr>
            </w:pPr>
            <w:r w:rsidRPr="00102DB1">
              <w:rPr>
                <w:sz w:val="18"/>
                <w:szCs w:val="18"/>
              </w:rPr>
              <w:t>3.28%</w:t>
            </w:r>
          </w:p>
        </w:tc>
      </w:tr>
      <w:tr w:rsidR="00874916" w:rsidRPr="00102DB1" w14:paraId="18108556" w14:textId="77777777" w:rsidTr="00EA28C4">
        <w:trPr>
          <w:trHeight w:val="270"/>
        </w:trPr>
        <w:tc>
          <w:tcPr>
            <w:tcW w:w="711" w:type="pct"/>
            <w:shd w:val="clear" w:color="auto" w:fill="auto"/>
            <w:vAlign w:val="center"/>
            <w:hideMark/>
          </w:tcPr>
          <w:p w14:paraId="7A3AB9FE" w14:textId="77777777" w:rsidR="00874916" w:rsidRPr="00102DB1" w:rsidRDefault="00874916" w:rsidP="00EA28C4">
            <w:pPr>
              <w:jc w:val="center"/>
              <w:rPr>
                <w:sz w:val="18"/>
                <w:szCs w:val="18"/>
              </w:rPr>
            </w:pPr>
            <w:r w:rsidRPr="00102DB1">
              <w:rPr>
                <w:sz w:val="18"/>
                <w:szCs w:val="18"/>
              </w:rPr>
              <w:t>Azerbaijan</w:t>
            </w:r>
          </w:p>
        </w:tc>
        <w:tc>
          <w:tcPr>
            <w:tcW w:w="1089" w:type="pct"/>
            <w:shd w:val="clear" w:color="auto" w:fill="auto"/>
            <w:vAlign w:val="center"/>
            <w:hideMark/>
          </w:tcPr>
          <w:p w14:paraId="39FE348B" w14:textId="77777777" w:rsidR="00874916" w:rsidRPr="00102DB1" w:rsidRDefault="00874916" w:rsidP="00EA28C4">
            <w:pPr>
              <w:jc w:val="center"/>
              <w:rPr>
                <w:sz w:val="18"/>
                <w:szCs w:val="18"/>
              </w:rPr>
            </w:pPr>
            <w:r w:rsidRPr="00102DB1">
              <w:rPr>
                <w:sz w:val="18"/>
                <w:szCs w:val="18"/>
              </w:rPr>
              <w:t>11.16</w:t>
            </w:r>
          </w:p>
        </w:tc>
        <w:tc>
          <w:tcPr>
            <w:tcW w:w="700" w:type="pct"/>
            <w:shd w:val="clear" w:color="auto" w:fill="auto"/>
            <w:noWrap/>
            <w:vAlign w:val="center"/>
            <w:hideMark/>
          </w:tcPr>
          <w:p w14:paraId="6832884B" w14:textId="77777777" w:rsidR="00874916" w:rsidRPr="00102DB1" w:rsidRDefault="00874916" w:rsidP="00EA28C4">
            <w:pPr>
              <w:jc w:val="center"/>
              <w:rPr>
                <w:sz w:val="18"/>
                <w:szCs w:val="18"/>
              </w:rPr>
            </w:pPr>
            <w:r w:rsidRPr="00102DB1">
              <w:rPr>
                <w:sz w:val="18"/>
                <w:szCs w:val="18"/>
              </w:rPr>
              <w:t>3.43%</w:t>
            </w:r>
          </w:p>
        </w:tc>
        <w:tc>
          <w:tcPr>
            <w:tcW w:w="923" w:type="pct"/>
            <w:shd w:val="clear" w:color="auto" w:fill="auto"/>
            <w:vAlign w:val="center"/>
            <w:hideMark/>
          </w:tcPr>
          <w:p w14:paraId="75A3903E" w14:textId="77777777" w:rsidR="00874916" w:rsidRPr="00102DB1" w:rsidRDefault="00874916" w:rsidP="00EA28C4">
            <w:pPr>
              <w:jc w:val="center"/>
              <w:rPr>
                <w:sz w:val="18"/>
                <w:szCs w:val="18"/>
              </w:rPr>
            </w:pPr>
            <w:r w:rsidRPr="00102DB1">
              <w:rPr>
                <w:sz w:val="18"/>
                <w:szCs w:val="18"/>
              </w:rPr>
              <w:t>Kuwait</w:t>
            </w:r>
          </w:p>
        </w:tc>
        <w:tc>
          <w:tcPr>
            <w:tcW w:w="877" w:type="pct"/>
            <w:shd w:val="clear" w:color="auto" w:fill="auto"/>
            <w:vAlign w:val="center"/>
            <w:hideMark/>
          </w:tcPr>
          <w:p w14:paraId="1EE1830D" w14:textId="77777777" w:rsidR="00874916" w:rsidRPr="00102DB1" w:rsidRDefault="00874916" w:rsidP="00EA28C4">
            <w:pPr>
              <w:jc w:val="center"/>
              <w:rPr>
                <w:sz w:val="18"/>
                <w:szCs w:val="18"/>
              </w:rPr>
            </w:pPr>
            <w:r w:rsidRPr="00102DB1">
              <w:rPr>
                <w:sz w:val="18"/>
                <w:szCs w:val="18"/>
              </w:rPr>
              <w:t>8.73</w:t>
            </w:r>
          </w:p>
        </w:tc>
        <w:tc>
          <w:tcPr>
            <w:tcW w:w="700" w:type="pct"/>
            <w:shd w:val="clear" w:color="auto" w:fill="auto"/>
            <w:noWrap/>
            <w:vAlign w:val="center"/>
            <w:hideMark/>
          </w:tcPr>
          <w:p w14:paraId="4C6D4C2F" w14:textId="77777777" w:rsidR="00874916" w:rsidRPr="00102DB1" w:rsidRDefault="00874916" w:rsidP="00EA28C4">
            <w:pPr>
              <w:jc w:val="center"/>
              <w:rPr>
                <w:sz w:val="18"/>
                <w:szCs w:val="18"/>
              </w:rPr>
            </w:pPr>
            <w:r w:rsidRPr="00102DB1">
              <w:rPr>
                <w:sz w:val="18"/>
                <w:szCs w:val="18"/>
              </w:rPr>
              <w:t>2.86%</w:t>
            </w:r>
          </w:p>
        </w:tc>
      </w:tr>
      <w:tr w:rsidR="00874916" w:rsidRPr="00102DB1" w14:paraId="26B2B103" w14:textId="77777777" w:rsidTr="00EA28C4">
        <w:trPr>
          <w:trHeight w:val="270"/>
        </w:trPr>
        <w:tc>
          <w:tcPr>
            <w:tcW w:w="711" w:type="pct"/>
            <w:tcBorders>
              <w:bottom w:val="single" w:sz="4" w:space="0" w:color="auto"/>
            </w:tcBorders>
            <w:shd w:val="clear" w:color="auto" w:fill="auto"/>
            <w:vAlign w:val="center"/>
            <w:hideMark/>
          </w:tcPr>
          <w:p w14:paraId="4CD7FB0D" w14:textId="77777777" w:rsidR="00874916" w:rsidRPr="00102DB1" w:rsidRDefault="00874916" w:rsidP="00EA28C4">
            <w:pPr>
              <w:jc w:val="center"/>
              <w:rPr>
                <w:sz w:val="18"/>
                <w:szCs w:val="18"/>
              </w:rPr>
            </w:pPr>
            <w:r w:rsidRPr="00102DB1">
              <w:rPr>
                <w:sz w:val="18"/>
                <w:szCs w:val="18"/>
              </w:rPr>
              <w:t>Japan</w:t>
            </w:r>
          </w:p>
        </w:tc>
        <w:tc>
          <w:tcPr>
            <w:tcW w:w="1089" w:type="pct"/>
            <w:tcBorders>
              <w:bottom w:val="single" w:sz="4" w:space="0" w:color="auto"/>
            </w:tcBorders>
            <w:shd w:val="clear" w:color="auto" w:fill="auto"/>
            <w:vAlign w:val="center"/>
            <w:hideMark/>
          </w:tcPr>
          <w:p w14:paraId="14C6EE27" w14:textId="77777777" w:rsidR="00874916" w:rsidRPr="00102DB1" w:rsidRDefault="00874916" w:rsidP="00EA28C4">
            <w:pPr>
              <w:jc w:val="center"/>
              <w:rPr>
                <w:sz w:val="18"/>
                <w:szCs w:val="18"/>
              </w:rPr>
            </w:pPr>
            <w:r w:rsidRPr="00102DB1">
              <w:rPr>
                <w:sz w:val="18"/>
                <w:szCs w:val="18"/>
              </w:rPr>
              <w:t>9.11</w:t>
            </w:r>
          </w:p>
        </w:tc>
        <w:tc>
          <w:tcPr>
            <w:tcW w:w="700" w:type="pct"/>
            <w:tcBorders>
              <w:bottom w:val="single" w:sz="4" w:space="0" w:color="auto"/>
            </w:tcBorders>
            <w:shd w:val="clear" w:color="auto" w:fill="auto"/>
            <w:noWrap/>
            <w:vAlign w:val="center"/>
            <w:hideMark/>
          </w:tcPr>
          <w:p w14:paraId="2EAB0C23" w14:textId="77777777" w:rsidR="00874916" w:rsidRPr="00102DB1" w:rsidRDefault="00874916" w:rsidP="00EA28C4">
            <w:pPr>
              <w:jc w:val="center"/>
              <w:rPr>
                <w:sz w:val="18"/>
                <w:szCs w:val="18"/>
              </w:rPr>
            </w:pPr>
            <w:r w:rsidRPr="00102DB1">
              <w:rPr>
                <w:sz w:val="18"/>
                <w:szCs w:val="18"/>
              </w:rPr>
              <w:t>2.80%</w:t>
            </w:r>
          </w:p>
        </w:tc>
        <w:tc>
          <w:tcPr>
            <w:tcW w:w="923" w:type="pct"/>
            <w:tcBorders>
              <w:bottom w:val="single" w:sz="4" w:space="0" w:color="auto"/>
            </w:tcBorders>
            <w:shd w:val="clear" w:color="auto" w:fill="auto"/>
            <w:vAlign w:val="center"/>
            <w:hideMark/>
          </w:tcPr>
          <w:p w14:paraId="72FD5681" w14:textId="77777777" w:rsidR="00874916" w:rsidRPr="00102DB1" w:rsidRDefault="00874916" w:rsidP="00EA28C4">
            <w:pPr>
              <w:jc w:val="center"/>
              <w:rPr>
                <w:sz w:val="18"/>
                <w:szCs w:val="18"/>
              </w:rPr>
            </w:pPr>
            <w:r w:rsidRPr="00102DB1">
              <w:rPr>
                <w:sz w:val="18"/>
                <w:szCs w:val="18"/>
              </w:rPr>
              <w:t>Japan</w:t>
            </w:r>
          </w:p>
        </w:tc>
        <w:tc>
          <w:tcPr>
            <w:tcW w:w="877" w:type="pct"/>
            <w:tcBorders>
              <w:bottom w:val="single" w:sz="4" w:space="0" w:color="auto"/>
            </w:tcBorders>
            <w:shd w:val="clear" w:color="auto" w:fill="auto"/>
            <w:vAlign w:val="center"/>
            <w:hideMark/>
          </w:tcPr>
          <w:p w14:paraId="7BEC911D" w14:textId="77777777" w:rsidR="00874916" w:rsidRPr="00102DB1" w:rsidRDefault="00874916" w:rsidP="00EA28C4">
            <w:pPr>
              <w:jc w:val="center"/>
              <w:rPr>
                <w:sz w:val="18"/>
                <w:szCs w:val="18"/>
              </w:rPr>
            </w:pPr>
            <w:r w:rsidRPr="00102DB1">
              <w:rPr>
                <w:sz w:val="18"/>
                <w:szCs w:val="18"/>
              </w:rPr>
              <w:t>8.46</w:t>
            </w:r>
          </w:p>
        </w:tc>
        <w:tc>
          <w:tcPr>
            <w:tcW w:w="700" w:type="pct"/>
            <w:tcBorders>
              <w:bottom w:val="single" w:sz="4" w:space="0" w:color="auto"/>
            </w:tcBorders>
            <w:shd w:val="clear" w:color="auto" w:fill="auto"/>
            <w:noWrap/>
            <w:vAlign w:val="center"/>
            <w:hideMark/>
          </w:tcPr>
          <w:p w14:paraId="3D880849" w14:textId="77777777" w:rsidR="00874916" w:rsidRPr="00102DB1" w:rsidRDefault="00874916" w:rsidP="00EA28C4">
            <w:pPr>
              <w:jc w:val="center"/>
              <w:rPr>
                <w:sz w:val="18"/>
                <w:szCs w:val="18"/>
              </w:rPr>
            </w:pPr>
            <w:r w:rsidRPr="00102DB1">
              <w:rPr>
                <w:sz w:val="18"/>
                <w:szCs w:val="18"/>
              </w:rPr>
              <w:t>2.78%</w:t>
            </w:r>
          </w:p>
        </w:tc>
      </w:tr>
      <w:tr w:rsidR="00874916" w:rsidRPr="00102DB1" w14:paraId="4E890A69" w14:textId="77777777" w:rsidTr="00EA28C4">
        <w:trPr>
          <w:trHeight w:val="270"/>
        </w:trPr>
        <w:tc>
          <w:tcPr>
            <w:tcW w:w="711" w:type="pct"/>
            <w:tcBorders>
              <w:top w:val="single" w:sz="4" w:space="0" w:color="auto"/>
              <w:bottom w:val="nil"/>
            </w:tcBorders>
            <w:shd w:val="clear" w:color="auto" w:fill="auto"/>
            <w:vAlign w:val="center"/>
            <w:hideMark/>
          </w:tcPr>
          <w:p w14:paraId="303D876C" w14:textId="77777777" w:rsidR="00874916" w:rsidRPr="00102DB1" w:rsidRDefault="00874916" w:rsidP="00EA28C4">
            <w:pPr>
              <w:jc w:val="center"/>
              <w:rPr>
                <w:sz w:val="18"/>
                <w:szCs w:val="18"/>
              </w:rPr>
            </w:pPr>
            <w:r w:rsidRPr="00102DB1">
              <w:rPr>
                <w:sz w:val="18"/>
                <w:szCs w:val="18"/>
              </w:rPr>
              <w:t>World</w:t>
            </w:r>
          </w:p>
        </w:tc>
        <w:tc>
          <w:tcPr>
            <w:tcW w:w="1089" w:type="pct"/>
            <w:tcBorders>
              <w:top w:val="single" w:sz="4" w:space="0" w:color="auto"/>
              <w:bottom w:val="nil"/>
            </w:tcBorders>
            <w:shd w:val="clear" w:color="auto" w:fill="auto"/>
            <w:vAlign w:val="center"/>
            <w:hideMark/>
          </w:tcPr>
          <w:p w14:paraId="43811114" w14:textId="77777777" w:rsidR="00874916" w:rsidRPr="00102DB1" w:rsidRDefault="00874916" w:rsidP="00EA28C4">
            <w:pPr>
              <w:jc w:val="center"/>
              <w:rPr>
                <w:sz w:val="18"/>
                <w:szCs w:val="18"/>
              </w:rPr>
            </w:pPr>
            <w:r w:rsidRPr="002C524B">
              <w:rPr>
                <w:sz w:val="18"/>
                <w:szCs w:val="18"/>
              </w:rPr>
              <w:t>325.14</w:t>
            </w:r>
          </w:p>
        </w:tc>
        <w:tc>
          <w:tcPr>
            <w:tcW w:w="700" w:type="pct"/>
            <w:tcBorders>
              <w:top w:val="single" w:sz="4" w:space="0" w:color="auto"/>
              <w:bottom w:val="nil"/>
            </w:tcBorders>
            <w:shd w:val="clear" w:color="auto" w:fill="auto"/>
            <w:noWrap/>
            <w:vAlign w:val="center"/>
            <w:hideMark/>
          </w:tcPr>
          <w:p w14:paraId="4978F3BF" w14:textId="77777777" w:rsidR="00874916" w:rsidRPr="00102DB1" w:rsidRDefault="00874916" w:rsidP="00EA28C4">
            <w:pPr>
              <w:jc w:val="center"/>
              <w:rPr>
                <w:color w:val="000000"/>
                <w:sz w:val="18"/>
                <w:szCs w:val="18"/>
              </w:rPr>
            </w:pPr>
            <w:r w:rsidRPr="002C524B">
              <w:rPr>
                <w:color w:val="000000"/>
                <w:sz w:val="18"/>
                <w:szCs w:val="18"/>
              </w:rPr>
              <w:t>—</w:t>
            </w:r>
          </w:p>
        </w:tc>
        <w:tc>
          <w:tcPr>
            <w:tcW w:w="923" w:type="pct"/>
            <w:tcBorders>
              <w:top w:val="single" w:sz="4" w:space="0" w:color="auto"/>
              <w:bottom w:val="nil"/>
            </w:tcBorders>
            <w:shd w:val="clear" w:color="auto" w:fill="auto"/>
            <w:vAlign w:val="center"/>
            <w:hideMark/>
          </w:tcPr>
          <w:p w14:paraId="402BCB2A" w14:textId="77777777" w:rsidR="00874916" w:rsidRPr="00102DB1" w:rsidRDefault="00874916" w:rsidP="00EA28C4">
            <w:pPr>
              <w:jc w:val="center"/>
              <w:rPr>
                <w:sz w:val="18"/>
                <w:szCs w:val="18"/>
              </w:rPr>
            </w:pPr>
            <w:r w:rsidRPr="00102DB1">
              <w:rPr>
                <w:sz w:val="18"/>
                <w:szCs w:val="18"/>
              </w:rPr>
              <w:t>World</w:t>
            </w:r>
          </w:p>
        </w:tc>
        <w:tc>
          <w:tcPr>
            <w:tcW w:w="877" w:type="pct"/>
            <w:tcBorders>
              <w:top w:val="single" w:sz="4" w:space="0" w:color="auto"/>
              <w:bottom w:val="nil"/>
            </w:tcBorders>
            <w:shd w:val="clear" w:color="auto" w:fill="auto"/>
            <w:vAlign w:val="center"/>
            <w:hideMark/>
          </w:tcPr>
          <w:p w14:paraId="6B1DEFDC" w14:textId="77777777" w:rsidR="00874916" w:rsidRPr="00102DB1" w:rsidRDefault="00874916" w:rsidP="00EA28C4">
            <w:pPr>
              <w:jc w:val="center"/>
              <w:rPr>
                <w:sz w:val="18"/>
                <w:szCs w:val="18"/>
              </w:rPr>
            </w:pPr>
            <w:r w:rsidRPr="002C524B">
              <w:rPr>
                <w:sz w:val="18"/>
                <w:szCs w:val="18"/>
              </w:rPr>
              <w:t>304.84</w:t>
            </w:r>
          </w:p>
        </w:tc>
        <w:tc>
          <w:tcPr>
            <w:tcW w:w="700" w:type="pct"/>
            <w:tcBorders>
              <w:top w:val="single" w:sz="4" w:space="0" w:color="auto"/>
              <w:bottom w:val="nil"/>
            </w:tcBorders>
            <w:shd w:val="clear" w:color="auto" w:fill="auto"/>
            <w:noWrap/>
            <w:vAlign w:val="center"/>
            <w:hideMark/>
          </w:tcPr>
          <w:p w14:paraId="7687B072" w14:textId="77777777" w:rsidR="00874916" w:rsidRPr="00102DB1" w:rsidRDefault="00874916" w:rsidP="00EA28C4">
            <w:pPr>
              <w:jc w:val="center"/>
              <w:rPr>
                <w:color w:val="000000"/>
                <w:sz w:val="18"/>
                <w:szCs w:val="18"/>
              </w:rPr>
            </w:pPr>
            <w:r w:rsidRPr="002C524B">
              <w:rPr>
                <w:color w:val="000000"/>
                <w:sz w:val="18"/>
                <w:szCs w:val="18"/>
              </w:rPr>
              <w:t>—</w:t>
            </w:r>
          </w:p>
        </w:tc>
      </w:tr>
      <w:tr w:rsidR="00874916" w:rsidRPr="002C524B" w14:paraId="6540589B" w14:textId="77777777" w:rsidTr="00EA28C4">
        <w:trPr>
          <w:trHeight w:val="270"/>
        </w:trPr>
        <w:tc>
          <w:tcPr>
            <w:tcW w:w="711" w:type="pct"/>
            <w:tcBorders>
              <w:top w:val="nil"/>
            </w:tcBorders>
            <w:shd w:val="clear" w:color="auto" w:fill="auto"/>
            <w:vAlign w:val="center"/>
            <w:hideMark/>
          </w:tcPr>
          <w:p w14:paraId="7A6147DD" w14:textId="77777777" w:rsidR="00874916" w:rsidRPr="00102DB1" w:rsidRDefault="00874916" w:rsidP="00EA28C4">
            <w:pPr>
              <w:jc w:val="center"/>
              <w:rPr>
                <w:sz w:val="18"/>
                <w:szCs w:val="18"/>
              </w:rPr>
            </w:pPr>
            <w:r w:rsidRPr="002C524B">
              <w:rPr>
                <w:sz w:val="18"/>
                <w:szCs w:val="18"/>
              </w:rPr>
              <w:t>Total</w:t>
            </w:r>
          </w:p>
        </w:tc>
        <w:tc>
          <w:tcPr>
            <w:tcW w:w="1089" w:type="pct"/>
            <w:tcBorders>
              <w:top w:val="nil"/>
            </w:tcBorders>
            <w:shd w:val="clear" w:color="auto" w:fill="auto"/>
            <w:noWrap/>
            <w:vAlign w:val="center"/>
            <w:hideMark/>
          </w:tcPr>
          <w:p w14:paraId="010EF4CE" w14:textId="77777777" w:rsidR="00874916" w:rsidRPr="00102DB1" w:rsidRDefault="00874916" w:rsidP="00EA28C4">
            <w:pPr>
              <w:jc w:val="center"/>
              <w:rPr>
                <w:color w:val="000000"/>
                <w:sz w:val="18"/>
                <w:szCs w:val="18"/>
              </w:rPr>
            </w:pPr>
            <w:r w:rsidRPr="002C524B">
              <w:rPr>
                <w:color w:val="000000"/>
                <w:sz w:val="18"/>
                <w:szCs w:val="18"/>
              </w:rPr>
              <w:t>—</w:t>
            </w:r>
          </w:p>
        </w:tc>
        <w:tc>
          <w:tcPr>
            <w:tcW w:w="700" w:type="pct"/>
            <w:tcBorders>
              <w:top w:val="nil"/>
            </w:tcBorders>
            <w:shd w:val="clear" w:color="auto" w:fill="auto"/>
            <w:noWrap/>
            <w:vAlign w:val="center"/>
            <w:hideMark/>
          </w:tcPr>
          <w:p w14:paraId="35D23EB4" w14:textId="77777777" w:rsidR="00874916" w:rsidRPr="00102DB1" w:rsidRDefault="00874916" w:rsidP="00EA28C4">
            <w:pPr>
              <w:jc w:val="center"/>
              <w:rPr>
                <w:sz w:val="18"/>
                <w:szCs w:val="18"/>
              </w:rPr>
            </w:pPr>
            <w:r w:rsidRPr="002C524B">
              <w:rPr>
                <w:sz w:val="18"/>
                <w:szCs w:val="18"/>
              </w:rPr>
              <w:t>68.14%</w:t>
            </w:r>
          </w:p>
        </w:tc>
        <w:tc>
          <w:tcPr>
            <w:tcW w:w="923" w:type="pct"/>
            <w:tcBorders>
              <w:top w:val="nil"/>
            </w:tcBorders>
            <w:shd w:val="clear" w:color="auto" w:fill="auto"/>
            <w:vAlign w:val="center"/>
            <w:hideMark/>
          </w:tcPr>
          <w:p w14:paraId="5DBC5E40" w14:textId="77777777" w:rsidR="00874916" w:rsidRPr="00102DB1" w:rsidRDefault="00874916" w:rsidP="00EA28C4">
            <w:pPr>
              <w:jc w:val="center"/>
              <w:rPr>
                <w:sz w:val="18"/>
                <w:szCs w:val="18"/>
              </w:rPr>
            </w:pPr>
            <w:r w:rsidRPr="002C524B">
              <w:rPr>
                <w:sz w:val="18"/>
                <w:szCs w:val="18"/>
              </w:rPr>
              <w:t>Total</w:t>
            </w:r>
          </w:p>
        </w:tc>
        <w:tc>
          <w:tcPr>
            <w:tcW w:w="877" w:type="pct"/>
            <w:tcBorders>
              <w:top w:val="nil"/>
            </w:tcBorders>
            <w:shd w:val="clear" w:color="auto" w:fill="auto"/>
            <w:noWrap/>
            <w:vAlign w:val="center"/>
            <w:hideMark/>
          </w:tcPr>
          <w:p w14:paraId="1E78A0E8" w14:textId="77777777" w:rsidR="00874916" w:rsidRPr="00102DB1" w:rsidRDefault="00874916" w:rsidP="00EA28C4">
            <w:pPr>
              <w:jc w:val="center"/>
              <w:rPr>
                <w:color w:val="000000"/>
                <w:sz w:val="18"/>
                <w:szCs w:val="18"/>
              </w:rPr>
            </w:pPr>
            <w:r w:rsidRPr="002C524B">
              <w:rPr>
                <w:color w:val="000000"/>
                <w:sz w:val="18"/>
                <w:szCs w:val="18"/>
              </w:rPr>
              <w:t>—</w:t>
            </w:r>
          </w:p>
        </w:tc>
        <w:tc>
          <w:tcPr>
            <w:tcW w:w="700" w:type="pct"/>
            <w:tcBorders>
              <w:top w:val="nil"/>
            </w:tcBorders>
            <w:shd w:val="clear" w:color="auto" w:fill="auto"/>
            <w:noWrap/>
            <w:vAlign w:val="center"/>
            <w:hideMark/>
          </w:tcPr>
          <w:p w14:paraId="14C1AE17" w14:textId="77777777" w:rsidR="00874916" w:rsidRPr="00102DB1" w:rsidRDefault="00874916" w:rsidP="00EA28C4">
            <w:pPr>
              <w:jc w:val="center"/>
              <w:rPr>
                <w:sz w:val="18"/>
                <w:szCs w:val="18"/>
              </w:rPr>
            </w:pPr>
            <w:r w:rsidRPr="002C524B">
              <w:rPr>
                <w:sz w:val="18"/>
                <w:szCs w:val="18"/>
              </w:rPr>
              <w:t>67.17%</w:t>
            </w:r>
          </w:p>
        </w:tc>
      </w:tr>
    </w:tbl>
    <w:p w14:paraId="05B5C4D8" w14:textId="77777777" w:rsidR="001F0BEC" w:rsidRDefault="001F0BEC" w:rsidP="00874916">
      <w:pPr>
        <w:pStyle w:val="2"/>
        <w:numPr>
          <w:ilvl w:val="0"/>
          <w:numId w:val="0"/>
        </w:numPr>
        <w:spacing w:after="120"/>
        <w:ind w:left="420" w:hanging="420"/>
        <w:rPr>
          <w:rFonts w:cs="Times New Roman"/>
        </w:rPr>
      </w:pPr>
    </w:p>
    <w:p w14:paraId="7094319C" w14:textId="77777777" w:rsidR="00874916" w:rsidRPr="0059384B" w:rsidRDefault="00874916" w:rsidP="00874916">
      <w:pPr>
        <w:pStyle w:val="2"/>
        <w:numPr>
          <w:ilvl w:val="0"/>
          <w:numId w:val="0"/>
        </w:numPr>
        <w:spacing w:after="120"/>
        <w:ind w:left="420" w:hanging="420"/>
        <w:rPr>
          <w:rFonts w:cs="Times New Roman"/>
        </w:rPr>
      </w:pPr>
      <w:r>
        <w:rPr>
          <w:rFonts w:cs="Times New Roman" w:hint="eastAsia"/>
        </w:rPr>
        <w:t xml:space="preserve">3. </w:t>
      </w:r>
      <w:r w:rsidRPr="0059384B">
        <w:rPr>
          <w:rFonts w:cs="Times New Roman"/>
        </w:rPr>
        <w:t>W</w:t>
      </w:r>
      <w:r w:rsidRPr="0059384B">
        <w:rPr>
          <w:rFonts w:cs="Times New Roman" w:hint="eastAsia"/>
        </w:rPr>
        <w:t>orld tea import market</w:t>
      </w:r>
    </w:p>
    <w:p w14:paraId="170229C0" w14:textId="077DA8EE" w:rsidR="001F0BEC" w:rsidRDefault="00874916" w:rsidP="003B4565">
      <w:pPr>
        <w:spacing w:after="100" w:afterAutospacing="1"/>
      </w:pPr>
      <w:r>
        <w:t>I</w:t>
      </w:r>
      <w:r>
        <w:rPr>
          <w:rFonts w:hint="eastAsia"/>
        </w:rPr>
        <w:t>n 2015, total volume of world tea imports is 1980.3 thousand tons, increased 38.8</w:t>
      </w:r>
      <w:r w:rsidR="00904EC8">
        <w:t xml:space="preserve"> percent</w:t>
      </w:r>
      <w:r>
        <w:rPr>
          <w:rFonts w:hint="eastAsia"/>
        </w:rPr>
        <w:t xml:space="preserve"> of the import volume in 2001.</w:t>
      </w:r>
      <w:r w:rsidRPr="0059384B">
        <w:t xml:space="preserve"> </w:t>
      </w:r>
      <w:r>
        <w:t>Russian Federation</w:t>
      </w:r>
      <w:r>
        <w:rPr>
          <w:rFonts w:hint="eastAsia"/>
        </w:rPr>
        <w:t xml:space="preserve">, </w:t>
      </w:r>
      <w:r>
        <w:t>Pakistan</w:t>
      </w:r>
      <w:r>
        <w:rPr>
          <w:rFonts w:hint="eastAsia"/>
        </w:rPr>
        <w:t xml:space="preserve">, </w:t>
      </w:r>
      <w:r>
        <w:t>UK</w:t>
      </w:r>
      <w:r>
        <w:rPr>
          <w:rFonts w:hint="eastAsia"/>
        </w:rPr>
        <w:t xml:space="preserve"> and the USA are the four largest tea importing countries in the world. </w:t>
      </w:r>
      <w:r>
        <w:t>Russian Federation</w:t>
      </w:r>
      <w:r>
        <w:rPr>
          <w:rFonts w:hint="eastAsia"/>
        </w:rPr>
        <w:t xml:space="preserve"> imports more than 150 thousand tons of tea every year, accounting for about 10</w:t>
      </w:r>
      <w:r w:rsidR="00904EC8">
        <w:t xml:space="preserve"> percent</w:t>
      </w:r>
      <w:r>
        <w:rPr>
          <w:rFonts w:hint="eastAsia"/>
        </w:rPr>
        <w:t xml:space="preserve"> of the total world</w:t>
      </w:r>
      <w:r>
        <w:t>’</w:t>
      </w:r>
      <w:r>
        <w:rPr>
          <w:rFonts w:hint="eastAsia"/>
        </w:rPr>
        <w:t xml:space="preserve">s tea imports. </w:t>
      </w:r>
      <w:r>
        <w:t>T</w:t>
      </w:r>
      <w:r>
        <w:rPr>
          <w:rFonts w:hint="eastAsia"/>
        </w:rPr>
        <w:t xml:space="preserve">ea imports in </w:t>
      </w:r>
      <w:r>
        <w:t>Pakistan</w:t>
      </w:r>
      <w:r>
        <w:rPr>
          <w:rFonts w:hint="eastAsia"/>
        </w:rPr>
        <w:t xml:space="preserve"> </w:t>
      </w:r>
      <w:r>
        <w:t>decreased</w:t>
      </w:r>
      <w:r>
        <w:rPr>
          <w:rFonts w:hint="eastAsia"/>
        </w:rPr>
        <w:t xml:space="preserve"> to 89.7 thousand tons in 2009 to 139.3</w:t>
      </w:r>
      <w:r w:rsidRPr="0059384B">
        <w:rPr>
          <w:rFonts w:hint="eastAsia"/>
        </w:rPr>
        <w:t xml:space="preserve"> </w:t>
      </w:r>
      <w:r>
        <w:rPr>
          <w:rFonts w:hint="eastAsia"/>
        </w:rPr>
        <w:t xml:space="preserve">thousand tons in 2005, and increased to 164.6 thousand tons in 2015. </w:t>
      </w:r>
      <w:r>
        <w:t xml:space="preserve">Tea </w:t>
      </w:r>
      <w:r>
        <w:rPr>
          <w:rFonts w:hint="eastAsia"/>
        </w:rPr>
        <w:t>importing in</w:t>
      </w:r>
      <w:r>
        <w:t xml:space="preserve"> UK</w:t>
      </w:r>
      <w:r>
        <w:rPr>
          <w:rFonts w:hint="eastAsia"/>
        </w:rPr>
        <w:t xml:space="preserve"> falls in fluctuation during 2001 to 2015, and has dropped 32</w:t>
      </w:r>
      <w:r w:rsidR="00904EC8">
        <w:t xml:space="preserve"> percent in 10 </w:t>
      </w:r>
      <w:r>
        <w:rPr>
          <w:rFonts w:hint="eastAsia"/>
        </w:rPr>
        <w:t xml:space="preserve">ten years from 2002 to 2012. </w:t>
      </w:r>
      <w:r w:rsidRPr="0059384B">
        <w:t>US tea imports have steadily increased</w:t>
      </w:r>
      <w:r>
        <w:rPr>
          <w:rFonts w:hint="eastAsia"/>
        </w:rPr>
        <w:t>,</w:t>
      </w:r>
      <w:r>
        <w:t xml:space="preserve"> and </w:t>
      </w:r>
      <w:r w:rsidRPr="0059384B">
        <w:t>surpassed the UK in 2014</w:t>
      </w:r>
      <w:r>
        <w:rPr>
          <w:rFonts w:hint="eastAsia"/>
        </w:rPr>
        <w:t xml:space="preserve"> (</w:t>
      </w:r>
      <w:r>
        <w:t>Figure</w:t>
      </w:r>
      <w:r>
        <w:rPr>
          <w:rFonts w:hint="eastAsia"/>
        </w:rPr>
        <w:t>4).</w:t>
      </w:r>
    </w:p>
    <w:p w14:paraId="6144868B" w14:textId="26E5A982" w:rsidR="001F0BEC" w:rsidRPr="001F0BEC" w:rsidRDefault="001F0BEC" w:rsidP="001F0BEC">
      <w:pPr>
        <w:pStyle w:val="Caption"/>
        <w:spacing w:line="360" w:lineRule="auto"/>
        <w:jc w:val="center"/>
        <w:rPr>
          <w:b/>
          <w:i w:val="0"/>
          <w:sz w:val="28"/>
          <w:szCs w:val="28"/>
        </w:rPr>
      </w:pPr>
      <w:bookmarkStart w:id="8" w:name="_Ref485109728"/>
      <w:r w:rsidRPr="001F0BEC">
        <w:rPr>
          <w:b/>
          <w:i w:val="0"/>
          <w:sz w:val="28"/>
          <w:szCs w:val="28"/>
        </w:rPr>
        <w:t>Figure</w:t>
      </w:r>
      <w:bookmarkEnd w:id="8"/>
      <w:r w:rsidRPr="001F0BEC">
        <w:rPr>
          <w:rFonts w:hint="eastAsia"/>
          <w:b/>
          <w:i w:val="0"/>
          <w:sz w:val="28"/>
          <w:szCs w:val="28"/>
        </w:rPr>
        <w:t xml:space="preserve"> 4: </w:t>
      </w:r>
      <w:r w:rsidRPr="001F0BEC">
        <w:rPr>
          <w:b/>
          <w:i w:val="0"/>
          <w:sz w:val="28"/>
          <w:szCs w:val="28"/>
        </w:rPr>
        <w:t>T</w:t>
      </w:r>
      <w:r w:rsidRPr="001F0BEC">
        <w:rPr>
          <w:rFonts w:hint="eastAsia"/>
          <w:b/>
          <w:i w:val="0"/>
          <w:sz w:val="28"/>
          <w:szCs w:val="28"/>
        </w:rPr>
        <w:t>he world</w:t>
      </w:r>
      <w:r w:rsidRPr="001F0BEC">
        <w:rPr>
          <w:b/>
          <w:i w:val="0"/>
          <w:sz w:val="28"/>
          <w:szCs w:val="28"/>
        </w:rPr>
        <w:t>’</w:t>
      </w:r>
      <w:r w:rsidR="00904EC8">
        <w:rPr>
          <w:rFonts w:hint="eastAsia"/>
          <w:b/>
          <w:i w:val="0"/>
          <w:sz w:val="28"/>
          <w:szCs w:val="28"/>
        </w:rPr>
        <w:t>s four largest tea i</w:t>
      </w:r>
      <w:r w:rsidRPr="001F0BEC">
        <w:rPr>
          <w:rFonts w:hint="eastAsia"/>
          <w:b/>
          <w:i w:val="0"/>
          <w:sz w:val="28"/>
          <w:szCs w:val="28"/>
        </w:rPr>
        <w:t>mporting countries</w:t>
      </w:r>
    </w:p>
    <w:p w14:paraId="36EAF631" w14:textId="77777777" w:rsidR="00874916" w:rsidRDefault="00874916" w:rsidP="00874916">
      <w:pPr>
        <w:spacing w:line="360" w:lineRule="auto"/>
        <w:ind w:firstLineChars="200" w:firstLine="480"/>
      </w:pPr>
      <w:r>
        <w:rPr>
          <w:noProof/>
        </w:rPr>
        <w:drawing>
          <wp:inline distT="0" distB="0" distL="0" distR="0" wp14:anchorId="69C3C41B" wp14:editId="16473274">
            <wp:extent cx="4895851" cy="2938464"/>
            <wp:effectExtent l="0" t="0" r="0" b="0"/>
            <wp:docPr id="4" name="图表 4"/>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10870A64" w14:textId="77777777" w:rsidR="00874916" w:rsidRPr="00BC1A29" w:rsidRDefault="00874916" w:rsidP="00874916">
      <w:pPr>
        <w:spacing w:after="100" w:afterAutospacing="1" w:line="360" w:lineRule="auto"/>
      </w:pPr>
    </w:p>
    <w:p w14:paraId="27A6510E" w14:textId="77777777" w:rsidR="00874916" w:rsidRPr="00BC1A29" w:rsidRDefault="00874916" w:rsidP="00874916">
      <w:pPr>
        <w:spacing w:after="100" w:afterAutospacing="1" w:line="360" w:lineRule="auto"/>
      </w:pPr>
    </w:p>
    <w:p w14:paraId="32805ECD" w14:textId="77777777" w:rsidR="00874916" w:rsidRPr="0009056D" w:rsidRDefault="00874916" w:rsidP="00874916">
      <w:pPr>
        <w:spacing w:after="100" w:afterAutospacing="1" w:line="360" w:lineRule="auto"/>
      </w:pPr>
    </w:p>
    <w:p w14:paraId="1E219943" w14:textId="77777777" w:rsidR="00874916" w:rsidRPr="00874916" w:rsidRDefault="00874916" w:rsidP="00874916">
      <w:pPr>
        <w:rPr>
          <w:lang w:eastAsia="zh-CN"/>
        </w:rPr>
      </w:pPr>
    </w:p>
    <w:sectPr w:rsidR="00874916" w:rsidRPr="00874916" w:rsidSect="00D40B92">
      <w:pgSz w:w="12240" w:h="15840"/>
      <w:pgMar w:top="1440" w:right="1800" w:bottom="1440" w:left="1800" w:header="720" w:footer="72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150F7D" w14:textId="77777777" w:rsidR="00EA28C4" w:rsidRDefault="00EA28C4">
      <w:r>
        <w:separator/>
      </w:r>
    </w:p>
  </w:endnote>
  <w:endnote w:type="continuationSeparator" w:id="0">
    <w:p w14:paraId="45966AE6" w14:textId="77777777" w:rsidR="00EA28C4" w:rsidRDefault="00EA28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khbar MT">
    <w:altName w:val="Times New Roman"/>
    <w:charset w:val="B2"/>
    <w:family w:val="auto"/>
    <w:pitch w:val="variable"/>
    <w:sig w:usb0="00002000" w:usb1="00000000" w:usb2="00000000" w:usb3="00000000" w:csb0="00000040" w:csb1="00000000"/>
  </w:font>
  <w:font w:name="Arial">
    <w:panose1 w:val="020B0604020202020204"/>
    <w:charset w:val="00"/>
    <w:family w:val="swiss"/>
    <w:pitch w:val="variable"/>
    <w:sig w:usb0="E0002AFF" w:usb1="C0007843" w:usb2="00000009" w:usb3="00000000" w:csb0="000001FF" w:csb1="00000000"/>
  </w:font>
  <w:font w:name="Abadi MT Condensed Extra Bold">
    <w:altName w:val="Impact"/>
    <w:charset w:val="00"/>
    <w:family w:val="swiss"/>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Gulim">
    <w:altName w:val="굴림"/>
    <w:panose1 w:val="020B0600000101010101"/>
    <w:charset w:val="81"/>
    <w:family w:val="swiss"/>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TimesNewRoman">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0000012" w:usb3="00000000" w:csb0="0002009F" w:csb1="00000000"/>
  </w:font>
  <w:font w:name="FZLTHJW--GB1-0">
    <w:altName w:val="Times New Roman"/>
    <w:panose1 w:val="00000000000000000000"/>
    <w:charset w:val="00"/>
    <w:family w:val="roman"/>
    <w:notTrueType/>
    <w:pitch w:val="default"/>
  </w:font>
  <w:font w:name="FZSYK--GBK1-0">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39C83E9" w14:textId="77777777" w:rsidR="00EA28C4" w:rsidRPr="00D40B92" w:rsidRDefault="00EA28C4" w:rsidP="00D40B92">
    <w:pPr>
      <w:pStyle w:val="Footer"/>
      <w:framePr w:wrap="around" w:vAnchor="text" w:hAnchor="margin" w:xAlign="center" w:y="1"/>
      <w:pBdr>
        <w:top w:val="none" w:sz="0" w:space="0" w:color="auto"/>
      </w:pBdr>
      <w:rPr>
        <w:rStyle w:val="PageNumber"/>
        <w:rFonts w:ascii="Times New Roman" w:hAnsi="Times New Roman"/>
        <w:b w:val="0"/>
      </w:rPr>
    </w:pPr>
    <w:r w:rsidRPr="00D40B92">
      <w:rPr>
        <w:rStyle w:val="PageNumber"/>
        <w:rFonts w:ascii="Times New Roman" w:hAnsi="Times New Roman"/>
        <w:b w:val="0"/>
      </w:rPr>
      <w:fldChar w:fldCharType="begin"/>
    </w:r>
    <w:r w:rsidRPr="00D40B92">
      <w:rPr>
        <w:rStyle w:val="PageNumber"/>
        <w:rFonts w:ascii="Times New Roman" w:hAnsi="Times New Roman"/>
        <w:b w:val="0"/>
      </w:rPr>
      <w:instrText xml:space="preserve">PAGE  </w:instrText>
    </w:r>
    <w:r w:rsidRPr="00D40B92">
      <w:rPr>
        <w:rStyle w:val="PageNumber"/>
        <w:rFonts w:ascii="Times New Roman" w:hAnsi="Times New Roman"/>
        <w:b w:val="0"/>
      </w:rPr>
      <w:fldChar w:fldCharType="separate"/>
    </w:r>
    <w:r w:rsidR="0045666C">
      <w:rPr>
        <w:rStyle w:val="PageNumber"/>
        <w:rFonts w:ascii="Times New Roman" w:hAnsi="Times New Roman"/>
        <w:b w:val="0"/>
        <w:noProof/>
      </w:rPr>
      <w:t>2</w:t>
    </w:r>
    <w:r w:rsidRPr="00D40B92">
      <w:rPr>
        <w:rStyle w:val="PageNumber"/>
        <w:rFonts w:ascii="Times New Roman" w:hAnsi="Times New Roman"/>
        <w:b w:val="0"/>
      </w:rPr>
      <w:fldChar w:fldCharType="end"/>
    </w:r>
  </w:p>
  <w:p w14:paraId="267D320D" w14:textId="77777777" w:rsidR="00EA28C4" w:rsidRDefault="00EA28C4" w:rsidP="00D40B92">
    <w:pPr>
      <w:pStyle w:val="Footer"/>
      <w:pBdr>
        <w:top w:val="none" w:sz="0" w:space="0" w:color="auto"/>
      </w:pBd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7187605"/>
      <w:docPartObj>
        <w:docPartGallery w:val="Page Numbers (Bottom of Page)"/>
        <w:docPartUnique/>
      </w:docPartObj>
    </w:sdtPr>
    <w:sdtEndPr>
      <w:rPr>
        <w:noProof/>
      </w:rPr>
    </w:sdtEndPr>
    <w:sdtContent>
      <w:p w14:paraId="413AB7B7" w14:textId="0D41CDBB" w:rsidR="00D40B92" w:rsidRDefault="00D40B92" w:rsidP="00D40B92">
        <w:pPr>
          <w:pStyle w:val="Footer"/>
          <w:pBdr>
            <w:top w:val="none" w:sz="0" w:space="0" w:color="auto"/>
          </w:pBdr>
        </w:pPr>
        <w:r w:rsidRPr="000772E9">
          <w:rPr>
            <w:rFonts w:ascii="Times New Roman" w:hAnsi="Times New Roman"/>
          </w:rPr>
          <w:fldChar w:fldCharType="begin"/>
        </w:r>
        <w:r w:rsidRPr="000772E9">
          <w:rPr>
            <w:rFonts w:ascii="Times New Roman" w:hAnsi="Times New Roman"/>
          </w:rPr>
          <w:instrText xml:space="preserve"> PAGE   \* MERGEFORMAT </w:instrText>
        </w:r>
        <w:r w:rsidRPr="000772E9">
          <w:rPr>
            <w:rFonts w:ascii="Times New Roman" w:hAnsi="Times New Roman"/>
          </w:rPr>
          <w:fldChar w:fldCharType="separate"/>
        </w:r>
        <w:r w:rsidR="0045666C">
          <w:rPr>
            <w:rFonts w:ascii="Times New Roman" w:hAnsi="Times New Roman"/>
            <w:noProof/>
          </w:rPr>
          <w:t>21</w:t>
        </w:r>
        <w:r w:rsidRPr="000772E9">
          <w:rPr>
            <w:rFonts w:ascii="Times New Roman" w:hAnsi="Times New Roman"/>
            <w:noProof/>
          </w:rPr>
          <w:fldChar w:fldCharType="end"/>
        </w:r>
      </w:p>
    </w:sdtContent>
  </w:sdt>
  <w:p w14:paraId="3C6AF5EC" w14:textId="77777777" w:rsidR="00D40B92" w:rsidRDefault="00D40B92" w:rsidP="00D40B92">
    <w:pPr>
      <w:pStyle w:val="Footer"/>
      <w:pBdr>
        <w:top w:val="none" w:sz="0" w:space="0" w:color="auto"/>
      </w:pBd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889A7E0" w14:textId="77777777" w:rsidR="00EA28C4" w:rsidRPr="00363922" w:rsidRDefault="00EA28C4" w:rsidP="00363922">
    <w:pPr>
      <w:pStyle w:val="Footer"/>
      <w:pBdr>
        <w:top w:val="none" w:sz="0" w:space="0" w:color="auto"/>
      </w:pBdr>
      <w:jc w:val="both"/>
      <w:rPr>
        <w:color w:val="FFFFFF"/>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EE5032" w14:textId="77777777" w:rsidR="00EA28C4" w:rsidRDefault="00EA28C4">
      <w:r>
        <w:separator/>
      </w:r>
    </w:p>
  </w:footnote>
  <w:footnote w:type="continuationSeparator" w:id="0">
    <w:p w14:paraId="25739495" w14:textId="77777777" w:rsidR="00EA28C4" w:rsidRDefault="00EA28C4">
      <w:r>
        <w:continuationSeparator/>
      </w:r>
    </w:p>
  </w:footnote>
  <w:footnote w:id="1">
    <w:p w14:paraId="39327052" w14:textId="114557FF" w:rsidR="00EA28C4" w:rsidRDefault="00EA28C4">
      <w:pPr>
        <w:pStyle w:val="FootnoteText"/>
      </w:pPr>
      <w:r>
        <w:rPr>
          <w:rStyle w:val="FootnoteReference"/>
        </w:rPr>
        <w:footnoteRef/>
      </w:r>
      <w:r>
        <w:t xml:space="preserve"> Submitted by China.</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6A1B13" w14:textId="77777777" w:rsidR="00D40B92" w:rsidRPr="001F711F" w:rsidRDefault="00D40B92" w:rsidP="00D40B92">
    <w:pPr>
      <w:pStyle w:val="Header"/>
      <w:pBdr>
        <w:bottom w:val="single" w:sz="18" w:space="1" w:color="17365D" w:themeColor="text2" w:themeShade="BF"/>
      </w:pBdr>
      <w:shd w:val="clear" w:color="auto" w:fill="auto"/>
      <w:rPr>
        <w:rFonts w:asciiTheme="majorHAnsi" w:hAnsiTheme="majorHAnsi"/>
        <w:b/>
        <w:i/>
        <w:color w:val="auto"/>
        <w:sz w:val="28"/>
        <w:szCs w:val="28"/>
      </w:rPr>
    </w:pPr>
    <w:r w:rsidRPr="001F711F">
      <w:rPr>
        <w:rFonts w:asciiTheme="majorHAnsi" w:hAnsiTheme="majorHAnsi"/>
        <w:b/>
        <w:color w:val="auto"/>
        <w:sz w:val="28"/>
        <w:szCs w:val="28"/>
        <w:lang w:val="en-IE"/>
      </w:rPr>
      <w:t xml:space="preserve">IGG/Tea: </w:t>
    </w:r>
    <w:r>
      <w:rPr>
        <w:rFonts w:asciiTheme="majorHAnsi" w:hAnsiTheme="majorHAnsi"/>
        <w:b/>
        <w:color w:val="auto"/>
        <w:sz w:val="28"/>
        <w:szCs w:val="28"/>
        <w:lang w:val="en-IE"/>
      </w:rPr>
      <w:t>ISM 17</w:t>
    </w:r>
    <w:r w:rsidRPr="001F711F">
      <w:rPr>
        <w:rFonts w:asciiTheme="majorHAnsi" w:hAnsiTheme="majorHAnsi"/>
        <w:b/>
        <w:color w:val="auto"/>
        <w:sz w:val="28"/>
        <w:szCs w:val="28"/>
        <w:lang w:val="en-IE"/>
      </w:rPr>
      <w:t>/</w:t>
    </w:r>
    <w:r>
      <w:rPr>
        <w:rFonts w:asciiTheme="majorHAnsi" w:hAnsiTheme="majorHAnsi"/>
        <w:b/>
        <w:color w:val="auto"/>
        <w:sz w:val="28"/>
        <w:szCs w:val="28"/>
        <w:lang w:val="en-IE"/>
      </w:rPr>
      <w:t>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9038077" w14:textId="55450893" w:rsidR="00EA28C4" w:rsidRPr="001F711F" w:rsidRDefault="00EA28C4" w:rsidP="001F711F">
    <w:pPr>
      <w:pStyle w:val="Header"/>
      <w:pBdr>
        <w:bottom w:val="single" w:sz="18" w:space="1" w:color="17365D" w:themeColor="text2" w:themeShade="BF"/>
      </w:pBdr>
      <w:shd w:val="clear" w:color="auto" w:fill="auto"/>
      <w:rPr>
        <w:rFonts w:asciiTheme="majorHAnsi" w:hAnsiTheme="majorHAnsi"/>
        <w:b/>
        <w:i/>
        <w:color w:val="auto"/>
        <w:sz w:val="28"/>
        <w:szCs w:val="28"/>
      </w:rPr>
    </w:pPr>
    <w:r w:rsidRPr="001F711F">
      <w:rPr>
        <w:rFonts w:asciiTheme="majorHAnsi" w:hAnsiTheme="majorHAnsi"/>
        <w:b/>
        <w:color w:val="auto"/>
        <w:sz w:val="28"/>
        <w:szCs w:val="28"/>
        <w:lang w:val="en-IE"/>
      </w:rPr>
      <w:t xml:space="preserve">IGG/Tea: </w:t>
    </w:r>
    <w:r>
      <w:rPr>
        <w:rFonts w:asciiTheme="majorHAnsi" w:hAnsiTheme="majorHAnsi"/>
        <w:b/>
        <w:color w:val="auto"/>
        <w:sz w:val="28"/>
        <w:szCs w:val="28"/>
        <w:lang w:val="en-IE"/>
      </w:rPr>
      <w:t>ISM 17</w:t>
    </w:r>
    <w:r w:rsidRPr="001F711F">
      <w:rPr>
        <w:rFonts w:asciiTheme="majorHAnsi" w:hAnsiTheme="majorHAnsi"/>
        <w:b/>
        <w:color w:val="auto"/>
        <w:sz w:val="28"/>
        <w:szCs w:val="28"/>
        <w:lang w:val="en-IE"/>
      </w:rPr>
      <w:t>/</w:t>
    </w:r>
    <w:r>
      <w:rPr>
        <w:rFonts w:asciiTheme="majorHAnsi" w:hAnsiTheme="majorHAnsi"/>
        <w:b/>
        <w:color w:val="auto"/>
        <w:sz w:val="28"/>
        <w:szCs w:val="28"/>
        <w:lang w:val="en-IE"/>
      </w:rPr>
      <w:t>3</w:t>
    </w:r>
  </w:p>
  <w:p w14:paraId="2664216F" w14:textId="77777777" w:rsidR="00EA28C4" w:rsidRPr="00991714" w:rsidRDefault="00EA28C4" w:rsidP="00991714">
    <w:pPr>
      <w:pStyle w:val="Header"/>
      <w:pBdr>
        <w:bottom w:val="none" w:sz="0" w:space="0" w:color="auto"/>
      </w:pBdr>
      <w:shd w:val="clear" w:color="auto" w:fill="auto"/>
      <w:jc w:val="cent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352FB3" w14:textId="0AD7CD34" w:rsidR="00EA28C4" w:rsidRPr="00055BCF" w:rsidRDefault="00EA28C4" w:rsidP="001F711F">
    <w:pPr>
      <w:pStyle w:val="Header"/>
      <w:pBdr>
        <w:bottom w:val="single" w:sz="18" w:space="1" w:color="17365D" w:themeColor="text2" w:themeShade="BF"/>
      </w:pBdr>
      <w:shd w:val="clear" w:color="auto" w:fill="auto"/>
      <w:jc w:val="left"/>
      <w:rPr>
        <w:rFonts w:asciiTheme="majorHAnsi" w:hAnsiTheme="majorHAnsi"/>
        <w:b/>
        <w:i/>
        <w:color w:val="auto"/>
        <w:sz w:val="28"/>
        <w:szCs w:val="28"/>
      </w:rPr>
    </w:pPr>
    <w:r>
      <w:rPr>
        <w:noProof/>
      </w:rPr>
      <w:drawing>
        <wp:inline distT="0" distB="0" distL="0" distR="0" wp14:anchorId="16FE0A41" wp14:editId="2ADC272C">
          <wp:extent cx="2855595" cy="577850"/>
          <wp:effectExtent l="0" t="0" r="1905" b="0"/>
          <wp:docPr id="1" name="Picture 3" descr="FAO_logo_Blue_2lines_en_firmaemail"/>
          <wp:cNvGraphicFramePr/>
          <a:graphic xmlns:a="http://schemas.openxmlformats.org/drawingml/2006/main">
            <a:graphicData uri="http://schemas.openxmlformats.org/drawingml/2006/picture">
              <pic:pic xmlns:pic="http://schemas.openxmlformats.org/drawingml/2006/picture">
                <pic:nvPicPr>
                  <pic:cNvPr id="1" name="Picture 3" descr="FAO_logo_Blue_2lines_en_firmaemail"/>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855595" cy="577850"/>
                  </a:xfrm>
                  <a:prstGeom prst="rect">
                    <a:avLst/>
                  </a:prstGeom>
                  <a:noFill/>
                  <a:ln>
                    <a:noFill/>
                  </a:ln>
                </pic:spPr>
              </pic:pic>
            </a:graphicData>
          </a:graphic>
        </wp:inline>
      </w:drawing>
    </w:r>
    <w:r w:rsidRPr="00055BCF">
      <w:rPr>
        <w:rFonts w:asciiTheme="majorHAnsi" w:hAnsiTheme="majorHAnsi"/>
        <w:color w:val="auto"/>
      </w:rPr>
      <w:tab/>
    </w:r>
    <w:r w:rsidRPr="00055BCF">
      <w:rPr>
        <w:rFonts w:asciiTheme="majorHAnsi" w:hAnsiTheme="majorHAnsi"/>
        <w:b/>
        <w:color w:val="auto"/>
        <w:sz w:val="28"/>
        <w:szCs w:val="28"/>
        <w:lang w:val="en-IE"/>
      </w:rPr>
      <w:t>IGG:TE ISM 17/</w:t>
    </w:r>
    <w:r>
      <w:rPr>
        <w:rFonts w:asciiTheme="majorHAnsi" w:hAnsiTheme="majorHAnsi"/>
        <w:b/>
        <w:color w:val="auto"/>
        <w:sz w:val="28"/>
        <w:szCs w:val="28"/>
        <w:lang w:val="en-IE"/>
      </w:rPr>
      <w:t>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B"/>
    <w:multiLevelType w:val="multilevel"/>
    <w:tmpl w:val="75B649AE"/>
    <w:lvl w:ilvl="0">
      <w:start w:val="1"/>
      <w:numFmt w:val="decimal"/>
      <w:pStyle w:val="2"/>
      <w:lvlText w:val="%1."/>
      <w:legacy w:legacy="1" w:legacySpace="0" w:legacyIndent="708"/>
      <w:lvlJc w:val="left"/>
      <w:pPr>
        <w:ind w:left="864" w:hanging="708"/>
      </w:pPr>
    </w:lvl>
    <w:lvl w:ilvl="1">
      <w:start w:val="1"/>
      <w:numFmt w:val="decimal"/>
      <w:pStyle w:val="Heading2"/>
      <w:lvlText w:val="%1.%2."/>
      <w:legacy w:legacy="1" w:legacySpace="0" w:legacyIndent="708"/>
      <w:lvlJc w:val="left"/>
      <w:pPr>
        <w:ind w:left="864" w:hanging="708"/>
      </w:pPr>
    </w:lvl>
    <w:lvl w:ilvl="2">
      <w:start w:val="1"/>
      <w:numFmt w:val="decimal"/>
      <w:pStyle w:val="Heading3"/>
      <w:lvlText w:val="%1.%2.%3."/>
      <w:legacy w:legacy="1" w:legacySpace="0" w:legacyIndent="708"/>
      <w:lvlJc w:val="left"/>
      <w:pPr>
        <w:ind w:left="864" w:hanging="708"/>
      </w:pPr>
    </w:lvl>
    <w:lvl w:ilvl="3">
      <w:start w:val="1"/>
      <w:numFmt w:val="decimal"/>
      <w:pStyle w:val="Heading4"/>
      <w:lvlText w:val="%1.%2.%3.%4."/>
      <w:legacy w:legacy="1" w:legacySpace="0" w:legacyIndent="708"/>
      <w:lvlJc w:val="left"/>
      <w:pPr>
        <w:ind w:left="864" w:hanging="708"/>
      </w:pPr>
    </w:lvl>
    <w:lvl w:ilvl="4">
      <w:start w:val="1"/>
      <w:numFmt w:val="decimal"/>
      <w:pStyle w:val="Heading5"/>
      <w:lvlText w:val="%1.%2.%3.%4.%5."/>
      <w:legacy w:legacy="1" w:legacySpace="0" w:legacyIndent="708"/>
      <w:lvlJc w:val="left"/>
      <w:pPr>
        <w:ind w:left="1728" w:hanging="708"/>
      </w:pPr>
    </w:lvl>
    <w:lvl w:ilvl="5">
      <w:start w:val="1"/>
      <w:numFmt w:val="decimal"/>
      <w:pStyle w:val="Heading6"/>
      <w:lvlText w:val="%1.%2.%3.%4.%5.%6."/>
      <w:legacy w:legacy="1" w:legacySpace="0" w:legacyIndent="708"/>
      <w:lvlJc w:val="left"/>
      <w:pPr>
        <w:ind w:left="4248" w:hanging="708"/>
      </w:pPr>
    </w:lvl>
    <w:lvl w:ilvl="6">
      <w:start w:val="1"/>
      <w:numFmt w:val="decimal"/>
      <w:pStyle w:val="Heading7"/>
      <w:lvlText w:val="%1.%2.%3.%4.%5.%6.%7."/>
      <w:legacy w:legacy="1" w:legacySpace="0" w:legacyIndent="708"/>
      <w:lvlJc w:val="left"/>
      <w:pPr>
        <w:ind w:left="4956" w:hanging="708"/>
      </w:pPr>
    </w:lvl>
    <w:lvl w:ilvl="7">
      <w:start w:val="1"/>
      <w:numFmt w:val="decimal"/>
      <w:pStyle w:val="Heading8"/>
      <w:lvlText w:val="%1.%2.%3.%4.%5.%6.%7.%8."/>
      <w:legacy w:legacy="1" w:legacySpace="0" w:legacyIndent="708"/>
      <w:lvlJc w:val="left"/>
      <w:pPr>
        <w:ind w:left="5664" w:hanging="708"/>
      </w:pPr>
    </w:lvl>
    <w:lvl w:ilvl="8">
      <w:start w:val="1"/>
      <w:numFmt w:val="decimal"/>
      <w:pStyle w:val="Heading9"/>
      <w:lvlText w:val="%1.%2.%3.%4.%5.%6.%7.%8.%9."/>
      <w:legacy w:legacy="1" w:legacySpace="0" w:legacyIndent="708"/>
      <w:lvlJc w:val="left"/>
      <w:pPr>
        <w:ind w:left="6372" w:hanging="708"/>
      </w:pPr>
    </w:lvl>
  </w:abstractNum>
  <w:abstractNum w:abstractNumId="1" w15:restartNumberingAfterBreak="0">
    <w:nsid w:val="0A284672"/>
    <w:multiLevelType w:val="hybridMultilevel"/>
    <w:tmpl w:val="77CEA9B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9EF094B"/>
    <w:multiLevelType w:val="multilevel"/>
    <w:tmpl w:val="46E4172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3924374"/>
    <w:multiLevelType w:val="multilevel"/>
    <w:tmpl w:val="0090F55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64B3FBE"/>
    <w:multiLevelType w:val="multilevel"/>
    <w:tmpl w:val="39C8F91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C16C4E"/>
    <w:multiLevelType w:val="hybridMultilevel"/>
    <w:tmpl w:val="9258BFC8"/>
    <w:lvl w:ilvl="0" w:tplc="90BE5F78">
      <w:start w:val="1"/>
      <w:numFmt w:val="bullet"/>
      <w:pStyle w:val="BulletLis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DB23312"/>
    <w:multiLevelType w:val="hybridMultilevel"/>
    <w:tmpl w:val="24B6C7CE"/>
    <w:lvl w:ilvl="0" w:tplc="C756B53C">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 w15:restartNumberingAfterBreak="0">
    <w:nsid w:val="5F4E7168"/>
    <w:multiLevelType w:val="multilevel"/>
    <w:tmpl w:val="68867E3A"/>
    <w:lvl w:ilvl="0">
      <w:start w:val="1"/>
      <w:numFmt w:val="decimal"/>
      <w:pStyle w:val="BoxNewPara"/>
      <w:lvlText w:val="%1."/>
      <w:lvlJc w:val="left"/>
      <w:pPr>
        <w:ind w:left="720" w:hanging="720"/>
      </w:pPr>
      <w:rPr>
        <w:rFonts w:ascii="Times New Roman" w:hAnsi="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8" w15:restartNumberingAfterBreak="0">
    <w:nsid w:val="5FFA4880"/>
    <w:multiLevelType w:val="multilevel"/>
    <w:tmpl w:val="86C0E288"/>
    <w:lvl w:ilvl="0">
      <w:start w:val="1"/>
      <w:numFmt w:val="decimal"/>
      <w:pStyle w:val="NewPara"/>
      <w:lvlText w:val="%1."/>
      <w:lvlJc w:val="left"/>
      <w:pPr>
        <w:ind w:left="0" w:firstLine="0"/>
      </w:pPr>
      <w:rPr>
        <w:rFonts w:ascii="Times New Roman" w:hAnsi="Times New Roman" w:cs="Akhbar MT" w:hint="default"/>
        <w:b w:val="0"/>
        <w:bCs w:val="0"/>
        <w:i w:val="0"/>
        <w:iCs w:val="0"/>
        <w:sz w:val="22"/>
        <w:szCs w:val="22"/>
      </w:rPr>
    </w:lvl>
    <w:lvl w:ilvl="1">
      <w:start w:val="1"/>
      <w:numFmt w:val="lowerLetter"/>
      <w:lvlText w:val="%2."/>
      <w:lvlJc w:val="left"/>
      <w:pPr>
        <w:ind w:left="720" w:firstLine="0"/>
      </w:pPr>
    </w:lvl>
    <w:lvl w:ilvl="2">
      <w:start w:val="1"/>
      <w:numFmt w:val="lowerRoman"/>
      <w:lvlText w:val="%3."/>
      <w:lvlJc w:val="right"/>
      <w:pPr>
        <w:ind w:left="1620" w:firstLine="0"/>
      </w:pPr>
    </w:lvl>
    <w:lvl w:ilvl="3">
      <w:start w:val="1"/>
      <w:numFmt w:val="decimal"/>
      <w:lvlText w:val="%4."/>
      <w:lvlJc w:val="left"/>
      <w:pPr>
        <w:ind w:left="2160" w:firstLine="0"/>
      </w:pPr>
    </w:lvl>
    <w:lvl w:ilvl="4">
      <w:start w:val="1"/>
      <w:numFmt w:val="lowerLetter"/>
      <w:lvlText w:val="%5."/>
      <w:lvlJc w:val="left"/>
      <w:pPr>
        <w:ind w:left="2880" w:firstLine="0"/>
      </w:pPr>
    </w:lvl>
    <w:lvl w:ilvl="5">
      <w:start w:val="1"/>
      <w:numFmt w:val="lowerRoman"/>
      <w:lvlText w:val="%6."/>
      <w:lvlJc w:val="right"/>
      <w:pPr>
        <w:ind w:left="3780" w:firstLine="0"/>
      </w:pPr>
    </w:lvl>
    <w:lvl w:ilvl="6" w:tentative="1">
      <w:start w:val="1"/>
      <w:numFmt w:val="decimal"/>
      <w:lvlText w:val="%7."/>
      <w:lvlJc w:val="left"/>
      <w:pPr>
        <w:ind w:left="4320" w:firstLine="0"/>
      </w:pPr>
    </w:lvl>
    <w:lvl w:ilvl="7" w:tentative="1">
      <w:start w:val="1"/>
      <w:numFmt w:val="lowerLetter"/>
      <w:lvlText w:val="%8."/>
      <w:lvlJc w:val="left"/>
      <w:pPr>
        <w:ind w:left="5040" w:firstLine="0"/>
      </w:pPr>
    </w:lvl>
    <w:lvl w:ilvl="8" w:tentative="1">
      <w:start w:val="1"/>
      <w:numFmt w:val="lowerRoman"/>
      <w:lvlText w:val="%9."/>
      <w:lvlJc w:val="right"/>
      <w:pPr>
        <w:ind w:left="5940" w:firstLine="0"/>
      </w:pPr>
    </w:lvl>
  </w:abstractNum>
  <w:abstractNum w:abstractNumId="9" w15:restartNumberingAfterBreak="0">
    <w:nsid w:val="607B14BC"/>
    <w:multiLevelType w:val="hybridMultilevel"/>
    <w:tmpl w:val="4BE045F6"/>
    <w:lvl w:ilvl="0" w:tplc="70A8773C">
      <w:start w:val="1"/>
      <w:numFmt w:val="decimal"/>
      <w:lvlText w:val="3.%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15:restartNumberingAfterBreak="0">
    <w:nsid w:val="6C651EBC"/>
    <w:multiLevelType w:val="hybridMultilevel"/>
    <w:tmpl w:val="07DA811A"/>
    <w:lvl w:ilvl="0" w:tplc="ECF4D43A">
      <w:start w:val="1"/>
      <w:numFmt w:val="decimal"/>
      <w:lvlText w:val="2.%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7E5E338F"/>
    <w:multiLevelType w:val="hybridMultilevel"/>
    <w:tmpl w:val="0FE668EC"/>
    <w:lvl w:ilvl="0" w:tplc="B1A6ABBC">
      <w:start w:val="1"/>
      <w:numFmt w:val="decimal"/>
      <w:lvlText w:val="1.%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8"/>
  </w:num>
  <w:num w:numId="11">
    <w:abstractNumId w:val="7"/>
  </w:num>
  <w:num w:numId="12">
    <w:abstractNumId w:val="5"/>
  </w:num>
  <w:num w:numId="13">
    <w:abstractNumId w:val="11"/>
  </w:num>
  <w:num w:numId="14">
    <w:abstractNumId w:val="6"/>
  </w:num>
  <w:num w:numId="15">
    <w:abstractNumId w:val="9"/>
  </w:num>
  <w:num w:numId="16">
    <w:abstractNumId w:val="1"/>
  </w:num>
  <w:num w:numId="17">
    <w:abstractNumId w:val="0"/>
  </w:num>
  <w:num w:numId="18">
    <w:abstractNumId w:val="0"/>
  </w:num>
  <w:num w:numId="19">
    <w:abstractNumId w:val="0"/>
  </w:num>
  <w:num w:numId="20">
    <w:abstractNumId w:val="0"/>
  </w:num>
  <w:num w:numId="21">
    <w:abstractNumId w:val="10"/>
  </w:num>
  <w:num w:numId="22">
    <w:abstractNumId w:val="3"/>
  </w:num>
  <w:num w:numId="23">
    <w:abstractNumId w:val="0"/>
    <w:lvlOverride w:ilvl="0">
      <w:startOverride w:val="3"/>
    </w:lvlOverride>
  </w:num>
  <w:num w:numId="24">
    <w:abstractNumId w:val="4"/>
  </w:num>
  <w:num w:numId="25">
    <w:abstractNumId w:val="2"/>
  </w:num>
  <w:num w:numId="26">
    <w:abstractNumId w:val="0"/>
  </w:num>
  <w:num w:numId="27">
    <w:abstractNumId w:val="0"/>
  </w:num>
  <w:num w:numId="28">
    <w:abstractNumId w:val="0"/>
  </w:num>
  <w:num w:numId="29">
    <w:abstractNumId w:val="0"/>
  </w:num>
  <w:num w:numId="30">
    <w:abstractNumId w:val="0"/>
  </w:num>
  <w:num w:numId="31">
    <w:abstractNumId w:val="0"/>
  </w:num>
  <w:num w:numId="32">
    <w:abstractNumId w:val="0"/>
  </w:num>
  <w:num w:numId="33">
    <w:abstractNumId w:val="0"/>
  </w:num>
  <w:num w:numId="34">
    <w:abstractNumId w:val="0"/>
  </w:num>
  <w:num w:numId="35">
    <w:abstractNumId w:val="0"/>
  </w:num>
  <w:num w:numId="36">
    <w:abstractNumId w:val="0"/>
  </w:num>
  <w:num w:numId="37">
    <w:abstractNumId w:val="0"/>
  </w:num>
  <w:num w:numId="38">
    <w:abstractNumId w:val="0"/>
  </w:num>
  <w:num w:numId="39">
    <w:abstractNumId w:val="0"/>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ctiveWritingStyle w:appName="MSWord" w:lang="en-IE" w:vendorID="64" w:dllVersion="131077" w:nlCheck="1" w:checkStyle="1"/>
  <w:activeWritingStyle w:appName="MSWord" w:lang="en-GB" w:vendorID="64" w:dllVersion="131077" w:nlCheck="1" w:checkStyle="1"/>
  <w:activeWritingStyle w:appName="MSWord" w:lang="en-US" w:vendorID="64" w:dllVersion="131077" w:nlCheck="1" w:checkStyle="1"/>
  <w:activeWritingStyle w:appName="MSWord" w:lang="en-US" w:vendorID="64" w:dllVersion="131078" w:nlCheck="1" w:checkStyle="1"/>
  <w:activeWritingStyle w:appName="MSWord" w:lang="fr-FR" w:vendorID="64" w:dllVersion="131078" w:nlCheck="1" w:checkStyle="1"/>
  <w:activeWritingStyle w:appName="MSWord" w:lang="en-IE" w:vendorID="64" w:dllVersion="131078" w:nlCheck="1" w:checkStyle="1"/>
  <w:activeWritingStyle w:appName="MSWord" w:lang="en-GB" w:vendorID="64" w:dllVersion="131078" w:nlCheck="1" w:checkStyle="1"/>
  <w:activeWritingStyle w:appName="MSWord" w:lang="en-IN" w:vendorID="64" w:dllVersion="131078" w:nlCheck="1" w:checkStyle="1"/>
  <w:activeWritingStyle w:appName="MSWord" w:lang="en-US" w:vendorID="8" w:dllVersion="513" w:checkStyle="1"/>
  <w:activeWritingStyle w:appName="MSWord" w:lang="en-GB" w:vendorID="8" w:dllVersion="513" w:checkStyle="1"/>
  <w:activeWritingStyle w:appName="MSWord" w:lang="en-IE" w:vendorID="8" w:dllVersion="513" w:checkStyle="1"/>
  <w:activeWritingStyle w:appName="MSWord" w:lang="fr-FR" w:vendorID="9" w:dllVersion="512" w:checkStyle="1"/>
  <w:attachedTemplate r:id="rId1"/>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enforcement="0"/>
  <w:defaultTabStop w:val="720"/>
  <w:evenAndOddHeaders/>
  <w:drawingGridHorizontalSpacing w:val="120"/>
  <w:displayHorizontalDrawingGridEvery w:val="0"/>
  <w:displayVerticalDrawingGridEvery w:val="0"/>
  <w:noPunctuationKerning/>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B30FC"/>
    <w:rsid w:val="00001A01"/>
    <w:rsid w:val="000039AD"/>
    <w:rsid w:val="00011165"/>
    <w:rsid w:val="00017ABF"/>
    <w:rsid w:val="000304A3"/>
    <w:rsid w:val="00033804"/>
    <w:rsid w:val="000362F2"/>
    <w:rsid w:val="00044008"/>
    <w:rsid w:val="00050539"/>
    <w:rsid w:val="00055897"/>
    <w:rsid w:val="00055BCF"/>
    <w:rsid w:val="0005772E"/>
    <w:rsid w:val="00064C25"/>
    <w:rsid w:val="00075D20"/>
    <w:rsid w:val="00076A59"/>
    <w:rsid w:val="000772E9"/>
    <w:rsid w:val="0008051F"/>
    <w:rsid w:val="00086257"/>
    <w:rsid w:val="000903FA"/>
    <w:rsid w:val="00093DEC"/>
    <w:rsid w:val="00094E05"/>
    <w:rsid w:val="0009602B"/>
    <w:rsid w:val="0009708A"/>
    <w:rsid w:val="000A0549"/>
    <w:rsid w:val="000A1502"/>
    <w:rsid w:val="000A3A61"/>
    <w:rsid w:val="000D045E"/>
    <w:rsid w:val="000D6897"/>
    <w:rsid w:val="000F0FCC"/>
    <w:rsid w:val="000F6A1D"/>
    <w:rsid w:val="00107575"/>
    <w:rsid w:val="001239F7"/>
    <w:rsid w:val="001279BA"/>
    <w:rsid w:val="00157E23"/>
    <w:rsid w:val="00161636"/>
    <w:rsid w:val="00173341"/>
    <w:rsid w:val="001760C5"/>
    <w:rsid w:val="001969B2"/>
    <w:rsid w:val="001A3CC2"/>
    <w:rsid w:val="001A7D55"/>
    <w:rsid w:val="001B0EDF"/>
    <w:rsid w:val="001B476C"/>
    <w:rsid w:val="001C3C06"/>
    <w:rsid w:val="001D0EAA"/>
    <w:rsid w:val="001E2004"/>
    <w:rsid w:val="001F0BEC"/>
    <w:rsid w:val="001F16A7"/>
    <w:rsid w:val="001F711F"/>
    <w:rsid w:val="0021372E"/>
    <w:rsid w:val="0021438A"/>
    <w:rsid w:val="00223075"/>
    <w:rsid w:val="002235E9"/>
    <w:rsid w:val="0022481C"/>
    <w:rsid w:val="00242E40"/>
    <w:rsid w:val="00246972"/>
    <w:rsid w:val="00270744"/>
    <w:rsid w:val="00277F34"/>
    <w:rsid w:val="00293C7E"/>
    <w:rsid w:val="00297E65"/>
    <w:rsid w:val="002A0F23"/>
    <w:rsid w:val="002C1F31"/>
    <w:rsid w:val="002C2D9A"/>
    <w:rsid w:val="002C6C60"/>
    <w:rsid w:val="002C7B1A"/>
    <w:rsid w:val="002D07B8"/>
    <w:rsid w:val="002D3935"/>
    <w:rsid w:val="002E0033"/>
    <w:rsid w:val="002E3D0D"/>
    <w:rsid w:val="002F0394"/>
    <w:rsid w:val="002F309C"/>
    <w:rsid w:val="002F43B4"/>
    <w:rsid w:val="0030475B"/>
    <w:rsid w:val="0030665D"/>
    <w:rsid w:val="0031082A"/>
    <w:rsid w:val="00316AD1"/>
    <w:rsid w:val="00333EBA"/>
    <w:rsid w:val="00337C32"/>
    <w:rsid w:val="00342C22"/>
    <w:rsid w:val="003430BD"/>
    <w:rsid w:val="00361B25"/>
    <w:rsid w:val="00362112"/>
    <w:rsid w:val="00362E09"/>
    <w:rsid w:val="00363922"/>
    <w:rsid w:val="00365CC6"/>
    <w:rsid w:val="0036647B"/>
    <w:rsid w:val="00372674"/>
    <w:rsid w:val="0037745A"/>
    <w:rsid w:val="00382B9A"/>
    <w:rsid w:val="0039737D"/>
    <w:rsid w:val="003A063A"/>
    <w:rsid w:val="003A53DB"/>
    <w:rsid w:val="003B0116"/>
    <w:rsid w:val="003B0612"/>
    <w:rsid w:val="003B17F5"/>
    <w:rsid w:val="003B4565"/>
    <w:rsid w:val="003E0CCF"/>
    <w:rsid w:val="003E40A1"/>
    <w:rsid w:val="003E6EFF"/>
    <w:rsid w:val="00406DC5"/>
    <w:rsid w:val="0041346A"/>
    <w:rsid w:val="00426526"/>
    <w:rsid w:val="0042714E"/>
    <w:rsid w:val="004412F4"/>
    <w:rsid w:val="00441EC7"/>
    <w:rsid w:val="004530B8"/>
    <w:rsid w:val="0045666C"/>
    <w:rsid w:val="004663E5"/>
    <w:rsid w:val="0047197D"/>
    <w:rsid w:val="004758CE"/>
    <w:rsid w:val="0049495D"/>
    <w:rsid w:val="004A26DA"/>
    <w:rsid w:val="004A7587"/>
    <w:rsid w:val="004B033C"/>
    <w:rsid w:val="004B622C"/>
    <w:rsid w:val="004F0979"/>
    <w:rsid w:val="004F0FAC"/>
    <w:rsid w:val="00501E4E"/>
    <w:rsid w:val="0050781F"/>
    <w:rsid w:val="00521E31"/>
    <w:rsid w:val="00526D41"/>
    <w:rsid w:val="00553BBF"/>
    <w:rsid w:val="00566B52"/>
    <w:rsid w:val="00584FB0"/>
    <w:rsid w:val="005A51A9"/>
    <w:rsid w:val="005B12EA"/>
    <w:rsid w:val="005C739E"/>
    <w:rsid w:val="005E6B7D"/>
    <w:rsid w:val="005F7E1E"/>
    <w:rsid w:val="0060104B"/>
    <w:rsid w:val="00605090"/>
    <w:rsid w:val="00611078"/>
    <w:rsid w:val="006256F9"/>
    <w:rsid w:val="00634B16"/>
    <w:rsid w:val="006363D7"/>
    <w:rsid w:val="00643BE0"/>
    <w:rsid w:val="00646835"/>
    <w:rsid w:val="00646CA0"/>
    <w:rsid w:val="006476B6"/>
    <w:rsid w:val="00663C2D"/>
    <w:rsid w:val="0066706D"/>
    <w:rsid w:val="0067537E"/>
    <w:rsid w:val="00680FC6"/>
    <w:rsid w:val="00681EDA"/>
    <w:rsid w:val="00686A59"/>
    <w:rsid w:val="00690727"/>
    <w:rsid w:val="006938E8"/>
    <w:rsid w:val="006A29EF"/>
    <w:rsid w:val="006A6CE8"/>
    <w:rsid w:val="006B0EF9"/>
    <w:rsid w:val="006C3589"/>
    <w:rsid w:val="006D12AC"/>
    <w:rsid w:val="0070048C"/>
    <w:rsid w:val="00735860"/>
    <w:rsid w:val="0074207C"/>
    <w:rsid w:val="0074345F"/>
    <w:rsid w:val="00743C5E"/>
    <w:rsid w:val="0074407E"/>
    <w:rsid w:val="007533AB"/>
    <w:rsid w:val="00775B2A"/>
    <w:rsid w:val="007774E0"/>
    <w:rsid w:val="007806E9"/>
    <w:rsid w:val="00786B1C"/>
    <w:rsid w:val="00791632"/>
    <w:rsid w:val="00796276"/>
    <w:rsid w:val="007A1324"/>
    <w:rsid w:val="007B30FC"/>
    <w:rsid w:val="007B766B"/>
    <w:rsid w:val="007C4B18"/>
    <w:rsid w:val="007E0DB5"/>
    <w:rsid w:val="007F1580"/>
    <w:rsid w:val="007F3F17"/>
    <w:rsid w:val="00802CF0"/>
    <w:rsid w:val="00811F6A"/>
    <w:rsid w:val="00814974"/>
    <w:rsid w:val="00822F3D"/>
    <w:rsid w:val="0082628F"/>
    <w:rsid w:val="008306F1"/>
    <w:rsid w:val="00840E98"/>
    <w:rsid w:val="00843A17"/>
    <w:rsid w:val="008469AC"/>
    <w:rsid w:val="00847FBA"/>
    <w:rsid w:val="008542D2"/>
    <w:rsid w:val="00866B47"/>
    <w:rsid w:val="00870882"/>
    <w:rsid w:val="00874916"/>
    <w:rsid w:val="00876197"/>
    <w:rsid w:val="00882F25"/>
    <w:rsid w:val="008B24D9"/>
    <w:rsid w:val="008B3DD8"/>
    <w:rsid w:val="008C7C1D"/>
    <w:rsid w:val="008F29B1"/>
    <w:rsid w:val="00904EC8"/>
    <w:rsid w:val="00916582"/>
    <w:rsid w:val="009251A9"/>
    <w:rsid w:val="00934A5B"/>
    <w:rsid w:val="00947AF7"/>
    <w:rsid w:val="00950BE3"/>
    <w:rsid w:val="009700A2"/>
    <w:rsid w:val="009732D2"/>
    <w:rsid w:val="00976571"/>
    <w:rsid w:val="00991714"/>
    <w:rsid w:val="009927B5"/>
    <w:rsid w:val="00995968"/>
    <w:rsid w:val="009A09CB"/>
    <w:rsid w:val="009A7FD1"/>
    <w:rsid w:val="009B5487"/>
    <w:rsid w:val="009C2FED"/>
    <w:rsid w:val="009D24D0"/>
    <w:rsid w:val="009D3CC4"/>
    <w:rsid w:val="009F1B32"/>
    <w:rsid w:val="009F7D78"/>
    <w:rsid w:val="00A16805"/>
    <w:rsid w:val="00A178C1"/>
    <w:rsid w:val="00A258E7"/>
    <w:rsid w:val="00A3224C"/>
    <w:rsid w:val="00A41510"/>
    <w:rsid w:val="00A53161"/>
    <w:rsid w:val="00A57DB5"/>
    <w:rsid w:val="00A60251"/>
    <w:rsid w:val="00A675DF"/>
    <w:rsid w:val="00A7151E"/>
    <w:rsid w:val="00A8698B"/>
    <w:rsid w:val="00A923DF"/>
    <w:rsid w:val="00A942E8"/>
    <w:rsid w:val="00AA016A"/>
    <w:rsid w:val="00AB39A6"/>
    <w:rsid w:val="00AB5048"/>
    <w:rsid w:val="00AD7D2A"/>
    <w:rsid w:val="00AE7C95"/>
    <w:rsid w:val="00B00FBB"/>
    <w:rsid w:val="00B01CE3"/>
    <w:rsid w:val="00B16B62"/>
    <w:rsid w:val="00B17CCC"/>
    <w:rsid w:val="00B21A19"/>
    <w:rsid w:val="00B235B6"/>
    <w:rsid w:val="00B2660D"/>
    <w:rsid w:val="00B31074"/>
    <w:rsid w:val="00B37023"/>
    <w:rsid w:val="00B43F52"/>
    <w:rsid w:val="00B575B0"/>
    <w:rsid w:val="00B8354C"/>
    <w:rsid w:val="00B868A2"/>
    <w:rsid w:val="00BA3C8E"/>
    <w:rsid w:val="00BB6384"/>
    <w:rsid w:val="00BC0BAF"/>
    <w:rsid w:val="00BF5EE8"/>
    <w:rsid w:val="00BF5F4B"/>
    <w:rsid w:val="00C041D6"/>
    <w:rsid w:val="00C04D58"/>
    <w:rsid w:val="00C14FD7"/>
    <w:rsid w:val="00C21431"/>
    <w:rsid w:val="00C2230A"/>
    <w:rsid w:val="00C25746"/>
    <w:rsid w:val="00C45632"/>
    <w:rsid w:val="00C47AF0"/>
    <w:rsid w:val="00C52E52"/>
    <w:rsid w:val="00C622A4"/>
    <w:rsid w:val="00C6487A"/>
    <w:rsid w:val="00C847B5"/>
    <w:rsid w:val="00C851E2"/>
    <w:rsid w:val="00C92DBA"/>
    <w:rsid w:val="00CA172B"/>
    <w:rsid w:val="00CB2A9C"/>
    <w:rsid w:val="00CB4B75"/>
    <w:rsid w:val="00CD03D7"/>
    <w:rsid w:val="00CF55EC"/>
    <w:rsid w:val="00D12B1C"/>
    <w:rsid w:val="00D22210"/>
    <w:rsid w:val="00D22415"/>
    <w:rsid w:val="00D30C0D"/>
    <w:rsid w:val="00D36115"/>
    <w:rsid w:val="00D40B92"/>
    <w:rsid w:val="00D46E66"/>
    <w:rsid w:val="00D54E60"/>
    <w:rsid w:val="00D61F90"/>
    <w:rsid w:val="00D64336"/>
    <w:rsid w:val="00D6686A"/>
    <w:rsid w:val="00D83EDA"/>
    <w:rsid w:val="00D857AD"/>
    <w:rsid w:val="00D92804"/>
    <w:rsid w:val="00D95201"/>
    <w:rsid w:val="00D95AFA"/>
    <w:rsid w:val="00DA16DB"/>
    <w:rsid w:val="00DB1B87"/>
    <w:rsid w:val="00DC6F53"/>
    <w:rsid w:val="00DD469C"/>
    <w:rsid w:val="00DE318F"/>
    <w:rsid w:val="00DF2CCA"/>
    <w:rsid w:val="00E06DAF"/>
    <w:rsid w:val="00E50D3C"/>
    <w:rsid w:val="00E60104"/>
    <w:rsid w:val="00E60AA9"/>
    <w:rsid w:val="00E61071"/>
    <w:rsid w:val="00E628E0"/>
    <w:rsid w:val="00E776CF"/>
    <w:rsid w:val="00E815EB"/>
    <w:rsid w:val="00E843D1"/>
    <w:rsid w:val="00E90996"/>
    <w:rsid w:val="00E95645"/>
    <w:rsid w:val="00E975E9"/>
    <w:rsid w:val="00EA28C4"/>
    <w:rsid w:val="00EA5D56"/>
    <w:rsid w:val="00EB56C0"/>
    <w:rsid w:val="00ED467C"/>
    <w:rsid w:val="00ED7237"/>
    <w:rsid w:val="00F01046"/>
    <w:rsid w:val="00F015DD"/>
    <w:rsid w:val="00F078A3"/>
    <w:rsid w:val="00F344C1"/>
    <w:rsid w:val="00F35CA1"/>
    <w:rsid w:val="00F457ED"/>
    <w:rsid w:val="00F5191C"/>
    <w:rsid w:val="00F51D11"/>
    <w:rsid w:val="00F771EF"/>
    <w:rsid w:val="00F7747E"/>
    <w:rsid w:val="00F81908"/>
    <w:rsid w:val="00F8207B"/>
    <w:rsid w:val="00F855C3"/>
    <w:rsid w:val="00F8573A"/>
    <w:rsid w:val="00F86729"/>
    <w:rsid w:val="00FA0F02"/>
    <w:rsid w:val="00FE36C2"/>
    <w:rsid w:val="00FF23E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4B958029"/>
  <w15:docId w15:val="{ECC60675-933F-47AA-84E2-12B1E197B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C0BAF"/>
    <w:rPr>
      <w:sz w:val="24"/>
      <w:szCs w:val="24"/>
    </w:rPr>
  </w:style>
  <w:style w:type="paragraph" w:styleId="Heading1">
    <w:name w:val="heading 1"/>
    <w:basedOn w:val="Normal"/>
    <w:next w:val="BodyText"/>
    <w:link w:val="Heading1Char"/>
    <w:qFormat/>
    <w:rsid w:val="00C92DBA"/>
    <w:pPr>
      <w:keepNext/>
      <w:pageBreakBefore/>
      <w:pBdr>
        <w:top w:val="single" w:sz="18" w:space="1" w:color="0000FF"/>
        <w:bottom w:val="single" w:sz="18" w:space="1" w:color="0000FF"/>
      </w:pBdr>
      <w:shd w:val="pct15" w:color="auto" w:fill="FFFFFF"/>
      <w:spacing w:after="120"/>
      <w:outlineLvl w:val="0"/>
    </w:pPr>
    <w:rPr>
      <w:rFonts w:ascii="Arial" w:hAnsi="Arial"/>
      <w:b/>
      <w:color w:val="0000FF"/>
      <w:kern w:val="28"/>
      <w:sz w:val="40"/>
    </w:rPr>
  </w:style>
  <w:style w:type="paragraph" w:styleId="Heading2">
    <w:name w:val="heading 2"/>
    <w:basedOn w:val="Normal"/>
    <w:next w:val="BodyText"/>
    <w:link w:val="Heading2Char"/>
    <w:qFormat/>
    <w:rsid w:val="00E843D1"/>
    <w:pPr>
      <w:keepNext/>
      <w:numPr>
        <w:ilvl w:val="1"/>
        <w:numId w:val="2"/>
      </w:numPr>
      <w:pBdr>
        <w:top w:val="single" w:sz="8" w:space="1" w:color="0000FF"/>
        <w:bottom w:val="single" w:sz="8" w:space="1" w:color="0000FF"/>
      </w:pBdr>
      <w:shd w:val="pct10" w:color="auto" w:fill="FFFFFF"/>
      <w:spacing w:before="360" w:after="120"/>
      <w:outlineLvl w:val="1"/>
    </w:pPr>
    <w:rPr>
      <w:rFonts w:ascii="Arial" w:hAnsi="Arial"/>
      <w:b/>
      <w:color w:val="0000FF"/>
      <w:kern w:val="28"/>
      <w:sz w:val="32"/>
    </w:rPr>
  </w:style>
  <w:style w:type="paragraph" w:styleId="Heading3">
    <w:name w:val="heading 3"/>
    <w:basedOn w:val="Normal"/>
    <w:next w:val="BodyText"/>
    <w:link w:val="Heading3Char"/>
    <w:qFormat/>
    <w:rsid w:val="00BC0BAF"/>
    <w:pPr>
      <w:keepNext/>
      <w:numPr>
        <w:ilvl w:val="2"/>
        <w:numId w:val="3"/>
      </w:numPr>
      <w:spacing w:before="120" w:after="80"/>
      <w:ind w:hanging="864"/>
      <w:outlineLvl w:val="2"/>
    </w:pPr>
    <w:rPr>
      <w:b/>
      <w:i/>
      <w:color w:val="0000FF"/>
      <w:kern w:val="28"/>
      <w:sz w:val="28"/>
      <w:u w:val="single"/>
    </w:rPr>
  </w:style>
  <w:style w:type="paragraph" w:styleId="Heading4">
    <w:name w:val="heading 4"/>
    <w:basedOn w:val="Normal"/>
    <w:next w:val="BodyText"/>
    <w:qFormat/>
    <w:rsid w:val="00BC0BAF"/>
    <w:pPr>
      <w:keepNext/>
      <w:numPr>
        <w:ilvl w:val="3"/>
        <w:numId w:val="4"/>
      </w:numPr>
      <w:spacing w:before="120" w:after="80"/>
      <w:ind w:hanging="864"/>
      <w:outlineLvl w:val="3"/>
    </w:pPr>
    <w:rPr>
      <w:b/>
      <w:kern w:val="28"/>
      <w:u w:val="single"/>
    </w:rPr>
  </w:style>
  <w:style w:type="paragraph" w:styleId="Heading5">
    <w:name w:val="heading 5"/>
    <w:basedOn w:val="Normal"/>
    <w:next w:val="Normal"/>
    <w:qFormat/>
    <w:rsid w:val="00BC0BAF"/>
    <w:pPr>
      <w:numPr>
        <w:ilvl w:val="4"/>
        <w:numId w:val="5"/>
      </w:numPr>
      <w:spacing w:before="240" w:after="60"/>
      <w:ind w:hanging="1008"/>
      <w:outlineLvl w:val="4"/>
    </w:pPr>
    <w:rPr>
      <w:rFonts w:ascii="Arial" w:hAnsi="Arial"/>
      <w:sz w:val="22"/>
      <w:u w:val="single"/>
    </w:rPr>
  </w:style>
  <w:style w:type="paragraph" w:styleId="Heading6">
    <w:name w:val="heading 6"/>
    <w:basedOn w:val="Normal"/>
    <w:next w:val="Normal"/>
    <w:qFormat/>
    <w:rsid w:val="00BC0BAF"/>
    <w:pPr>
      <w:numPr>
        <w:ilvl w:val="5"/>
        <w:numId w:val="6"/>
      </w:numPr>
      <w:spacing w:before="240" w:after="60"/>
      <w:outlineLvl w:val="5"/>
    </w:pPr>
    <w:rPr>
      <w:rFonts w:ascii="Arial" w:hAnsi="Arial"/>
      <w:i/>
      <w:sz w:val="22"/>
    </w:rPr>
  </w:style>
  <w:style w:type="paragraph" w:styleId="Heading7">
    <w:name w:val="heading 7"/>
    <w:basedOn w:val="Normal"/>
    <w:next w:val="Normal"/>
    <w:qFormat/>
    <w:rsid w:val="00BC0BAF"/>
    <w:pPr>
      <w:numPr>
        <w:ilvl w:val="6"/>
        <w:numId w:val="7"/>
      </w:numPr>
      <w:spacing w:before="240" w:after="60"/>
      <w:outlineLvl w:val="6"/>
    </w:pPr>
    <w:rPr>
      <w:rFonts w:ascii="Arial" w:hAnsi="Arial"/>
    </w:rPr>
  </w:style>
  <w:style w:type="paragraph" w:styleId="Heading8">
    <w:name w:val="heading 8"/>
    <w:basedOn w:val="Normal"/>
    <w:next w:val="Normal"/>
    <w:qFormat/>
    <w:rsid w:val="00BC0BAF"/>
    <w:pPr>
      <w:numPr>
        <w:ilvl w:val="7"/>
        <w:numId w:val="8"/>
      </w:numPr>
      <w:spacing w:before="240" w:after="60"/>
      <w:outlineLvl w:val="7"/>
    </w:pPr>
    <w:rPr>
      <w:rFonts w:ascii="Arial" w:hAnsi="Arial"/>
      <w:i/>
    </w:rPr>
  </w:style>
  <w:style w:type="paragraph" w:styleId="Heading9">
    <w:name w:val="heading 9"/>
    <w:basedOn w:val="Normal"/>
    <w:next w:val="Normal"/>
    <w:qFormat/>
    <w:rsid w:val="00BC0BAF"/>
    <w:pPr>
      <w:numPr>
        <w:ilvl w:val="8"/>
        <w:numId w:val="9"/>
      </w:numPr>
      <w:spacing w:before="240" w:after="60"/>
      <w:outlineLvl w:val="8"/>
    </w:pPr>
    <w:rPr>
      <w:rFonts w:ascii="Arial" w:hAnsi="Arial"/>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BC0BAF"/>
    <w:pPr>
      <w:spacing w:after="120"/>
    </w:pPr>
  </w:style>
  <w:style w:type="paragraph" w:customStyle="1" w:styleId="BlockQuotation">
    <w:name w:val="Block Quotation"/>
    <w:basedOn w:val="BodyText"/>
    <w:rsid w:val="00BC0BAF"/>
    <w:pPr>
      <w:keepLines/>
      <w:spacing w:before="120" w:after="160"/>
      <w:ind w:left="720" w:right="720"/>
    </w:pPr>
    <w:rPr>
      <w:i/>
    </w:rPr>
  </w:style>
  <w:style w:type="paragraph" w:styleId="Caption">
    <w:name w:val="caption"/>
    <w:basedOn w:val="Normal"/>
    <w:next w:val="BodyText"/>
    <w:qFormat/>
    <w:rsid w:val="00BC0BAF"/>
    <w:pPr>
      <w:spacing w:before="120" w:after="160"/>
    </w:pPr>
    <w:rPr>
      <w:i/>
      <w:sz w:val="22"/>
    </w:rPr>
  </w:style>
  <w:style w:type="paragraph" w:customStyle="1" w:styleId="ChapterSubtitle">
    <w:name w:val="Chapter Subtitle"/>
    <w:basedOn w:val="Normal"/>
    <w:next w:val="BodyText"/>
    <w:rsid w:val="00BC0BAF"/>
    <w:pPr>
      <w:keepNext/>
      <w:keepLines/>
      <w:spacing w:before="360" w:after="360"/>
      <w:jc w:val="center"/>
    </w:pPr>
    <w:rPr>
      <w:rFonts w:ascii="Arial" w:hAnsi="Arial"/>
      <w:i/>
      <w:kern w:val="28"/>
      <w:sz w:val="32"/>
    </w:rPr>
  </w:style>
  <w:style w:type="paragraph" w:customStyle="1" w:styleId="ChapterTitle">
    <w:name w:val="Chapter Title"/>
    <w:basedOn w:val="Normal"/>
    <w:next w:val="ChapterSubtitle"/>
    <w:rsid w:val="00BC0BAF"/>
    <w:pPr>
      <w:keepNext/>
      <w:keepLines/>
      <w:pBdr>
        <w:top w:val="single" w:sz="6" w:space="1" w:color="auto"/>
        <w:left w:val="single" w:sz="6" w:space="1" w:color="auto"/>
        <w:bottom w:val="single" w:sz="6" w:space="1" w:color="auto"/>
        <w:right w:val="single" w:sz="6" w:space="1" w:color="auto"/>
      </w:pBdr>
      <w:shd w:val="pct5" w:color="auto" w:fill="auto"/>
      <w:spacing w:before="600"/>
      <w:ind w:left="432" w:hanging="432"/>
      <w:jc w:val="center"/>
    </w:pPr>
    <w:rPr>
      <w:rFonts w:ascii="Arial" w:hAnsi="Arial"/>
      <w:b/>
      <w:kern w:val="28"/>
      <w:sz w:val="44"/>
    </w:rPr>
  </w:style>
  <w:style w:type="paragraph" w:styleId="Footer">
    <w:name w:val="footer"/>
    <w:basedOn w:val="Normal"/>
    <w:link w:val="FooterChar"/>
    <w:uiPriority w:val="99"/>
    <w:rsid w:val="00BC0BAF"/>
    <w:pPr>
      <w:keepLines/>
      <w:pBdr>
        <w:top w:val="single" w:sz="18" w:space="4" w:color="0000FF"/>
      </w:pBdr>
      <w:tabs>
        <w:tab w:val="center" w:pos="4320"/>
        <w:tab w:val="right" w:pos="8640"/>
      </w:tabs>
      <w:jc w:val="center"/>
    </w:pPr>
    <w:rPr>
      <w:rFonts w:ascii="Arial" w:hAnsi="Arial"/>
      <w:sz w:val="22"/>
    </w:rPr>
  </w:style>
  <w:style w:type="paragraph" w:customStyle="1" w:styleId="HangIndent">
    <w:name w:val="Hang Indent"/>
    <w:rsid w:val="00BC0BAF"/>
    <w:pPr>
      <w:spacing w:before="72" w:after="72"/>
      <w:ind w:left="1656" w:hanging="1080"/>
      <w:jc w:val="both"/>
    </w:pPr>
    <w:rPr>
      <w:color w:val="000000"/>
      <w:sz w:val="24"/>
      <w:lang w:val="en-IE"/>
    </w:rPr>
  </w:style>
  <w:style w:type="character" w:styleId="FootnoteReference">
    <w:name w:val="footnote reference"/>
    <w:rsid w:val="00BC0BAF"/>
    <w:rPr>
      <w:vertAlign w:val="superscript"/>
    </w:rPr>
  </w:style>
  <w:style w:type="paragraph" w:styleId="FootnoteText">
    <w:name w:val="footnote text"/>
    <w:basedOn w:val="Normal"/>
    <w:link w:val="FootnoteTextChar"/>
    <w:rsid w:val="00BC0BAF"/>
    <w:pPr>
      <w:tabs>
        <w:tab w:val="left" w:pos="187"/>
      </w:tabs>
      <w:spacing w:after="120" w:line="220" w:lineRule="exact"/>
      <w:ind w:left="187" w:hanging="187"/>
    </w:pPr>
    <w:rPr>
      <w:sz w:val="20"/>
    </w:rPr>
  </w:style>
  <w:style w:type="paragraph" w:styleId="Header">
    <w:name w:val="header"/>
    <w:basedOn w:val="Normal"/>
    <w:link w:val="HeaderChar"/>
    <w:rsid w:val="00BC0BAF"/>
    <w:pPr>
      <w:keepLines/>
      <w:pBdr>
        <w:bottom w:val="single" w:sz="18" w:space="1" w:color="0000FF"/>
      </w:pBdr>
      <w:shd w:val="pct15" w:color="auto" w:fill="auto"/>
      <w:tabs>
        <w:tab w:val="center" w:pos="4320"/>
        <w:tab w:val="right" w:pos="8640"/>
      </w:tabs>
      <w:jc w:val="right"/>
    </w:pPr>
    <w:rPr>
      <w:rFonts w:ascii="Abadi MT Condensed Extra Bold" w:hAnsi="Abadi MT Condensed Extra Bold"/>
      <w:color w:val="0000FF"/>
    </w:rPr>
  </w:style>
  <w:style w:type="paragraph" w:customStyle="1" w:styleId="Appendix">
    <w:name w:val="Appendix"/>
    <w:basedOn w:val="Normal"/>
    <w:next w:val="BodyText"/>
    <w:rsid w:val="00BC0BAF"/>
    <w:pPr>
      <w:keepNext/>
      <w:keepLines/>
      <w:pageBreakBefore/>
      <w:pBdr>
        <w:bottom w:val="single" w:sz="18" w:space="1" w:color="0000FF"/>
      </w:pBdr>
      <w:shd w:val="pct12" w:color="auto" w:fill="FFFFFF"/>
      <w:spacing w:before="120" w:after="120" w:line="360" w:lineRule="auto"/>
      <w:jc w:val="center"/>
    </w:pPr>
    <w:rPr>
      <w:b/>
      <w:color w:val="0000FF"/>
      <w:kern w:val="28"/>
      <w:sz w:val="40"/>
    </w:rPr>
  </w:style>
  <w:style w:type="paragraph" w:styleId="List">
    <w:name w:val="List"/>
    <w:basedOn w:val="BodyText"/>
    <w:rsid w:val="00BC0BAF"/>
    <w:pPr>
      <w:tabs>
        <w:tab w:val="left" w:pos="720"/>
      </w:tabs>
      <w:spacing w:after="80"/>
      <w:ind w:left="720" w:hanging="360"/>
    </w:pPr>
  </w:style>
  <w:style w:type="paragraph" w:styleId="List2">
    <w:name w:val="List 2"/>
    <w:basedOn w:val="List"/>
    <w:rsid w:val="00BC0BAF"/>
    <w:pPr>
      <w:tabs>
        <w:tab w:val="clear" w:pos="720"/>
        <w:tab w:val="left" w:pos="1080"/>
      </w:tabs>
      <w:ind w:left="1080"/>
    </w:pPr>
  </w:style>
  <w:style w:type="paragraph" w:customStyle="1" w:styleId="HTMLBody">
    <w:name w:val="HTML Body"/>
    <w:rsid w:val="00BC0BAF"/>
    <w:pPr>
      <w:autoSpaceDE w:val="0"/>
      <w:autoSpaceDN w:val="0"/>
      <w:adjustRightInd w:val="0"/>
    </w:pPr>
    <w:rPr>
      <w:rFonts w:ascii="Arial" w:hAnsi="Arial"/>
      <w:sz w:val="18"/>
      <w:szCs w:val="18"/>
    </w:rPr>
  </w:style>
  <w:style w:type="paragraph" w:styleId="BodyTextIndent2">
    <w:name w:val="Body Text Indent 2"/>
    <w:basedOn w:val="Normal"/>
    <w:rsid w:val="00BC0BAF"/>
    <w:pPr>
      <w:ind w:left="720"/>
    </w:pPr>
    <w:rPr>
      <w:i/>
      <w:iCs/>
    </w:rPr>
  </w:style>
  <w:style w:type="paragraph" w:styleId="NormalWeb">
    <w:name w:val="Normal (Web)"/>
    <w:basedOn w:val="Normal"/>
    <w:uiPriority w:val="99"/>
    <w:rsid w:val="00BC0BAF"/>
    <w:pPr>
      <w:spacing w:before="100" w:beforeAutospacing="1" w:after="100" w:afterAutospacing="1"/>
    </w:pPr>
    <w:rPr>
      <w:rFonts w:ascii="Verdana" w:hAnsi="Verdana"/>
      <w:sz w:val="20"/>
      <w:szCs w:val="20"/>
    </w:rPr>
  </w:style>
  <w:style w:type="paragraph" w:styleId="ListContinue">
    <w:name w:val="List Continue"/>
    <w:basedOn w:val="List"/>
    <w:rsid w:val="00BC0BAF"/>
    <w:pPr>
      <w:tabs>
        <w:tab w:val="clear" w:pos="720"/>
      </w:tabs>
      <w:spacing w:after="160"/>
      <w:ind w:left="648"/>
    </w:pPr>
  </w:style>
  <w:style w:type="paragraph" w:styleId="ListContinue2">
    <w:name w:val="List Continue 2"/>
    <w:basedOn w:val="ListContinue"/>
    <w:rsid w:val="00BC0BAF"/>
    <w:pPr>
      <w:spacing w:after="80"/>
      <w:ind w:left="1080"/>
    </w:pPr>
  </w:style>
  <w:style w:type="paragraph" w:styleId="ListContinue3">
    <w:name w:val="List Continue 3"/>
    <w:basedOn w:val="ListContinue"/>
    <w:rsid w:val="00BC0BAF"/>
    <w:pPr>
      <w:spacing w:after="0"/>
      <w:ind w:left="1440"/>
    </w:pPr>
  </w:style>
  <w:style w:type="paragraph" w:styleId="ListNumber">
    <w:name w:val="List Number"/>
    <w:basedOn w:val="List"/>
    <w:rsid w:val="00BC0BAF"/>
    <w:pPr>
      <w:tabs>
        <w:tab w:val="clear" w:pos="720"/>
      </w:tabs>
      <w:spacing w:after="160"/>
    </w:pPr>
  </w:style>
  <w:style w:type="paragraph" w:styleId="ListNumber2">
    <w:name w:val="List Number 2"/>
    <w:basedOn w:val="ListNumber"/>
    <w:rsid w:val="00BC0BAF"/>
    <w:pPr>
      <w:spacing w:after="80"/>
      <w:ind w:left="1008" w:hanging="288"/>
    </w:pPr>
  </w:style>
  <w:style w:type="paragraph" w:styleId="ListNumber3">
    <w:name w:val="List Number 3"/>
    <w:basedOn w:val="ListNumber"/>
    <w:rsid w:val="00BC0BAF"/>
    <w:pPr>
      <w:spacing w:after="0"/>
      <w:ind w:left="1440"/>
    </w:pPr>
  </w:style>
  <w:style w:type="character" w:styleId="PageNumber">
    <w:name w:val="page number"/>
    <w:rsid w:val="00BC0BAF"/>
    <w:rPr>
      <w:b/>
    </w:rPr>
  </w:style>
  <w:style w:type="paragraph" w:customStyle="1" w:styleId="Picture">
    <w:name w:val="Picture"/>
    <w:basedOn w:val="BodyText"/>
    <w:next w:val="Caption"/>
    <w:rsid w:val="00BC0BAF"/>
    <w:pPr>
      <w:keepNext/>
      <w:spacing w:after="160"/>
    </w:pPr>
  </w:style>
  <w:style w:type="character" w:customStyle="1" w:styleId="Superscript">
    <w:name w:val="Superscript"/>
    <w:rsid w:val="00BC0BAF"/>
    <w:rPr>
      <w:vertAlign w:val="superscript"/>
    </w:rPr>
  </w:style>
  <w:style w:type="paragraph" w:customStyle="1" w:styleId="CoverTitle">
    <w:name w:val="Cover Title"/>
    <w:basedOn w:val="HeadingBase"/>
    <w:next w:val="Normal"/>
    <w:rsid w:val="00BC0BAF"/>
    <w:pPr>
      <w:shd w:val="clear" w:color="auto" w:fill="000000"/>
      <w:spacing w:before="360" w:after="160"/>
      <w:jc w:val="center"/>
    </w:pPr>
    <w:rPr>
      <w:color w:val="FFFFFF"/>
      <w:sz w:val="56"/>
    </w:rPr>
  </w:style>
  <w:style w:type="paragraph" w:customStyle="1" w:styleId="HeadingBase">
    <w:name w:val="Heading Base"/>
    <w:basedOn w:val="Normal"/>
    <w:next w:val="BodyText"/>
    <w:rsid w:val="00BC0BAF"/>
    <w:pPr>
      <w:keepNext/>
      <w:keepLines/>
      <w:spacing w:before="240" w:after="120"/>
    </w:pPr>
    <w:rPr>
      <w:rFonts w:ascii="Arial" w:hAnsi="Arial"/>
      <w:b/>
      <w:kern w:val="28"/>
      <w:sz w:val="36"/>
    </w:rPr>
  </w:style>
  <w:style w:type="paragraph" w:customStyle="1" w:styleId="Coversubtitle">
    <w:name w:val="Cover subtitle"/>
    <w:basedOn w:val="Normal"/>
    <w:next w:val="BodyText"/>
    <w:rsid w:val="00BC0BAF"/>
    <w:pPr>
      <w:keepNext/>
      <w:shd w:val="clear" w:color="auto" w:fill="000000"/>
      <w:spacing w:before="240" w:after="160"/>
      <w:jc w:val="center"/>
    </w:pPr>
    <w:rPr>
      <w:rFonts w:ascii="Arial" w:hAnsi="Arial"/>
      <w:b/>
      <w:i/>
      <w:color w:val="FFFFFF"/>
      <w:kern w:val="28"/>
      <w:sz w:val="44"/>
    </w:rPr>
  </w:style>
  <w:style w:type="paragraph" w:styleId="TOC1">
    <w:name w:val="toc 1"/>
    <w:basedOn w:val="Normal"/>
    <w:uiPriority w:val="39"/>
    <w:rsid w:val="00BC0BAF"/>
    <w:pPr>
      <w:spacing w:before="360"/>
    </w:pPr>
    <w:rPr>
      <w:rFonts w:ascii="Arial" w:hAnsi="Arial"/>
      <w:b/>
      <w:caps/>
    </w:rPr>
  </w:style>
  <w:style w:type="paragraph" w:styleId="TOC2">
    <w:name w:val="toc 2"/>
    <w:basedOn w:val="Normal"/>
    <w:uiPriority w:val="39"/>
    <w:rsid w:val="00BC0BAF"/>
    <w:pPr>
      <w:spacing w:before="240"/>
    </w:pPr>
    <w:rPr>
      <w:rFonts w:ascii="Arial" w:hAnsi="Arial"/>
      <w:b/>
      <w:sz w:val="20"/>
    </w:rPr>
  </w:style>
  <w:style w:type="paragraph" w:styleId="TOC3">
    <w:name w:val="toc 3"/>
    <w:basedOn w:val="Normal"/>
    <w:uiPriority w:val="39"/>
    <w:rsid w:val="00BC0BAF"/>
    <w:pPr>
      <w:ind w:left="240"/>
    </w:pPr>
    <w:rPr>
      <w:rFonts w:ascii="Arial" w:hAnsi="Arial"/>
      <w:i/>
      <w:sz w:val="20"/>
    </w:rPr>
  </w:style>
  <w:style w:type="paragraph" w:styleId="TOC4">
    <w:name w:val="toc 4"/>
    <w:basedOn w:val="Normal"/>
    <w:semiHidden/>
    <w:rsid w:val="00BC0BAF"/>
    <w:pPr>
      <w:ind w:left="480"/>
    </w:pPr>
    <w:rPr>
      <w:sz w:val="20"/>
    </w:rPr>
  </w:style>
  <w:style w:type="paragraph" w:customStyle="1" w:styleId="TOCBase">
    <w:name w:val="TOC Base"/>
    <w:basedOn w:val="Normal"/>
    <w:rsid w:val="00BC0BAF"/>
    <w:pPr>
      <w:tabs>
        <w:tab w:val="right" w:leader="dot" w:pos="8640"/>
      </w:tabs>
    </w:pPr>
  </w:style>
  <w:style w:type="paragraph" w:customStyle="1" w:styleId="SmallTitle">
    <w:name w:val="Small Title"/>
    <w:basedOn w:val="ChapterTitle"/>
    <w:rsid w:val="00BC0BAF"/>
    <w:pPr>
      <w:pBdr>
        <w:top w:val="none" w:sz="0" w:space="0" w:color="auto"/>
        <w:left w:val="none" w:sz="0" w:space="0" w:color="auto"/>
        <w:bottom w:val="none" w:sz="0" w:space="0" w:color="auto"/>
        <w:right w:val="none" w:sz="0" w:space="0" w:color="auto"/>
      </w:pBdr>
      <w:shd w:val="clear" w:color="auto" w:fill="auto"/>
      <w:spacing w:before="120"/>
      <w:ind w:left="0" w:firstLine="0"/>
    </w:pPr>
    <w:rPr>
      <w:sz w:val="36"/>
    </w:rPr>
  </w:style>
  <w:style w:type="paragraph" w:styleId="TOC5">
    <w:name w:val="toc 5"/>
    <w:basedOn w:val="Normal"/>
    <w:next w:val="Normal"/>
    <w:semiHidden/>
    <w:rsid w:val="00BC0BAF"/>
    <w:pPr>
      <w:ind w:left="720"/>
    </w:pPr>
    <w:rPr>
      <w:sz w:val="20"/>
    </w:rPr>
  </w:style>
  <w:style w:type="paragraph" w:styleId="TOC6">
    <w:name w:val="toc 6"/>
    <w:basedOn w:val="Normal"/>
    <w:next w:val="Normal"/>
    <w:semiHidden/>
    <w:rsid w:val="00BC0BAF"/>
    <w:pPr>
      <w:ind w:left="960"/>
    </w:pPr>
    <w:rPr>
      <w:sz w:val="20"/>
    </w:rPr>
  </w:style>
  <w:style w:type="paragraph" w:styleId="TOC7">
    <w:name w:val="toc 7"/>
    <w:basedOn w:val="Normal"/>
    <w:next w:val="Normal"/>
    <w:semiHidden/>
    <w:rsid w:val="00BC0BAF"/>
    <w:pPr>
      <w:ind w:left="1200"/>
    </w:pPr>
    <w:rPr>
      <w:sz w:val="20"/>
    </w:rPr>
  </w:style>
  <w:style w:type="paragraph" w:styleId="TOC8">
    <w:name w:val="toc 8"/>
    <w:basedOn w:val="Normal"/>
    <w:next w:val="Normal"/>
    <w:semiHidden/>
    <w:rsid w:val="00BC0BAF"/>
    <w:pPr>
      <w:ind w:left="1440"/>
    </w:pPr>
    <w:rPr>
      <w:sz w:val="20"/>
    </w:rPr>
  </w:style>
  <w:style w:type="paragraph" w:styleId="TOC9">
    <w:name w:val="toc 9"/>
    <w:basedOn w:val="Normal"/>
    <w:next w:val="Normal"/>
    <w:semiHidden/>
    <w:rsid w:val="00BC0BAF"/>
    <w:pPr>
      <w:ind w:left="1680"/>
    </w:pPr>
    <w:rPr>
      <w:sz w:val="20"/>
    </w:rPr>
  </w:style>
  <w:style w:type="paragraph" w:customStyle="1" w:styleId="Bullet1par">
    <w:name w:val="Bullet 1 par"/>
    <w:next w:val="Normal"/>
    <w:rsid w:val="00BC0BAF"/>
    <w:pPr>
      <w:spacing w:before="72" w:after="72"/>
      <w:ind w:left="936"/>
      <w:jc w:val="both"/>
    </w:pPr>
    <w:rPr>
      <w:color w:val="000000"/>
      <w:sz w:val="24"/>
      <w:lang w:val="en-IE"/>
    </w:rPr>
  </w:style>
  <w:style w:type="paragraph" w:customStyle="1" w:styleId="Appendixheading">
    <w:name w:val="Appendix heading"/>
    <w:basedOn w:val="Heading3"/>
    <w:next w:val="BodyText"/>
    <w:rsid w:val="00BC0BAF"/>
    <w:pPr>
      <w:shd w:val="pct12" w:color="auto" w:fill="auto"/>
      <w:spacing w:before="360" w:after="240"/>
      <w:ind w:left="0" w:firstLine="0"/>
      <w:outlineLvl w:val="9"/>
    </w:pPr>
    <w:rPr>
      <w:i w:val="0"/>
      <w:sz w:val="32"/>
    </w:rPr>
  </w:style>
  <w:style w:type="paragraph" w:styleId="BodyTextIndent">
    <w:name w:val="Body Text Indent"/>
    <w:basedOn w:val="Normal"/>
    <w:rsid w:val="00BC0BAF"/>
    <w:pPr>
      <w:widowControl w:val="0"/>
    </w:pPr>
    <w:rPr>
      <w:b/>
      <w:snapToGrid w:val="0"/>
    </w:rPr>
  </w:style>
  <w:style w:type="paragraph" w:customStyle="1" w:styleId="BodySingle">
    <w:name w:val="Body Single"/>
    <w:basedOn w:val="BodyText"/>
    <w:rsid w:val="00BC0BAF"/>
    <w:pPr>
      <w:spacing w:after="0"/>
    </w:pPr>
  </w:style>
  <w:style w:type="character" w:styleId="Hyperlink">
    <w:name w:val="Hyperlink"/>
    <w:uiPriority w:val="99"/>
    <w:rsid w:val="00BC0BAF"/>
    <w:rPr>
      <w:color w:val="0000FF"/>
      <w:u w:val="single"/>
    </w:rPr>
  </w:style>
  <w:style w:type="character" w:styleId="FollowedHyperlink">
    <w:name w:val="FollowedHyperlink"/>
    <w:rsid w:val="00BC0BAF"/>
    <w:rPr>
      <w:color w:val="800080"/>
      <w:u w:val="single"/>
    </w:rPr>
  </w:style>
  <w:style w:type="paragraph" w:styleId="DocumentMap">
    <w:name w:val="Document Map"/>
    <w:basedOn w:val="Normal"/>
    <w:semiHidden/>
    <w:rsid w:val="00BC0BAF"/>
    <w:pPr>
      <w:shd w:val="clear" w:color="auto" w:fill="000080"/>
    </w:pPr>
    <w:rPr>
      <w:rFonts w:ascii="Tahoma" w:hAnsi="Tahoma"/>
    </w:rPr>
  </w:style>
  <w:style w:type="paragraph" w:styleId="BalloonText">
    <w:name w:val="Balloon Text"/>
    <w:basedOn w:val="Normal"/>
    <w:link w:val="BalloonTextChar"/>
    <w:rsid w:val="00F8207B"/>
    <w:rPr>
      <w:rFonts w:ascii="Tahoma" w:hAnsi="Tahoma" w:cs="Tahoma"/>
      <w:sz w:val="16"/>
      <w:szCs w:val="16"/>
    </w:rPr>
  </w:style>
  <w:style w:type="table" w:styleId="TableGrid">
    <w:name w:val="Table Grid"/>
    <w:basedOn w:val="TableNormal"/>
    <w:rsid w:val="00EA5D5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A942E8"/>
    <w:rPr>
      <w:rFonts w:ascii="Arial" w:hAnsi="Arial"/>
      <w:b/>
      <w:color w:val="0000FF"/>
      <w:kern w:val="28"/>
      <w:sz w:val="40"/>
      <w:szCs w:val="24"/>
      <w:shd w:val="pct15" w:color="auto" w:fill="FFFFFF"/>
    </w:rPr>
  </w:style>
  <w:style w:type="paragraph" w:customStyle="1" w:styleId="Default">
    <w:name w:val="Default"/>
    <w:rsid w:val="00A942E8"/>
    <w:pPr>
      <w:autoSpaceDE w:val="0"/>
      <w:autoSpaceDN w:val="0"/>
      <w:adjustRightInd w:val="0"/>
    </w:pPr>
    <w:rPr>
      <w:rFonts w:eastAsia="Calibri"/>
      <w:color w:val="000000"/>
      <w:sz w:val="24"/>
      <w:szCs w:val="24"/>
      <w:lang w:val="id-ID"/>
    </w:rPr>
  </w:style>
  <w:style w:type="paragraph" w:styleId="ListParagraph">
    <w:name w:val="List Paragraph"/>
    <w:basedOn w:val="Normal"/>
    <w:uiPriority w:val="34"/>
    <w:qFormat/>
    <w:rsid w:val="00A942E8"/>
    <w:pPr>
      <w:spacing w:after="200" w:line="276" w:lineRule="auto"/>
      <w:ind w:left="720"/>
      <w:contextualSpacing/>
    </w:pPr>
    <w:rPr>
      <w:rFonts w:ascii="Calibri" w:eastAsia="Calibri" w:hAnsi="Calibri"/>
      <w:sz w:val="22"/>
      <w:szCs w:val="22"/>
      <w:lang w:val="id-ID"/>
    </w:rPr>
  </w:style>
  <w:style w:type="paragraph" w:customStyle="1" w:styleId="default0">
    <w:name w:val="default"/>
    <w:basedOn w:val="Normal"/>
    <w:rsid w:val="003E40A1"/>
    <w:rPr>
      <w:rFonts w:ascii="Gulim" w:eastAsia="Gulim" w:hAnsi="Gulim" w:cs="Gulim"/>
      <w:lang w:eastAsia="ko-KR"/>
    </w:rPr>
  </w:style>
  <w:style w:type="paragraph" w:customStyle="1" w:styleId="NewPara">
    <w:name w:val="NewPara"/>
    <w:basedOn w:val="ListParagraph"/>
    <w:link w:val="NewParaChar"/>
    <w:qFormat/>
    <w:rsid w:val="00D22415"/>
    <w:pPr>
      <w:numPr>
        <w:numId w:val="10"/>
      </w:numPr>
      <w:spacing w:line="240" w:lineRule="auto"/>
      <w:contextualSpacing w:val="0"/>
    </w:pPr>
    <w:rPr>
      <w:rFonts w:ascii="Times New Roman" w:eastAsiaTheme="minorHAnsi" w:hAnsi="Times New Roman" w:cs="Akhbar MT"/>
      <w:szCs w:val="30"/>
      <w:lang w:val="en-GB"/>
    </w:rPr>
  </w:style>
  <w:style w:type="character" w:customStyle="1" w:styleId="NewParaChar">
    <w:name w:val="NewPara Char"/>
    <w:basedOn w:val="DefaultParagraphFont"/>
    <w:link w:val="NewPara"/>
    <w:rsid w:val="00D22415"/>
    <w:rPr>
      <w:rFonts w:eastAsiaTheme="minorHAnsi" w:cs="Akhbar MT"/>
      <w:sz w:val="22"/>
      <w:szCs w:val="30"/>
      <w:lang w:val="en-GB"/>
    </w:rPr>
  </w:style>
  <w:style w:type="paragraph" w:styleId="NoSpacing">
    <w:name w:val="No Spacing"/>
    <w:uiPriority w:val="1"/>
    <w:qFormat/>
    <w:rsid w:val="000362F2"/>
    <w:rPr>
      <w:rFonts w:eastAsiaTheme="minorHAnsi" w:cstheme="minorBidi"/>
      <w:sz w:val="24"/>
      <w:szCs w:val="22"/>
      <w:lang w:val="en-GB"/>
    </w:rPr>
  </w:style>
  <w:style w:type="paragraph" w:customStyle="1" w:styleId="BoxNewPara">
    <w:name w:val="Box NewPara"/>
    <w:basedOn w:val="ListParagraph"/>
    <w:link w:val="BoxNewParaChar"/>
    <w:qFormat/>
    <w:rsid w:val="00055BCF"/>
    <w:pPr>
      <w:numPr>
        <w:numId w:val="11"/>
      </w:numPr>
      <w:spacing w:before="120" w:after="0" w:line="240" w:lineRule="auto"/>
      <w:contextualSpacing w:val="0"/>
    </w:pPr>
    <w:rPr>
      <w:rFonts w:ascii="Times New Roman" w:hAnsi="Times New Roman" w:cs="Akhbar MT"/>
      <w:szCs w:val="30"/>
      <w:lang w:val="en-GB"/>
    </w:rPr>
  </w:style>
  <w:style w:type="character" w:customStyle="1" w:styleId="BoxNewParaChar">
    <w:name w:val="Box NewPara Char"/>
    <w:basedOn w:val="DefaultParagraphFont"/>
    <w:link w:val="BoxNewPara"/>
    <w:rsid w:val="00055BCF"/>
    <w:rPr>
      <w:rFonts w:eastAsia="Calibri" w:cs="Akhbar MT"/>
      <w:sz w:val="22"/>
      <w:szCs w:val="30"/>
      <w:lang w:val="en-GB"/>
    </w:rPr>
  </w:style>
  <w:style w:type="paragraph" w:customStyle="1" w:styleId="BulletList">
    <w:name w:val="Bullet List"/>
    <w:basedOn w:val="ListParagraph"/>
    <w:qFormat/>
    <w:rsid w:val="0009602B"/>
    <w:pPr>
      <w:numPr>
        <w:numId w:val="12"/>
      </w:numPr>
      <w:spacing w:before="120" w:after="0" w:line="240" w:lineRule="auto"/>
    </w:pPr>
    <w:rPr>
      <w:rFonts w:ascii="Times New Roman" w:hAnsi="Times New Roman" w:cs="Akhbar MT"/>
      <w:szCs w:val="30"/>
      <w:lang w:val="en-GB"/>
    </w:rPr>
  </w:style>
  <w:style w:type="paragraph" w:customStyle="1" w:styleId="BoxBulletList">
    <w:name w:val="Box Bullet List"/>
    <w:basedOn w:val="BulletList"/>
    <w:link w:val="BoxBulletListChar"/>
    <w:qFormat/>
    <w:rsid w:val="0009602B"/>
  </w:style>
  <w:style w:type="character" w:customStyle="1" w:styleId="BoxBulletListChar">
    <w:name w:val="Box Bullet List Char"/>
    <w:basedOn w:val="DefaultParagraphFont"/>
    <w:link w:val="BoxBulletList"/>
    <w:rsid w:val="0009602B"/>
    <w:rPr>
      <w:rFonts w:eastAsia="Calibri" w:cs="Akhbar MT"/>
      <w:sz w:val="22"/>
      <w:szCs w:val="30"/>
      <w:lang w:val="en-GB"/>
    </w:rPr>
  </w:style>
  <w:style w:type="character" w:styleId="CommentReference">
    <w:name w:val="annotation reference"/>
    <w:basedOn w:val="DefaultParagraphFont"/>
    <w:semiHidden/>
    <w:unhideWhenUsed/>
    <w:rsid w:val="00044008"/>
    <w:rPr>
      <w:sz w:val="16"/>
      <w:szCs w:val="16"/>
    </w:rPr>
  </w:style>
  <w:style w:type="paragraph" w:styleId="CommentText">
    <w:name w:val="annotation text"/>
    <w:basedOn w:val="Normal"/>
    <w:link w:val="CommentTextChar"/>
    <w:semiHidden/>
    <w:unhideWhenUsed/>
    <w:rsid w:val="00044008"/>
    <w:rPr>
      <w:sz w:val="20"/>
      <w:szCs w:val="20"/>
    </w:rPr>
  </w:style>
  <w:style w:type="character" w:customStyle="1" w:styleId="CommentTextChar">
    <w:name w:val="Comment Text Char"/>
    <w:basedOn w:val="DefaultParagraphFont"/>
    <w:link w:val="CommentText"/>
    <w:semiHidden/>
    <w:rsid w:val="00044008"/>
  </w:style>
  <w:style w:type="paragraph" w:styleId="CommentSubject">
    <w:name w:val="annotation subject"/>
    <w:basedOn w:val="CommentText"/>
    <w:next w:val="CommentText"/>
    <w:link w:val="CommentSubjectChar"/>
    <w:semiHidden/>
    <w:unhideWhenUsed/>
    <w:rsid w:val="00044008"/>
    <w:rPr>
      <w:b/>
      <w:bCs/>
    </w:rPr>
  </w:style>
  <w:style w:type="character" w:customStyle="1" w:styleId="CommentSubjectChar">
    <w:name w:val="Comment Subject Char"/>
    <w:basedOn w:val="CommentTextChar"/>
    <w:link w:val="CommentSubject"/>
    <w:semiHidden/>
    <w:rsid w:val="00044008"/>
    <w:rPr>
      <w:b/>
      <w:bCs/>
    </w:rPr>
  </w:style>
  <w:style w:type="paragraph" w:customStyle="1" w:styleId="2">
    <w:name w:val="标题2"/>
    <w:basedOn w:val="Heading2"/>
    <w:qFormat/>
    <w:rsid w:val="00874916"/>
    <w:pPr>
      <w:keepLines/>
      <w:widowControl w:val="0"/>
      <w:numPr>
        <w:ilvl w:val="0"/>
      </w:numPr>
      <w:pBdr>
        <w:top w:val="none" w:sz="0" w:space="0" w:color="auto"/>
        <w:bottom w:val="none" w:sz="0" w:space="0" w:color="auto"/>
      </w:pBdr>
      <w:shd w:val="clear" w:color="auto" w:fill="auto"/>
      <w:spacing w:before="120" w:afterLines="50" w:after="50" w:line="360" w:lineRule="auto"/>
      <w:jc w:val="both"/>
    </w:pPr>
    <w:rPr>
      <w:rFonts w:ascii="Times New Roman" w:eastAsiaTheme="majorEastAsia" w:hAnsi="Times New Roman" w:cstheme="majorBidi"/>
      <w:bCs/>
      <w:color w:val="auto"/>
      <w:kern w:val="2"/>
      <w:sz w:val="24"/>
      <w:szCs w:val="32"/>
      <w:lang w:eastAsia="zh-CN"/>
    </w:rPr>
  </w:style>
  <w:style w:type="paragraph" w:customStyle="1" w:styleId="3">
    <w:name w:val="标题3"/>
    <w:basedOn w:val="Heading3"/>
    <w:link w:val="3Char"/>
    <w:qFormat/>
    <w:rsid w:val="00874916"/>
    <w:pPr>
      <w:keepLines/>
      <w:widowControl w:val="0"/>
      <w:numPr>
        <w:ilvl w:val="0"/>
        <w:numId w:val="0"/>
      </w:numPr>
      <w:spacing w:after="120"/>
      <w:jc w:val="both"/>
    </w:pPr>
    <w:rPr>
      <w:rFonts w:ascii="SimSun" w:eastAsia="SimSun" w:hAnsi="SimSun" w:cs="SimSun"/>
      <w:i w:val="0"/>
      <w:color w:val="2F2F2F"/>
      <w:kern w:val="2"/>
      <w:sz w:val="24"/>
      <w:szCs w:val="21"/>
      <w:u w:val="none"/>
      <w:lang w:eastAsia="zh-CN"/>
    </w:rPr>
  </w:style>
  <w:style w:type="character" w:customStyle="1" w:styleId="3Char">
    <w:name w:val="标题3 Char"/>
    <w:basedOn w:val="Heading3Char"/>
    <w:link w:val="3"/>
    <w:rsid w:val="00874916"/>
    <w:rPr>
      <w:rFonts w:ascii="SimSun" w:eastAsia="SimSun" w:hAnsi="SimSun" w:cs="SimSun"/>
      <w:b/>
      <w:bCs/>
      <w:i/>
      <w:color w:val="2F2F2F"/>
      <w:kern w:val="28"/>
      <w:sz w:val="24"/>
      <w:szCs w:val="21"/>
      <w:u w:val="single"/>
      <w:lang w:eastAsia="zh-CN"/>
    </w:rPr>
  </w:style>
  <w:style w:type="character" w:customStyle="1" w:styleId="Heading3Char">
    <w:name w:val="Heading 3 Char"/>
    <w:basedOn w:val="DefaultParagraphFont"/>
    <w:link w:val="Heading3"/>
    <w:rsid w:val="00874916"/>
    <w:rPr>
      <w:b/>
      <w:i/>
      <w:color w:val="0000FF"/>
      <w:kern w:val="28"/>
      <w:sz w:val="28"/>
      <w:szCs w:val="24"/>
      <w:u w:val="single"/>
    </w:rPr>
  </w:style>
  <w:style w:type="character" w:customStyle="1" w:styleId="Heading2Char">
    <w:name w:val="Heading 2 Char"/>
    <w:basedOn w:val="DefaultParagraphFont"/>
    <w:link w:val="Heading2"/>
    <w:rsid w:val="00874916"/>
    <w:rPr>
      <w:rFonts w:ascii="Arial" w:hAnsi="Arial"/>
      <w:b/>
      <w:color w:val="0000FF"/>
      <w:kern w:val="28"/>
      <w:sz w:val="32"/>
      <w:szCs w:val="24"/>
      <w:shd w:val="pct10" w:color="auto" w:fill="FFFFFF"/>
    </w:rPr>
  </w:style>
  <w:style w:type="character" w:customStyle="1" w:styleId="BalloonTextChar">
    <w:name w:val="Balloon Text Char"/>
    <w:basedOn w:val="DefaultParagraphFont"/>
    <w:link w:val="BalloonText"/>
    <w:rsid w:val="00874916"/>
    <w:rPr>
      <w:rFonts w:ascii="Tahoma" w:hAnsi="Tahoma" w:cs="Tahoma"/>
      <w:sz w:val="16"/>
      <w:szCs w:val="16"/>
    </w:rPr>
  </w:style>
  <w:style w:type="paragraph" w:styleId="Title">
    <w:name w:val="Title"/>
    <w:basedOn w:val="Normal"/>
    <w:next w:val="Normal"/>
    <w:link w:val="TitleChar"/>
    <w:qFormat/>
    <w:rsid w:val="00874916"/>
    <w:pPr>
      <w:widowControl w:val="0"/>
      <w:spacing w:before="240" w:after="60"/>
      <w:jc w:val="center"/>
      <w:outlineLvl w:val="0"/>
    </w:pPr>
    <w:rPr>
      <w:rFonts w:asciiTheme="majorHAnsi" w:eastAsia="SimSun" w:hAnsiTheme="majorHAnsi" w:cstheme="majorBidi"/>
      <w:b/>
      <w:bCs/>
      <w:kern w:val="2"/>
      <w:sz w:val="32"/>
      <w:szCs w:val="32"/>
      <w:lang w:eastAsia="zh-CN"/>
    </w:rPr>
  </w:style>
  <w:style w:type="character" w:customStyle="1" w:styleId="TitleChar">
    <w:name w:val="Title Char"/>
    <w:basedOn w:val="DefaultParagraphFont"/>
    <w:link w:val="Title"/>
    <w:rsid w:val="00874916"/>
    <w:rPr>
      <w:rFonts w:asciiTheme="majorHAnsi" w:eastAsia="SimSun" w:hAnsiTheme="majorHAnsi" w:cstheme="majorBidi"/>
      <w:b/>
      <w:bCs/>
      <w:kern w:val="2"/>
      <w:sz w:val="32"/>
      <w:szCs w:val="32"/>
      <w:lang w:eastAsia="zh-CN"/>
    </w:rPr>
  </w:style>
  <w:style w:type="character" w:customStyle="1" w:styleId="fontstyle01">
    <w:name w:val="fontstyle01"/>
    <w:basedOn w:val="DefaultParagraphFont"/>
    <w:rsid w:val="00874916"/>
    <w:rPr>
      <w:rFonts w:ascii="TimesNewRoman" w:hAnsi="TimesNewRoman" w:hint="default"/>
      <w:b w:val="0"/>
      <w:bCs w:val="0"/>
      <w:i w:val="0"/>
      <w:iCs w:val="0"/>
      <w:color w:val="000000"/>
      <w:sz w:val="24"/>
      <w:szCs w:val="24"/>
    </w:rPr>
  </w:style>
  <w:style w:type="character" w:customStyle="1" w:styleId="HeaderChar">
    <w:name w:val="Header Char"/>
    <w:basedOn w:val="DefaultParagraphFont"/>
    <w:link w:val="Header"/>
    <w:rsid w:val="00874916"/>
    <w:rPr>
      <w:rFonts w:ascii="Abadi MT Condensed Extra Bold" w:hAnsi="Abadi MT Condensed Extra Bold"/>
      <w:color w:val="0000FF"/>
      <w:sz w:val="24"/>
      <w:szCs w:val="24"/>
      <w:shd w:val="pct15" w:color="auto" w:fill="auto"/>
    </w:rPr>
  </w:style>
  <w:style w:type="character" w:customStyle="1" w:styleId="FooterChar">
    <w:name w:val="Footer Char"/>
    <w:basedOn w:val="DefaultParagraphFont"/>
    <w:link w:val="Footer"/>
    <w:uiPriority w:val="99"/>
    <w:rsid w:val="00874916"/>
    <w:rPr>
      <w:rFonts w:ascii="Arial" w:hAnsi="Arial"/>
      <w:sz w:val="22"/>
      <w:szCs w:val="24"/>
    </w:rPr>
  </w:style>
  <w:style w:type="character" w:customStyle="1" w:styleId="FootnoteTextChar">
    <w:name w:val="Footnote Text Char"/>
    <w:basedOn w:val="DefaultParagraphFont"/>
    <w:link w:val="FootnoteText"/>
    <w:rsid w:val="00874916"/>
    <w:rPr>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20708792">
      <w:bodyDiv w:val="1"/>
      <w:marLeft w:val="0"/>
      <w:marRight w:val="0"/>
      <w:marTop w:val="0"/>
      <w:marBottom w:val="0"/>
      <w:divBdr>
        <w:top w:val="none" w:sz="0" w:space="0" w:color="auto"/>
        <w:left w:val="none" w:sz="0" w:space="0" w:color="auto"/>
        <w:bottom w:val="none" w:sz="0" w:space="0" w:color="auto"/>
        <w:right w:val="none" w:sz="0" w:space="0" w:color="auto"/>
      </w:divBdr>
      <w:divsChild>
        <w:div w:id="786773007">
          <w:marLeft w:val="562"/>
          <w:marRight w:val="0"/>
          <w:marTop w:val="0"/>
          <w:marBottom w:val="0"/>
          <w:divBdr>
            <w:top w:val="none" w:sz="0" w:space="0" w:color="auto"/>
            <w:left w:val="none" w:sz="0" w:space="0" w:color="auto"/>
            <w:bottom w:val="none" w:sz="0" w:space="0" w:color="auto"/>
            <w:right w:val="none" w:sz="0" w:space="0" w:color="auto"/>
          </w:divBdr>
        </w:div>
        <w:div w:id="782722832">
          <w:marLeft w:val="562"/>
          <w:marRight w:val="0"/>
          <w:marTop w:val="0"/>
          <w:marBottom w:val="0"/>
          <w:divBdr>
            <w:top w:val="none" w:sz="0" w:space="0" w:color="auto"/>
            <w:left w:val="none" w:sz="0" w:space="0" w:color="auto"/>
            <w:bottom w:val="none" w:sz="0" w:space="0" w:color="auto"/>
            <w:right w:val="none" w:sz="0" w:space="0" w:color="auto"/>
          </w:divBdr>
        </w:div>
        <w:div w:id="243301608">
          <w:marLeft w:val="562"/>
          <w:marRight w:val="0"/>
          <w:marTop w:val="0"/>
          <w:marBottom w:val="0"/>
          <w:divBdr>
            <w:top w:val="none" w:sz="0" w:space="0" w:color="auto"/>
            <w:left w:val="none" w:sz="0" w:space="0" w:color="auto"/>
            <w:bottom w:val="none" w:sz="0" w:space="0" w:color="auto"/>
            <w:right w:val="none" w:sz="0" w:space="0" w:color="auto"/>
          </w:divBdr>
        </w:div>
        <w:div w:id="623192104">
          <w:marLeft w:val="562"/>
          <w:marRight w:val="0"/>
          <w:marTop w:val="0"/>
          <w:marBottom w:val="0"/>
          <w:divBdr>
            <w:top w:val="none" w:sz="0" w:space="0" w:color="auto"/>
            <w:left w:val="none" w:sz="0" w:space="0" w:color="auto"/>
            <w:bottom w:val="none" w:sz="0" w:space="0" w:color="auto"/>
            <w:right w:val="none" w:sz="0" w:space="0" w:color="auto"/>
          </w:divBdr>
        </w:div>
      </w:divsChild>
    </w:div>
    <w:div w:id="649403084">
      <w:bodyDiv w:val="1"/>
      <w:marLeft w:val="0"/>
      <w:marRight w:val="0"/>
      <w:marTop w:val="0"/>
      <w:marBottom w:val="0"/>
      <w:divBdr>
        <w:top w:val="none" w:sz="0" w:space="0" w:color="auto"/>
        <w:left w:val="none" w:sz="0" w:space="0" w:color="auto"/>
        <w:bottom w:val="none" w:sz="0" w:space="0" w:color="auto"/>
        <w:right w:val="none" w:sz="0" w:space="0" w:color="auto"/>
      </w:divBdr>
    </w:div>
    <w:div w:id="982390207">
      <w:bodyDiv w:val="1"/>
      <w:marLeft w:val="0"/>
      <w:marRight w:val="0"/>
      <w:marTop w:val="0"/>
      <w:marBottom w:val="0"/>
      <w:divBdr>
        <w:top w:val="none" w:sz="0" w:space="0" w:color="auto"/>
        <w:left w:val="none" w:sz="0" w:space="0" w:color="auto"/>
        <w:bottom w:val="none" w:sz="0" w:space="0" w:color="auto"/>
        <w:right w:val="none" w:sz="0" w:space="0" w:color="auto"/>
      </w:divBdr>
      <w:divsChild>
        <w:div w:id="930547681">
          <w:marLeft w:val="360"/>
          <w:marRight w:val="0"/>
          <w:marTop w:val="200"/>
          <w:marBottom w:val="0"/>
          <w:divBdr>
            <w:top w:val="none" w:sz="0" w:space="0" w:color="auto"/>
            <w:left w:val="none" w:sz="0" w:space="0" w:color="auto"/>
            <w:bottom w:val="none" w:sz="0" w:space="0" w:color="auto"/>
            <w:right w:val="none" w:sz="0" w:space="0" w:color="auto"/>
          </w:divBdr>
        </w:div>
        <w:div w:id="1917785166">
          <w:marLeft w:val="360"/>
          <w:marRight w:val="0"/>
          <w:marTop w:val="200"/>
          <w:marBottom w:val="0"/>
          <w:divBdr>
            <w:top w:val="none" w:sz="0" w:space="0" w:color="auto"/>
            <w:left w:val="none" w:sz="0" w:space="0" w:color="auto"/>
            <w:bottom w:val="none" w:sz="0" w:space="0" w:color="auto"/>
            <w:right w:val="none" w:sz="0" w:space="0" w:color="auto"/>
          </w:divBdr>
        </w:div>
        <w:div w:id="1869827340">
          <w:marLeft w:val="360"/>
          <w:marRight w:val="0"/>
          <w:marTop w:val="200"/>
          <w:marBottom w:val="0"/>
          <w:divBdr>
            <w:top w:val="none" w:sz="0" w:space="0" w:color="auto"/>
            <w:left w:val="none" w:sz="0" w:space="0" w:color="auto"/>
            <w:bottom w:val="none" w:sz="0" w:space="0" w:color="auto"/>
            <w:right w:val="none" w:sz="0" w:space="0" w:color="auto"/>
          </w:divBdr>
        </w:div>
        <w:div w:id="220337581">
          <w:marLeft w:val="360"/>
          <w:marRight w:val="0"/>
          <w:marTop w:val="200"/>
          <w:marBottom w:val="0"/>
          <w:divBdr>
            <w:top w:val="none" w:sz="0" w:space="0" w:color="auto"/>
            <w:left w:val="none" w:sz="0" w:space="0" w:color="auto"/>
            <w:bottom w:val="none" w:sz="0" w:space="0" w:color="auto"/>
            <w:right w:val="none" w:sz="0" w:space="0" w:color="auto"/>
          </w:divBdr>
        </w:div>
        <w:div w:id="280654227">
          <w:marLeft w:val="360"/>
          <w:marRight w:val="0"/>
          <w:marTop w:val="200"/>
          <w:marBottom w:val="0"/>
          <w:divBdr>
            <w:top w:val="none" w:sz="0" w:space="0" w:color="auto"/>
            <w:left w:val="none" w:sz="0" w:space="0" w:color="auto"/>
            <w:bottom w:val="none" w:sz="0" w:space="0" w:color="auto"/>
            <w:right w:val="none" w:sz="0" w:space="0" w:color="auto"/>
          </w:divBdr>
        </w:div>
      </w:divsChild>
    </w:div>
    <w:div w:id="1026098608">
      <w:bodyDiv w:val="1"/>
      <w:marLeft w:val="0"/>
      <w:marRight w:val="0"/>
      <w:marTop w:val="0"/>
      <w:marBottom w:val="0"/>
      <w:divBdr>
        <w:top w:val="none" w:sz="0" w:space="0" w:color="auto"/>
        <w:left w:val="none" w:sz="0" w:space="0" w:color="auto"/>
        <w:bottom w:val="none" w:sz="0" w:space="0" w:color="auto"/>
        <w:right w:val="none" w:sz="0" w:space="0" w:color="auto"/>
      </w:divBdr>
    </w:div>
    <w:div w:id="1162624419">
      <w:bodyDiv w:val="1"/>
      <w:marLeft w:val="0"/>
      <w:marRight w:val="0"/>
      <w:marTop w:val="0"/>
      <w:marBottom w:val="0"/>
      <w:divBdr>
        <w:top w:val="none" w:sz="0" w:space="0" w:color="auto"/>
        <w:left w:val="none" w:sz="0" w:space="0" w:color="auto"/>
        <w:bottom w:val="none" w:sz="0" w:space="0" w:color="auto"/>
        <w:right w:val="none" w:sz="0" w:space="0" w:color="auto"/>
      </w:divBdr>
      <w:divsChild>
        <w:div w:id="1617131832">
          <w:marLeft w:val="562"/>
          <w:marRight w:val="0"/>
          <w:marTop w:val="0"/>
          <w:marBottom w:val="0"/>
          <w:divBdr>
            <w:top w:val="none" w:sz="0" w:space="0" w:color="auto"/>
            <w:left w:val="none" w:sz="0" w:space="0" w:color="auto"/>
            <w:bottom w:val="none" w:sz="0" w:space="0" w:color="auto"/>
            <w:right w:val="none" w:sz="0" w:space="0" w:color="auto"/>
          </w:divBdr>
        </w:div>
        <w:div w:id="395979801">
          <w:marLeft w:val="562"/>
          <w:marRight w:val="0"/>
          <w:marTop w:val="0"/>
          <w:marBottom w:val="0"/>
          <w:divBdr>
            <w:top w:val="none" w:sz="0" w:space="0" w:color="auto"/>
            <w:left w:val="none" w:sz="0" w:space="0" w:color="auto"/>
            <w:bottom w:val="none" w:sz="0" w:space="0" w:color="auto"/>
            <w:right w:val="none" w:sz="0" w:space="0" w:color="auto"/>
          </w:divBdr>
        </w:div>
        <w:div w:id="502165508">
          <w:marLeft w:val="562"/>
          <w:marRight w:val="0"/>
          <w:marTop w:val="0"/>
          <w:marBottom w:val="0"/>
          <w:divBdr>
            <w:top w:val="none" w:sz="0" w:space="0" w:color="auto"/>
            <w:left w:val="none" w:sz="0" w:space="0" w:color="auto"/>
            <w:bottom w:val="none" w:sz="0" w:space="0" w:color="auto"/>
            <w:right w:val="none" w:sz="0" w:space="0" w:color="auto"/>
          </w:divBdr>
        </w:div>
        <w:div w:id="634525970">
          <w:marLeft w:val="562"/>
          <w:marRight w:val="0"/>
          <w:marTop w:val="0"/>
          <w:marBottom w:val="0"/>
          <w:divBdr>
            <w:top w:val="none" w:sz="0" w:space="0" w:color="auto"/>
            <w:left w:val="none" w:sz="0" w:space="0" w:color="auto"/>
            <w:bottom w:val="none" w:sz="0" w:space="0" w:color="auto"/>
            <w:right w:val="none" w:sz="0" w:space="0" w:color="auto"/>
          </w:divBdr>
        </w:div>
      </w:divsChild>
    </w:div>
    <w:div w:id="1450010583">
      <w:bodyDiv w:val="1"/>
      <w:marLeft w:val="0"/>
      <w:marRight w:val="0"/>
      <w:marTop w:val="0"/>
      <w:marBottom w:val="0"/>
      <w:divBdr>
        <w:top w:val="none" w:sz="0" w:space="0" w:color="auto"/>
        <w:left w:val="none" w:sz="0" w:space="0" w:color="auto"/>
        <w:bottom w:val="none" w:sz="0" w:space="0" w:color="auto"/>
        <w:right w:val="none" w:sz="0" w:space="0" w:color="auto"/>
      </w:divBdr>
    </w:div>
    <w:div w:id="18825528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hart" Target="charts/chart5.xml"/><Relationship Id="rId26" Type="http://schemas.openxmlformats.org/officeDocument/2006/relationships/chart" Target="charts/chart13.xml"/><Relationship Id="rId3" Type="http://schemas.openxmlformats.org/officeDocument/2006/relationships/styles" Target="styles.xml"/><Relationship Id="rId21" Type="http://schemas.openxmlformats.org/officeDocument/2006/relationships/chart" Target="charts/chart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hart" Target="charts/chart4.xml"/><Relationship Id="rId25" Type="http://schemas.openxmlformats.org/officeDocument/2006/relationships/chart" Target="charts/chart12.xml"/><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chart" Target="charts/chart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chart" Target="charts/chart11.xm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chart" Target="charts/chart10.xml"/><Relationship Id="rId28" Type="http://schemas.openxmlformats.org/officeDocument/2006/relationships/chart" Target="charts/chart15.xml"/><Relationship Id="rId10" Type="http://schemas.openxmlformats.org/officeDocument/2006/relationships/footer" Target="footer1.xml"/><Relationship Id="rId19" Type="http://schemas.openxmlformats.org/officeDocument/2006/relationships/chart" Target="charts/chart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chart" Target="charts/chart1.xml"/><Relationship Id="rId22" Type="http://schemas.openxmlformats.org/officeDocument/2006/relationships/chart" Target="charts/chart9.xml"/><Relationship Id="rId27" Type="http://schemas.openxmlformats.org/officeDocument/2006/relationships/chart" Target="charts/chart14.xml"/><Relationship Id="rId30"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Brian\Report%20Basic.dot"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C:\Users\lenovo\Desktop\statistic_id258557_us-tea-market_-total-wholesale-value-1990-2015.xlsx" TargetMode="External"/></Relationships>
</file>

<file path=word/charts/_rels/chart10.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11.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12.xml.rels><?xml version="1.0" encoding="UTF-8" standalone="yes"?>
<Relationships xmlns="http://schemas.openxmlformats.org/package/2006/relationships"><Relationship Id="rId1" Type="http://schemas.openxmlformats.org/officeDocument/2006/relationships/oleObject" Target="file:///D:\2017%20FAO-IGG\&#20840;&#29699;&#24066;&#22330;&#20998;&#26512;&#25968;&#25454;&#22270;&#34920;.xlsx" TargetMode="External"/></Relationships>
</file>

<file path=word/charts/_rels/chart13.xml.rels><?xml version="1.0" encoding="UTF-8" standalone="yes"?>
<Relationships xmlns="http://schemas.openxmlformats.org/package/2006/relationships"><Relationship Id="rId1" Type="http://schemas.openxmlformats.org/officeDocument/2006/relationships/oleObject" Target="file:///C:\Users\TriCaas\Desktop\FAO-IGG20170612\&#21103;&#26412;20170607&#26032;&#21326;&#31038;&#37319;&#35775;%20&#25968;&#25454;&#20998;&#26512;.xlsx" TargetMode="External"/></Relationships>
</file>

<file path=word/charts/_rels/chart14.xml.rels><?xml version="1.0" encoding="UTF-8" standalone="yes"?>
<Relationships xmlns="http://schemas.openxmlformats.org/package/2006/relationships"><Relationship Id="rId1" Type="http://schemas.openxmlformats.org/officeDocument/2006/relationships/oleObject" Target="file:///C:\Users\TriCaas\Desktop\FAO-IGG20170612\&#21103;&#26412;20170607&#26032;&#21326;&#31038;&#37319;&#35775;%20&#25968;&#25454;&#20998;&#26512;.xlsx" TargetMode="External"/></Relationships>
</file>

<file path=word/charts/_rels/chart15.xml.rels><?xml version="1.0" encoding="UTF-8" standalone="yes"?>
<Relationships xmlns="http://schemas.openxmlformats.org/package/2006/relationships"><Relationship Id="rId1" Type="http://schemas.openxmlformats.org/officeDocument/2006/relationships/oleObject" Target="file:///C:\Users\TriCaas\Desktop\FAO-IGG20170612\&#20840;&#29699;&#24066;&#22330;&#20998;&#26512;&#25968;&#25454;&#22270;&#34920;-&#33521;&#25991;&#29256;.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D:\2017%20FAO-IGG\&#20840;&#29699;&#24066;&#22330;&#20998;&#26512;&#25968;&#25454;&#22270;&#34920;.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D:\2017%20FAO-IGG\&#20840;&#29699;&#24066;&#22330;&#20998;&#26512;&#25968;&#25454;&#22270;&#34920;.xlsx" TargetMode="External"/></Relationships>
</file>

<file path=word/charts/_rels/chart5.xml.rels><?xml version="1.0" encoding="UTF-8" standalone="yes"?>
<Relationships xmlns="http://schemas.openxmlformats.org/package/2006/relationships"><Relationship Id="rId1" Type="http://schemas.openxmlformats.org/officeDocument/2006/relationships/oleObject" Target="file:///C:\Users\lenovo\Desktop\statistic_id466560_tea-consumption-by-style-in-the-united-kingdom--uk--2016.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2017%20FAO-IGG\&#20840;&#29699;&#24066;&#22330;&#20998;&#26512;&#25968;&#25454;&#22270;&#34920;.xlsx" TargetMode="External"/></Relationships>
</file>

<file path=word/charts/_rels/chart7.xml.rels><?xml version="1.0" encoding="UTF-8" standalone="yes"?>
<Relationships xmlns="http://schemas.openxmlformats.org/package/2006/relationships"><Relationship Id="rId1" Type="http://schemas.openxmlformats.org/officeDocument/2006/relationships/oleObject" Target="file:///C:\Users\TriCaas\Desktop\FAO-IGG20170612\&#20840;&#29699;&#24066;&#22330;&#20998;&#26512;&#25968;&#25454;&#22270;&#34920;-&#33521;&#25991;&#29256;.xlsx" TargetMode="External"/></Relationships>
</file>

<file path=word/charts/_rels/chart8.xml.rels><?xml version="1.0" encoding="UTF-8" standalone="yes"?>
<Relationships xmlns="http://schemas.openxmlformats.org/package/2006/relationships"><Relationship Id="rId1" Type="http://schemas.openxmlformats.org/officeDocument/2006/relationships/oleObject" Target="&#24037;&#20316;&#31807;1" TargetMode="External"/></Relationships>
</file>

<file path=word/charts/_rels/chart9.xml.rels><?xml version="1.0" encoding="UTF-8" standalone="yes"?>
<Relationships xmlns="http://schemas.openxmlformats.org/package/2006/relationships"><Relationship Id="rId1" Type="http://schemas.openxmlformats.org/officeDocument/2006/relationships/oleObject" Target="file:///D:\2017%20FAO-IGG\&#20840;&#29699;&#24066;&#22330;&#20998;&#26512;&#25968;&#25454;&#22270;&#34920;-&#20013;&#25991;&#29256;.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Data!$B$6:$B$10</c:f>
              <c:strCache>
                <c:ptCount val="5"/>
                <c:pt idx="0">
                  <c:v>1990</c:v>
                </c:pt>
                <c:pt idx="1">
                  <c:v>2012</c:v>
                </c:pt>
                <c:pt idx="2">
                  <c:v>2013</c:v>
                </c:pt>
                <c:pt idx="3">
                  <c:v>2014</c:v>
                </c:pt>
                <c:pt idx="4">
                  <c:v>2015*</c:v>
                </c:pt>
              </c:strCache>
            </c:strRef>
          </c:cat>
          <c:val>
            <c:numRef>
              <c:f>Data!$C$6:$C$10</c:f>
              <c:numCache>
                <c:formatCode>#,##0.##</c:formatCode>
                <c:ptCount val="5"/>
                <c:pt idx="0">
                  <c:v>1.84</c:v>
                </c:pt>
                <c:pt idx="1">
                  <c:v>9.7899999999999991</c:v>
                </c:pt>
                <c:pt idx="2">
                  <c:v>10.41</c:v>
                </c:pt>
                <c:pt idx="3">
                  <c:v>10.84</c:v>
                </c:pt>
                <c:pt idx="4">
                  <c:v>11.5</c:v>
                </c:pt>
              </c:numCache>
            </c:numRef>
          </c:val>
        </c:ser>
        <c:dLbls>
          <c:showLegendKey val="0"/>
          <c:showVal val="0"/>
          <c:showCatName val="0"/>
          <c:showSerName val="0"/>
          <c:showPercent val="0"/>
          <c:showBubbleSize val="0"/>
        </c:dLbls>
        <c:gapWidth val="150"/>
        <c:axId val="383986472"/>
        <c:axId val="383989608"/>
      </c:barChart>
      <c:catAx>
        <c:axId val="383986472"/>
        <c:scaling>
          <c:orientation val="minMax"/>
        </c:scaling>
        <c:delete val="0"/>
        <c:axPos val="b"/>
        <c:numFmt formatCode="General" sourceLinked="0"/>
        <c:majorTickMark val="out"/>
        <c:minorTickMark val="none"/>
        <c:tickLblPos val="nextTo"/>
        <c:crossAx val="383989608"/>
        <c:crosses val="autoZero"/>
        <c:auto val="1"/>
        <c:lblAlgn val="ctr"/>
        <c:lblOffset val="100"/>
        <c:noMultiLvlLbl val="0"/>
      </c:catAx>
      <c:valAx>
        <c:axId val="383989608"/>
        <c:scaling>
          <c:orientation val="minMax"/>
          <c:min val="0.5"/>
        </c:scaling>
        <c:delete val="0"/>
        <c:axPos val="l"/>
        <c:majorGridlines/>
        <c:title>
          <c:tx>
            <c:rich>
              <a:bodyPr rot="-5400000" vert="horz"/>
              <a:lstStyle/>
              <a:p>
                <a:pPr>
                  <a:defRPr b="0">
                    <a:latin typeface="Times New Roman" pitchFamily="18" charset="0"/>
                    <a:cs typeface="Times New Roman" pitchFamily="18" charset="0"/>
                  </a:defRPr>
                </a:pPr>
                <a:r>
                  <a:rPr lang="en-US" altLang="zh-CN" b="0">
                    <a:latin typeface="Times New Roman" pitchFamily="18" charset="0"/>
                    <a:cs typeface="Times New Roman" pitchFamily="18" charset="0"/>
                  </a:rPr>
                  <a:t>sales in billion U.S. dollars</a:t>
                </a:r>
                <a:endParaRPr lang="zh-CN" altLang="en-US" b="0">
                  <a:latin typeface="Times New Roman" pitchFamily="18" charset="0"/>
                  <a:cs typeface="Times New Roman" pitchFamily="18" charset="0"/>
                </a:endParaRPr>
              </a:p>
            </c:rich>
          </c:tx>
          <c:layout/>
          <c:overlay val="0"/>
        </c:title>
        <c:numFmt formatCode="#,##0.##" sourceLinked="1"/>
        <c:majorTickMark val="out"/>
        <c:minorTickMark val="none"/>
        <c:tickLblPos val="nextTo"/>
        <c:crossAx val="383986472"/>
        <c:crosses val="autoZero"/>
        <c:crossBetween val="between"/>
      </c:valAx>
    </c:plotArea>
    <c:plotVisOnly val="1"/>
    <c:dispBlanksAs val="gap"/>
    <c:showDLblsOverMax val="0"/>
  </c:chart>
  <c:spPr>
    <a:ln>
      <a:noFill/>
    </a:ln>
  </c:sp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pieChart>
        <c:varyColors val="1"/>
        <c:ser>
          <c:idx val="0"/>
          <c:order val="0"/>
          <c:dLbls>
            <c:dLbl>
              <c:idx val="0"/>
              <c:layout>
                <c:manualLayout>
                  <c:x val="0"/>
                  <c:y val="-0.11574074074074074"/>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4.1666666666666692E-2"/>
                  <c:y val="2.3148148148148147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0"/>
                  <c:y val="5.0925925925925923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3"/>
              <c:layout>
                <c:manualLayout>
                  <c:x val="-1.9444444444444445E-2"/>
                  <c:y val="3.7037037037037077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4"/>
              <c:layout>
                <c:manualLayout>
                  <c:x val="-7.4999999999999997E-2"/>
                  <c:y val="4.1666666666666664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5"/>
              <c:layout>
                <c:manualLayout>
                  <c:x val="-5.8333333333333334E-2"/>
                  <c:y val="-2.777777777777779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6"/>
              <c:layout>
                <c:manualLayout>
                  <c:x val="1.1111111111111112E-2"/>
                  <c:y val="-4.6296296296296294E-3"/>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7"/>
              <c:layout>
                <c:manualLayout>
                  <c:x val="0.26944444444444443"/>
                  <c:y val="-2.777777777777778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txPr>
              <a:bodyPr/>
              <a:lstStyle/>
              <a:p>
                <a:pPr>
                  <a:defRPr sz="1000"/>
                </a:pPr>
                <a:endParaRPr lang="en-US"/>
              </a:p>
            </c:tx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Sheet3!$A$3:$A$10</c:f>
              <c:strCache>
                <c:ptCount val="8"/>
                <c:pt idx="0">
                  <c:v>Green Tea</c:v>
                </c:pt>
                <c:pt idx="1">
                  <c:v>Black Tea</c:v>
                </c:pt>
                <c:pt idx="2">
                  <c:v>Dark Tea</c:v>
                </c:pt>
                <c:pt idx="3">
                  <c:v>Oolong Tea</c:v>
                </c:pt>
                <c:pt idx="4">
                  <c:v>White Tea</c:v>
                </c:pt>
                <c:pt idx="5">
                  <c:v>Puer Tea</c:v>
                </c:pt>
                <c:pt idx="6">
                  <c:v>Herbal Tea</c:v>
                </c:pt>
                <c:pt idx="7">
                  <c:v>Other Tea</c:v>
                </c:pt>
              </c:strCache>
            </c:strRef>
          </c:cat>
          <c:val>
            <c:numRef>
              <c:f>Sheet3!$C$3:$C$10</c:f>
              <c:numCache>
                <c:formatCode>0.0%</c:formatCode>
                <c:ptCount val="8"/>
                <c:pt idx="0">
                  <c:v>0.53300000000000003</c:v>
                </c:pt>
                <c:pt idx="1">
                  <c:v>0.10299999999999999</c:v>
                </c:pt>
                <c:pt idx="2">
                  <c:v>0.11700000000000001</c:v>
                </c:pt>
                <c:pt idx="3">
                  <c:v>0.111</c:v>
                </c:pt>
                <c:pt idx="4">
                  <c:v>1.0999999999999999E-2</c:v>
                </c:pt>
                <c:pt idx="5">
                  <c:v>3.3000000000000002E-2</c:v>
                </c:pt>
                <c:pt idx="6">
                  <c:v>0.04</c:v>
                </c:pt>
                <c:pt idx="7">
                  <c:v>5.6000000000000001E-2</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4996062992125983"/>
          <c:y val="3.75116652085156E-2"/>
          <c:w val="0.82491535433070862"/>
          <c:h val="0.69836030912802571"/>
        </c:manualLayout>
      </c:layout>
      <c:barChart>
        <c:barDir val="col"/>
        <c:grouping val="stacked"/>
        <c:varyColors val="0"/>
        <c:ser>
          <c:idx val="0"/>
          <c:order val="0"/>
          <c:tx>
            <c:strRef>
              <c:f>Sheet1!$B$76</c:f>
              <c:strCache>
                <c:ptCount val="1"/>
                <c:pt idx="0">
                  <c:v>Rural</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Sheet1!$A$77:$A$82</c:f>
              <c:numCache>
                <c:formatCode>General</c:formatCode>
                <c:ptCount val="6"/>
                <c:pt idx="0">
                  <c:v>2011</c:v>
                </c:pt>
                <c:pt idx="1">
                  <c:v>2012</c:v>
                </c:pt>
                <c:pt idx="2">
                  <c:v>2013</c:v>
                </c:pt>
                <c:pt idx="3">
                  <c:v>2014</c:v>
                </c:pt>
                <c:pt idx="4">
                  <c:v>2015</c:v>
                </c:pt>
                <c:pt idx="5">
                  <c:v>2016</c:v>
                </c:pt>
              </c:numCache>
            </c:numRef>
          </c:cat>
          <c:val>
            <c:numRef>
              <c:f>Sheet1!$B$77:$B$82</c:f>
              <c:numCache>
                <c:formatCode>General</c:formatCode>
                <c:ptCount val="6"/>
                <c:pt idx="0">
                  <c:v>178</c:v>
                </c:pt>
                <c:pt idx="1">
                  <c:v>177</c:v>
                </c:pt>
                <c:pt idx="2">
                  <c:v>177</c:v>
                </c:pt>
                <c:pt idx="3">
                  <c:v>175</c:v>
                </c:pt>
                <c:pt idx="4">
                  <c:v>172</c:v>
                </c:pt>
                <c:pt idx="5">
                  <c:v>171</c:v>
                </c:pt>
              </c:numCache>
            </c:numRef>
          </c:val>
        </c:ser>
        <c:ser>
          <c:idx val="1"/>
          <c:order val="1"/>
          <c:tx>
            <c:strRef>
              <c:f>Sheet1!$C$76</c:f>
              <c:strCache>
                <c:ptCount val="1"/>
                <c:pt idx="0">
                  <c:v>Urban</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Sheet1!$A$77:$A$82</c:f>
              <c:numCache>
                <c:formatCode>General</c:formatCode>
                <c:ptCount val="6"/>
                <c:pt idx="0">
                  <c:v>2011</c:v>
                </c:pt>
                <c:pt idx="1">
                  <c:v>2012</c:v>
                </c:pt>
                <c:pt idx="2">
                  <c:v>2013</c:v>
                </c:pt>
                <c:pt idx="3">
                  <c:v>2014</c:v>
                </c:pt>
                <c:pt idx="4">
                  <c:v>2015</c:v>
                </c:pt>
                <c:pt idx="5">
                  <c:v>2016</c:v>
                </c:pt>
              </c:numCache>
            </c:numRef>
          </c:cat>
          <c:val>
            <c:numRef>
              <c:f>Sheet1!$C$77:$C$82</c:f>
              <c:numCache>
                <c:formatCode>General</c:formatCode>
                <c:ptCount val="6"/>
                <c:pt idx="0">
                  <c:v>265</c:v>
                </c:pt>
                <c:pt idx="1">
                  <c:v>271</c:v>
                </c:pt>
                <c:pt idx="2">
                  <c:v>277</c:v>
                </c:pt>
                <c:pt idx="3">
                  <c:v>291</c:v>
                </c:pt>
                <c:pt idx="4">
                  <c:v>299</c:v>
                </c:pt>
                <c:pt idx="5">
                  <c:v>309</c:v>
                </c:pt>
              </c:numCache>
            </c:numRef>
          </c:val>
        </c:ser>
        <c:dLbls>
          <c:showLegendKey val="0"/>
          <c:showVal val="0"/>
          <c:showCatName val="0"/>
          <c:showSerName val="0"/>
          <c:showPercent val="0"/>
          <c:showBubbleSize val="0"/>
        </c:dLbls>
        <c:gapWidth val="150"/>
        <c:overlap val="100"/>
        <c:axId val="279977536"/>
        <c:axId val="279977928"/>
      </c:barChart>
      <c:catAx>
        <c:axId val="279977536"/>
        <c:scaling>
          <c:orientation val="minMax"/>
        </c:scaling>
        <c:delete val="0"/>
        <c:axPos val="b"/>
        <c:numFmt formatCode="General" sourceLinked="1"/>
        <c:majorTickMark val="out"/>
        <c:minorTickMark val="none"/>
        <c:tickLblPos val="nextTo"/>
        <c:crossAx val="279977928"/>
        <c:crosses val="autoZero"/>
        <c:auto val="1"/>
        <c:lblAlgn val="ctr"/>
        <c:lblOffset val="100"/>
        <c:noMultiLvlLbl val="0"/>
      </c:catAx>
      <c:valAx>
        <c:axId val="279977928"/>
        <c:scaling>
          <c:orientation val="minMax"/>
        </c:scaling>
        <c:delete val="0"/>
        <c:axPos val="l"/>
        <c:majorGridlines/>
        <c:title>
          <c:tx>
            <c:rich>
              <a:bodyPr rot="-5400000" vert="horz"/>
              <a:lstStyle/>
              <a:p>
                <a:pPr>
                  <a:defRPr b="0"/>
                </a:pPr>
                <a:r>
                  <a:rPr lang="en-US" b="0"/>
                  <a:t>million</a:t>
                </a:r>
                <a:endParaRPr lang="zh-CN" b="0"/>
              </a:p>
            </c:rich>
          </c:tx>
          <c:layout/>
          <c:overlay val="0"/>
        </c:title>
        <c:numFmt formatCode="General" sourceLinked="1"/>
        <c:majorTickMark val="out"/>
        <c:minorTickMark val="none"/>
        <c:tickLblPos val="nextTo"/>
        <c:crossAx val="279977536"/>
        <c:crosses val="autoZero"/>
        <c:crossBetween val="between"/>
      </c:valAx>
    </c:plotArea>
    <c:legend>
      <c:legendPos val="r"/>
      <c:layout>
        <c:manualLayout>
          <c:xMode val="edge"/>
          <c:yMode val="edge"/>
          <c:x val="0.3133759842519685"/>
          <c:y val="0.89776428988043167"/>
          <c:w val="0.32829068241469817"/>
          <c:h val="9.7989938757655298E-2"/>
        </c:manualLayout>
      </c:layout>
      <c:overlay val="0"/>
    </c:legend>
    <c:plotVisOnly val="1"/>
    <c:dispBlanksAs val="gap"/>
    <c:showDLblsOverMax val="0"/>
  </c:chart>
  <c:spPr>
    <a:ln>
      <a:noFill/>
    </a:ln>
  </c:sp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4903018372703411"/>
          <c:y val="2.8252405949256341E-2"/>
          <c:w val="0.83708092738407691"/>
          <c:h val="0.83105615076803929"/>
        </c:manualLayout>
      </c:layout>
      <c:lineChart>
        <c:grouping val="standard"/>
        <c:varyColors val="0"/>
        <c:ser>
          <c:idx val="1"/>
          <c:order val="0"/>
          <c:tx>
            <c:strRef>
              <c:f>Sheet3!$B$1</c:f>
              <c:strCache>
                <c:ptCount val="1"/>
                <c:pt idx="0">
                  <c:v>production</c:v>
                </c:pt>
              </c:strCache>
            </c:strRef>
          </c:tx>
          <c:cat>
            <c:numRef>
              <c:f>Sheet3!$A$2:$A$16</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Sheet3!$B$2:$B$16</c:f>
              <c:numCache>
                <c:formatCode>General</c:formatCode>
                <c:ptCount val="15"/>
                <c:pt idx="0">
                  <c:v>3058</c:v>
                </c:pt>
                <c:pt idx="1">
                  <c:v>3086.0000000000005</c:v>
                </c:pt>
                <c:pt idx="2">
                  <c:v>3217</c:v>
                </c:pt>
                <c:pt idx="3">
                  <c:v>3333.9999999999995</c:v>
                </c:pt>
                <c:pt idx="4">
                  <c:v>3536.9999999999995</c:v>
                </c:pt>
                <c:pt idx="5">
                  <c:v>3666.0000000000005</c:v>
                </c:pt>
                <c:pt idx="6">
                  <c:v>3854</c:v>
                </c:pt>
                <c:pt idx="7">
                  <c:v>3965</c:v>
                </c:pt>
                <c:pt idx="8">
                  <c:v>4019</c:v>
                </c:pt>
                <c:pt idx="9">
                  <c:v>4281</c:v>
                </c:pt>
                <c:pt idx="10">
                  <c:v>4561</c:v>
                </c:pt>
                <c:pt idx="11">
                  <c:v>4693</c:v>
                </c:pt>
                <c:pt idx="12">
                  <c:v>4993</c:v>
                </c:pt>
                <c:pt idx="13">
                  <c:v>5195</c:v>
                </c:pt>
                <c:pt idx="14">
                  <c:v>5285</c:v>
                </c:pt>
              </c:numCache>
            </c:numRef>
          </c:val>
          <c:smooth val="0"/>
        </c:ser>
        <c:dLbls>
          <c:showLegendKey val="0"/>
          <c:showVal val="0"/>
          <c:showCatName val="0"/>
          <c:showSerName val="0"/>
          <c:showPercent val="0"/>
          <c:showBubbleSize val="0"/>
        </c:dLbls>
        <c:marker val="1"/>
        <c:smooth val="0"/>
        <c:axId val="386006552"/>
        <c:axId val="386006944"/>
      </c:lineChart>
      <c:catAx>
        <c:axId val="386006552"/>
        <c:scaling>
          <c:orientation val="minMax"/>
        </c:scaling>
        <c:delete val="0"/>
        <c:axPos val="b"/>
        <c:numFmt formatCode="General" sourceLinked="1"/>
        <c:majorTickMark val="out"/>
        <c:minorTickMark val="none"/>
        <c:tickLblPos val="nextTo"/>
        <c:txPr>
          <a:bodyPr rot="-2700000"/>
          <a:lstStyle/>
          <a:p>
            <a:pPr>
              <a:defRPr/>
            </a:pPr>
            <a:endParaRPr lang="en-US"/>
          </a:p>
        </c:txPr>
        <c:crossAx val="386006944"/>
        <c:crosses val="autoZero"/>
        <c:auto val="1"/>
        <c:lblAlgn val="ctr"/>
        <c:lblOffset val="100"/>
        <c:noMultiLvlLbl val="0"/>
      </c:catAx>
      <c:valAx>
        <c:axId val="386006944"/>
        <c:scaling>
          <c:orientation val="minMax"/>
        </c:scaling>
        <c:delete val="0"/>
        <c:axPos val="l"/>
        <c:majorGridlines/>
        <c:title>
          <c:tx>
            <c:rich>
              <a:bodyPr rot="-5400000" vert="horz"/>
              <a:lstStyle/>
              <a:p>
                <a:pPr>
                  <a:defRPr/>
                </a:pPr>
                <a:r>
                  <a:rPr lang="en-US" altLang="zh-CN" b="0"/>
                  <a:t>thousand tonnes</a:t>
                </a:r>
                <a:endParaRPr lang="zh-CN" altLang="en-US" b="0"/>
              </a:p>
            </c:rich>
          </c:tx>
          <c:layout/>
          <c:overlay val="0"/>
        </c:title>
        <c:numFmt formatCode="General" sourceLinked="1"/>
        <c:majorTickMark val="out"/>
        <c:minorTickMark val="none"/>
        <c:tickLblPos val="nextTo"/>
        <c:crossAx val="386006552"/>
        <c:crosses val="autoZero"/>
        <c:crossBetween val="between"/>
      </c:valAx>
    </c:plotArea>
    <c:plotVisOnly val="1"/>
    <c:dispBlanksAs val="gap"/>
    <c:showDLblsOverMax val="0"/>
  </c:chart>
  <c:spPr>
    <a:ln>
      <a:noFill/>
    </a:ln>
  </c:sp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258573928258968"/>
          <c:y val="2.8252405949256341E-2"/>
          <c:w val="0.8597014435695538"/>
          <c:h val="0.74465660542432199"/>
        </c:manualLayout>
      </c:layout>
      <c:lineChart>
        <c:grouping val="standard"/>
        <c:varyColors val="0"/>
        <c:ser>
          <c:idx val="0"/>
          <c:order val="0"/>
          <c:tx>
            <c:strRef>
              <c:f>产量!$K$1</c:f>
              <c:strCache>
                <c:ptCount val="1"/>
                <c:pt idx="0">
                  <c:v>China</c:v>
                </c:pt>
              </c:strCache>
            </c:strRef>
          </c:tx>
          <c:cat>
            <c:numRef>
              <c:f>产量!$A$7:$A$16</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产量!$K$7:$K$16</c:f>
              <c:numCache>
                <c:formatCode>0.00%</c:formatCode>
                <c:ptCount val="10"/>
                <c:pt idx="0">
                  <c:v>0.28047250109122657</c:v>
                </c:pt>
                <c:pt idx="1">
                  <c:v>0.30238169364881695</c:v>
                </c:pt>
                <c:pt idx="2">
                  <c:v>0.31713529189257345</c:v>
                </c:pt>
                <c:pt idx="3">
                  <c:v>0.33807793759020555</c:v>
                </c:pt>
                <c:pt idx="4">
                  <c:v>0.34457707491415357</c:v>
                </c:pt>
                <c:pt idx="5">
                  <c:v>0.35584785706456212</c:v>
                </c:pt>
                <c:pt idx="6">
                  <c:v>0.38153098420413117</c:v>
                </c:pt>
                <c:pt idx="7">
                  <c:v>0.38561724808143144</c:v>
                </c:pt>
                <c:pt idx="8">
                  <c:v>0.40329843737972443</c:v>
                </c:pt>
                <c:pt idx="9">
                  <c:v>0.42942240989292718</c:v>
                </c:pt>
              </c:numCache>
            </c:numRef>
          </c:val>
          <c:smooth val="0"/>
        </c:ser>
        <c:ser>
          <c:idx val="1"/>
          <c:order val="1"/>
          <c:tx>
            <c:strRef>
              <c:f>产量!$L$1</c:f>
              <c:strCache>
                <c:ptCount val="1"/>
                <c:pt idx="0">
                  <c:v>India</c:v>
                </c:pt>
              </c:strCache>
            </c:strRef>
          </c:tx>
          <c:cat>
            <c:numRef>
              <c:f>产量!$A$7:$A$16</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产量!$L$7:$L$16</c:f>
              <c:numCache>
                <c:formatCode>0.00%</c:formatCode>
                <c:ptCount val="10"/>
                <c:pt idx="0">
                  <c:v>0.26784291793976428</c:v>
                </c:pt>
                <c:pt idx="1">
                  <c:v>0.25592232254047326</c:v>
                </c:pt>
                <c:pt idx="2">
                  <c:v>0.24733778842516707</c:v>
                </c:pt>
                <c:pt idx="3">
                  <c:v>0.24361693126959638</c:v>
                </c:pt>
                <c:pt idx="4">
                  <c:v>0.22574762316335351</c:v>
                </c:pt>
                <c:pt idx="5">
                  <c:v>0.24459497972158284</c:v>
                </c:pt>
                <c:pt idx="6">
                  <c:v>0.24009933704248468</c:v>
                </c:pt>
                <c:pt idx="7">
                  <c:v>0.24052938465545914</c:v>
                </c:pt>
                <c:pt idx="8">
                  <c:v>0.23233584789469633</c:v>
                </c:pt>
                <c:pt idx="9">
                  <c:v>0.22784270849042376</c:v>
                </c:pt>
              </c:numCache>
            </c:numRef>
          </c:val>
          <c:smooth val="0"/>
        </c:ser>
        <c:ser>
          <c:idx val="2"/>
          <c:order val="2"/>
          <c:tx>
            <c:strRef>
              <c:f>产量!$M$1</c:f>
              <c:strCache>
                <c:ptCount val="1"/>
                <c:pt idx="0">
                  <c:v>Kenya</c:v>
                </c:pt>
              </c:strCache>
            </c:strRef>
          </c:tx>
          <c:cat>
            <c:numRef>
              <c:f>产量!$A$7:$A$16</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产量!$M$7:$M$16</c:f>
              <c:numCache>
                <c:formatCode>0.00%</c:formatCode>
                <c:ptCount val="10"/>
                <c:pt idx="0">
                  <c:v>8.4728284591881267E-2</c:v>
                </c:pt>
                <c:pt idx="1">
                  <c:v>9.5890410958904118E-2</c:v>
                </c:pt>
                <c:pt idx="2">
                  <c:v>8.7202118270079426E-2</c:v>
                </c:pt>
                <c:pt idx="3">
                  <c:v>7.8185935400388193E-2</c:v>
                </c:pt>
                <c:pt idx="4">
                  <c:v>9.3206101520708268E-2</c:v>
                </c:pt>
                <c:pt idx="5">
                  <c:v>8.2848185903759738E-2</c:v>
                </c:pt>
                <c:pt idx="6">
                  <c:v>7.877939076122871E-2</c:v>
                </c:pt>
                <c:pt idx="7">
                  <c:v>8.6651772296471433E-2</c:v>
                </c:pt>
                <c:pt idx="8">
                  <c:v>8.5656415980294054E-2</c:v>
                </c:pt>
                <c:pt idx="9">
                  <c:v>7.5254675011310515E-2</c:v>
                </c:pt>
              </c:numCache>
            </c:numRef>
          </c:val>
          <c:smooth val="0"/>
        </c:ser>
        <c:ser>
          <c:idx val="3"/>
          <c:order val="3"/>
          <c:tx>
            <c:strRef>
              <c:f>产量!$N$1</c:f>
              <c:strCache>
                <c:ptCount val="1"/>
                <c:pt idx="0">
                  <c:v>Sri Lanka</c:v>
                </c:pt>
              </c:strCache>
            </c:strRef>
          </c:tx>
          <c:cat>
            <c:numRef>
              <c:f>产量!$A$7:$A$16</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产量!$N$7:$N$16</c:f>
              <c:numCache>
                <c:formatCode>0.00%</c:formatCode>
                <c:ptCount val="10"/>
                <c:pt idx="0">
                  <c:v>8.4788302051505893E-2</c:v>
                </c:pt>
                <c:pt idx="1">
                  <c:v>7.9026567040265672E-2</c:v>
                </c:pt>
                <c:pt idx="2">
                  <c:v>8.0368175513806581E-2</c:v>
                </c:pt>
                <c:pt idx="3">
                  <c:v>7.2114666799382873E-2</c:v>
                </c:pt>
                <c:pt idx="4">
                  <c:v>7.7413627975425739E-2</c:v>
                </c:pt>
                <c:pt idx="5">
                  <c:v>7.2037706894661852E-2</c:v>
                </c:pt>
                <c:pt idx="6">
                  <c:v>7.0004902901238522E-2</c:v>
                </c:pt>
                <c:pt idx="7">
                  <c:v>6.8131925381209046E-2</c:v>
                </c:pt>
                <c:pt idx="8">
                  <c:v>6.5051189284889538E-2</c:v>
                </c:pt>
                <c:pt idx="9">
                  <c:v>6.2012516965766852E-2</c:v>
                </c:pt>
              </c:numCache>
            </c:numRef>
          </c:val>
          <c:smooth val="0"/>
        </c:ser>
        <c:dLbls>
          <c:showLegendKey val="0"/>
          <c:showVal val="0"/>
          <c:showCatName val="0"/>
          <c:showSerName val="0"/>
          <c:showPercent val="0"/>
          <c:showBubbleSize val="0"/>
        </c:dLbls>
        <c:marker val="1"/>
        <c:smooth val="0"/>
        <c:axId val="386007728"/>
        <c:axId val="386008120"/>
      </c:lineChart>
      <c:catAx>
        <c:axId val="386007728"/>
        <c:scaling>
          <c:orientation val="minMax"/>
        </c:scaling>
        <c:delete val="0"/>
        <c:axPos val="b"/>
        <c:numFmt formatCode="General" sourceLinked="1"/>
        <c:majorTickMark val="out"/>
        <c:minorTickMark val="none"/>
        <c:tickLblPos val="nextTo"/>
        <c:crossAx val="386008120"/>
        <c:crosses val="autoZero"/>
        <c:auto val="1"/>
        <c:lblAlgn val="ctr"/>
        <c:lblOffset val="100"/>
        <c:noMultiLvlLbl val="0"/>
      </c:catAx>
      <c:valAx>
        <c:axId val="386008120"/>
        <c:scaling>
          <c:orientation val="minMax"/>
        </c:scaling>
        <c:delete val="0"/>
        <c:axPos val="l"/>
        <c:majorGridlines/>
        <c:numFmt formatCode="0.00%" sourceLinked="1"/>
        <c:majorTickMark val="out"/>
        <c:minorTickMark val="none"/>
        <c:tickLblPos val="nextTo"/>
        <c:crossAx val="386007728"/>
        <c:crosses val="autoZero"/>
        <c:crossBetween val="between"/>
      </c:valAx>
    </c:plotArea>
    <c:legend>
      <c:legendPos val="r"/>
      <c:layout>
        <c:manualLayout>
          <c:xMode val="edge"/>
          <c:yMode val="edge"/>
          <c:x val="3.6111111111111108E-2"/>
          <c:y val="0.87886191309419659"/>
          <c:w val="0.93333333333333335"/>
          <c:h val="0.10338728492271797"/>
        </c:manualLayout>
      </c:layout>
      <c:overlay val="0"/>
    </c:legend>
    <c:plotVisOnly val="1"/>
    <c:dispBlanksAs val="gap"/>
    <c:showDLblsOverMax val="0"/>
  </c:chart>
  <c:spPr>
    <a:ln>
      <a:noFill/>
    </a:ln>
  </c:spPr>
  <c:externalData r:id="rId1">
    <c:autoUpdate val="0"/>
  </c:externalData>
</c:chartSpace>
</file>

<file path=word/charts/chart1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03018372703413"/>
          <c:y val="2.8252405949256341E-2"/>
          <c:w val="0.82041426071741019"/>
          <c:h val="0.75391586468358118"/>
        </c:manualLayout>
      </c:layout>
      <c:lineChart>
        <c:grouping val="standard"/>
        <c:varyColors val="0"/>
        <c:ser>
          <c:idx val="0"/>
          <c:order val="0"/>
          <c:tx>
            <c:strRef>
              <c:f>产量!$B$55</c:f>
              <c:strCache>
                <c:ptCount val="1"/>
                <c:pt idx="0">
                  <c:v>China</c:v>
                </c:pt>
              </c:strCache>
            </c:strRef>
          </c:tx>
          <c:cat>
            <c:numRef>
              <c:f>产量!$A$56:$A$65</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产量!$B$56:$B$65</c:f>
              <c:numCache>
                <c:formatCode>0.00</c:formatCode>
                <c:ptCount val="10"/>
                <c:pt idx="0">
                  <c:v>1028.0999999999999</c:v>
                </c:pt>
                <c:pt idx="1">
                  <c:v>1165.5</c:v>
                </c:pt>
                <c:pt idx="2">
                  <c:v>1257.6000000000001</c:v>
                </c:pt>
                <c:pt idx="3">
                  <c:v>1358.6000000000001</c:v>
                </c:pt>
                <c:pt idx="4">
                  <c:v>1475.1</c:v>
                </c:pt>
                <c:pt idx="5">
                  <c:v>1623.1999999999998</c:v>
                </c:pt>
                <c:pt idx="6">
                  <c:v>1789.8</c:v>
                </c:pt>
                <c:pt idx="7">
                  <c:v>1924.5</c:v>
                </c:pt>
                <c:pt idx="8">
                  <c:v>2095.6999999999998</c:v>
                </c:pt>
                <c:pt idx="9">
                  <c:v>2278</c:v>
                </c:pt>
              </c:numCache>
            </c:numRef>
          </c:val>
          <c:smooth val="0"/>
        </c:ser>
        <c:ser>
          <c:idx val="1"/>
          <c:order val="1"/>
          <c:tx>
            <c:strRef>
              <c:f>产量!$C$55</c:f>
              <c:strCache>
                <c:ptCount val="1"/>
                <c:pt idx="0">
                  <c:v>India</c:v>
                </c:pt>
              </c:strCache>
            </c:strRef>
          </c:tx>
          <c:cat>
            <c:numRef>
              <c:f>产量!$A$56:$A$65</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产量!$C$56:$C$65</c:f>
              <c:numCache>
                <c:formatCode>0.00</c:formatCode>
                <c:ptCount val="10"/>
                <c:pt idx="0">
                  <c:v>981.80499999999995</c:v>
                </c:pt>
                <c:pt idx="1">
                  <c:v>986.42700000000002</c:v>
                </c:pt>
                <c:pt idx="2">
                  <c:v>980.81799999999998</c:v>
                </c:pt>
                <c:pt idx="3">
                  <c:v>978.99900000000002</c:v>
                </c:pt>
                <c:pt idx="4">
                  <c:v>966.40300000000002</c:v>
                </c:pt>
                <c:pt idx="5">
                  <c:v>1115.72</c:v>
                </c:pt>
                <c:pt idx="6">
                  <c:v>1126.33</c:v>
                </c:pt>
                <c:pt idx="7">
                  <c:v>1200.4099999999999</c:v>
                </c:pt>
                <c:pt idx="8">
                  <c:v>1207.31</c:v>
                </c:pt>
                <c:pt idx="9">
                  <c:v>1208.6600000000001</c:v>
                </c:pt>
              </c:numCache>
            </c:numRef>
          </c:val>
          <c:smooth val="0"/>
        </c:ser>
        <c:ser>
          <c:idx val="2"/>
          <c:order val="2"/>
          <c:tx>
            <c:strRef>
              <c:f>产量!$D$55</c:f>
              <c:strCache>
                <c:ptCount val="1"/>
                <c:pt idx="0">
                  <c:v>Kenya</c:v>
                </c:pt>
              </c:strCache>
            </c:strRef>
          </c:tx>
          <c:cat>
            <c:numRef>
              <c:f>产量!$A$56:$A$65</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产量!$D$56:$D$65</c:f>
              <c:numCache>
                <c:formatCode>0.00</c:formatCode>
                <c:ptCount val="10"/>
                <c:pt idx="0">
                  <c:v>310.58</c:v>
                </c:pt>
                <c:pt idx="1">
                  <c:v>369.6</c:v>
                </c:pt>
                <c:pt idx="2">
                  <c:v>345.79999999999995</c:v>
                </c:pt>
                <c:pt idx="3">
                  <c:v>314.19799999999998</c:v>
                </c:pt>
                <c:pt idx="4">
                  <c:v>399.00599999999997</c:v>
                </c:pt>
                <c:pt idx="5">
                  <c:v>377.91200000000003</c:v>
                </c:pt>
                <c:pt idx="6">
                  <c:v>369.56200000000001</c:v>
                </c:pt>
                <c:pt idx="7">
                  <c:v>432.45299999999997</c:v>
                </c:pt>
                <c:pt idx="8">
                  <c:v>445.10500000000002</c:v>
                </c:pt>
                <c:pt idx="9">
                  <c:v>399.21100000000001</c:v>
                </c:pt>
              </c:numCache>
            </c:numRef>
          </c:val>
          <c:smooth val="0"/>
        </c:ser>
        <c:ser>
          <c:idx val="3"/>
          <c:order val="3"/>
          <c:tx>
            <c:strRef>
              <c:f>产量!$E$55</c:f>
              <c:strCache>
                <c:ptCount val="1"/>
                <c:pt idx="0">
                  <c:v>Sri Lanka</c:v>
                </c:pt>
              </c:strCache>
            </c:strRef>
          </c:tx>
          <c:cat>
            <c:numRef>
              <c:f>产量!$A$56:$A$65</c:f>
              <c:numCache>
                <c:formatCode>General</c:formatCode>
                <c:ptCount val="10"/>
                <c:pt idx="0">
                  <c:v>2006</c:v>
                </c:pt>
                <c:pt idx="1">
                  <c:v>2007</c:v>
                </c:pt>
                <c:pt idx="2">
                  <c:v>2008</c:v>
                </c:pt>
                <c:pt idx="3">
                  <c:v>2009</c:v>
                </c:pt>
                <c:pt idx="4">
                  <c:v>2010</c:v>
                </c:pt>
                <c:pt idx="5">
                  <c:v>2011</c:v>
                </c:pt>
                <c:pt idx="6">
                  <c:v>2012</c:v>
                </c:pt>
                <c:pt idx="7">
                  <c:v>2013</c:v>
                </c:pt>
                <c:pt idx="8">
                  <c:v>2014</c:v>
                </c:pt>
                <c:pt idx="9">
                  <c:v>2015</c:v>
                </c:pt>
              </c:numCache>
            </c:numRef>
          </c:cat>
          <c:val>
            <c:numRef>
              <c:f>产量!$E$56:$E$65</c:f>
              <c:numCache>
                <c:formatCode>0.00</c:formatCode>
                <c:ptCount val="10"/>
                <c:pt idx="0">
                  <c:v>310.79999999999995</c:v>
                </c:pt>
                <c:pt idx="1">
                  <c:v>304.60000000000002</c:v>
                </c:pt>
                <c:pt idx="2">
                  <c:v>318.7</c:v>
                </c:pt>
                <c:pt idx="3">
                  <c:v>289.8</c:v>
                </c:pt>
                <c:pt idx="4">
                  <c:v>331.4</c:v>
                </c:pt>
                <c:pt idx="5">
                  <c:v>328.6</c:v>
                </c:pt>
                <c:pt idx="6">
                  <c:v>328.40000000000003</c:v>
                </c:pt>
                <c:pt idx="7">
                  <c:v>340.02600000000001</c:v>
                </c:pt>
                <c:pt idx="8">
                  <c:v>338.03199999999998</c:v>
                </c:pt>
                <c:pt idx="9">
                  <c:v>328.964</c:v>
                </c:pt>
              </c:numCache>
            </c:numRef>
          </c:val>
          <c:smooth val="0"/>
        </c:ser>
        <c:dLbls>
          <c:showLegendKey val="0"/>
          <c:showVal val="0"/>
          <c:showCatName val="0"/>
          <c:showSerName val="0"/>
          <c:showPercent val="0"/>
          <c:showBubbleSize val="0"/>
        </c:dLbls>
        <c:marker val="1"/>
        <c:smooth val="0"/>
        <c:axId val="386008904"/>
        <c:axId val="386009296"/>
      </c:lineChart>
      <c:catAx>
        <c:axId val="386008904"/>
        <c:scaling>
          <c:orientation val="minMax"/>
        </c:scaling>
        <c:delete val="0"/>
        <c:axPos val="b"/>
        <c:numFmt formatCode="General" sourceLinked="1"/>
        <c:majorTickMark val="out"/>
        <c:minorTickMark val="none"/>
        <c:tickLblPos val="nextTo"/>
        <c:crossAx val="386009296"/>
        <c:crosses val="autoZero"/>
        <c:auto val="1"/>
        <c:lblAlgn val="ctr"/>
        <c:lblOffset val="100"/>
        <c:noMultiLvlLbl val="0"/>
      </c:catAx>
      <c:valAx>
        <c:axId val="386009296"/>
        <c:scaling>
          <c:orientation val="minMax"/>
        </c:scaling>
        <c:delete val="0"/>
        <c:axPos val="l"/>
        <c:majorGridlines/>
        <c:title>
          <c:tx>
            <c:rich>
              <a:bodyPr rot="-5400000" vert="horz"/>
              <a:lstStyle/>
              <a:p>
                <a:pPr>
                  <a:defRPr/>
                </a:pPr>
                <a:r>
                  <a:rPr lang="en-US" altLang="zh-CN" b="0"/>
                  <a:t>thousand</a:t>
                </a:r>
                <a:r>
                  <a:rPr lang="en-US" altLang="zh-CN"/>
                  <a:t> </a:t>
                </a:r>
                <a:r>
                  <a:rPr lang="en-US" altLang="zh-CN" b="0"/>
                  <a:t>tonnes</a:t>
                </a:r>
                <a:endParaRPr lang="zh-CN" altLang="en-US" b="0"/>
              </a:p>
            </c:rich>
          </c:tx>
          <c:layout/>
          <c:overlay val="0"/>
        </c:title>
        <c:numFmt formatCode="0.00" sourceLinked="1"/>
        <c:majorTickMark val="out"/>
        <c:minorTickMark val="none"/>
        <c:tickLblPos val="nextTo"/>
        <c:crossAx val="386008904"/>
        <c:crosses val="autoZero"/>
        <c:crossBetween val="between"/>
      </c:valAx>
    </c:plotArea>
    <c:legend>
      <c:legendPos val="r"/>
      <c:layout>
        <c:manualLayout>
          <c:xMode val="edge"/>
          <c:yMode val="edge"/>
          <c:x val="7.4999999999999997E-2"/>
          <c:y val="0.88812117235345578"/>
          <c:w val="0.8666666666666667"/>
          <c:h val="9.8757655293088345E-2"/>
        </c:manualLayout>
      </c:layout>
      <c:overlay val="0"/>
    </c:legend>
    <c:plotVisOnly val="1"/>
    <c:dispBlanksAs val="gap"/>
    <c:showDLblsOverMax val="0"/>
  </c:chart>
  <c:spPr>
    <a:ln>
      <a:noFill/>
    </a:ln>
  </c:spPr>
  <c:externalData r:id="rId1">
    <c:autoUpdate val="0"/>
  </c:externalData>
</c:chartSpace>
</file>

<file path=word/charts/chart1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1104463759211626"/>
          <c:y val="2.6375004083766213E-2"/>
          <c:w val="0.87629750170093001"/>
          <c:h val="0.7261706563806305"/>
        </c:manualLayout>
      </c:layout>
      <c:lineChart>
        <c:grouping val="standard"/>
        <c:varyColors val="0"/>
        <c:ser>
          <c:idx val="0"/>
          <c:order val="0"/>
          <c:tx>
            <c:strRef>
              <c:f>imports!$A$18</c:f>
              <c:strCache>
                <c:ptCount val="1"/>
                <c:pt idx="0">
                  <c:v>Russian Federation</c:v>
                </c:pt>
              </c:strCache>
            </c:strRef>
          </c:tx>
          <c:cat>
            <c:numRef>
              <c:f>imports!$B$17:$P$17</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imports!$B$18:$P$18</c:f>
              <c:numCache>
                <c:formatCode>General</c:formatCode>
                <c:ptCount val="15"/>
                <c:pt idx="0">
                  <c:v>156.381</c:v>
                </c:pt>
                <c:pt idx="1">
                  <c:v>165.31300000000002</c:v>
                </c:pt>
                <c:pt idx="2">
                  <c:v>167.42599999999999</c:v>
                </c:pt>
                <c:pt idx="3">
                  <c:v>172.12700000000001</c:v>
                </c:pt>
                <c:pt idx="4">
                  <c:v>179.57799999999997</c:v>
                </c:pt>
                <c:pt idx="5">
                  <c:v>172.86100000000002</c:v>
                </c:pt>
                <c:pt idx="6">
                  <c:v>181.62700000000001</c:v>
                </c:pt>
                <c:pt idx="7">
                  <c:v>181.85900000000001</c:v>
                </c:pt>
                <c:pt idx="8">
                  <c:v>182.149</c:v>
                </c:pt>
                <c:pt idx="9">
                  <c:v>181.61599999999999</c:v>
                </c:pt>
                <c:pt idx="10">
                  <c:v>187.77</c:v>
                </c:pt>
                <c:pt idx="11">
                  <c:v>180.48599999999999</c:v>
                </c:pt>
                <c:pt idx="12">
                  <c:v>173.07</c:v>
                </c:pt>
                <c:pt idx="13">
                  <c:v>172.607</c:v>
                </c:pt>
                <c:pt idx="14">
                  <c:v>173.065</c:v>
                </c:pt>
              </c:numCache>
            </c:numRef>
          </c:val>
          <c:smooth val="0"/>
        </c:ser>
        <c:ser>
          <c:idx val="1"/>
          <c:order val="1"/>
          <c:tx>
            <c:strRef>
              <c:f>imports!$A$19</c:f>
              <c:strCache>
                <c:ptCount val="1"/>
                <c:pt idx="0">
                  <c:v>Pakistan</c:v>
                </c:pt>
              </c:strCache>
            </c:strRef>
          </c:tx>
          <c:cat>
            <c:numRef>
              <c:f>imports!$B$17:$P$17</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imports!$B$19:$P$19</c:f>
              <c:numCache>
                <c:formatCode>General</c:formatCode>
                <c:ptCount val="15"/>
                <c:pt idx="2">
                  <c:v>118.30600000000001</c:v>
                </c:pt>
                <c:pt idx="3">
                  <c:v>120.017</c:v>
                </c:pt>
                <c:pt idx="4">
                  <c:v>139.261</c:v>
                </c:pt>
                <c:pt idx="5">
                  <c:v>116.78100000000001</c:v>
                </c:pt>
                <c:pt idx="6">
                  <c:v>105.036</c:v>
                </c:pt>
                <c:pt idx="7">
                  <c:v>102.98699999999999</c:v>
                </c:pt>
                <c:pt idx="8">
                  <c:v>89.73599999999999</c:v>
                </c:pt>
                <c:pt idx="9">
                  <c:v>108.102</c:v>
                </c:pt>
                <c:pt idx="10">
                  <c:v>119.23099999999999</c:v>
                </c:pt>
                <c:pt idx="11">
                  <c:v>122.304</c:v>
                </c:pt>
                <c:pt idx="12">
                  <c:v>121.89999999999999</c:v>
                </c:pt>
                <c:pt idx="13">
                  <c:v>150.94799999999998</c:v>
                </c:pt>
                <c:pt idx="14">
                  <c:v>164.64200000000002</c:v>
                </c:pt>
              </c:numCache>
            </c:numRef>
          </c:val>
          <c:smooth val="0"/>
        </c:ser>
        <c:ser>
          <c:idx val="2"/>
          <c:order val="2"/>
          <c:tx>
            <c:strRef>
              <c:f>imports!$A$20</c:f>
              <c:strCache>
                <c:ptCount val="1"/>
                <c:pt idx="0">
                  <c:v>UK</c:v>
                </c:pt>
              </c:strCache>
            </c:strRef>
          </c:tx>
          <c:cat>
            <c:numRef>
              <c:f>imports!$B$17:$P$17</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imports!$B$20:$P$20</c:f>
              <c:numCache>
                <c:formatCode>General</c:formatCode>
                <c:ptCount val="15"/>
                <c:pt idx="0">
                  <c:v>163.85300000000001</c:v>
                </c:pt>
                <c:pt idx="1">
                  <c:v>187.441</c:v>
                </c:pt>
                <c:pt idx="2">
                  <c:v>167.96199999999999</c:v>
                </c:pt>
                <c:pt idx="3">
                  <c:v>156.20499999999998</c:v>
                </c:pt>
                <c:pt idx="4">
                  <c:v>154.74600000000001</c:v>
                </c:pt>
                <c:pt idx="5">
                  <c:v>161.994</c:v>
                </c:pt>
                <c:pt idx="6">
                  <c:v>157.30799999999999</c:v>
                </c:pt>
                <c:pt idx="7">
                  <c:v>157.58800000000002</c:v>
                </c:pt>
                <c:pt idx="8">
                  <c:v>147.85500000000002</c:v>
                </c:pt>
                <c:pt idx="9">
                  <c:v>149.92099999999999</c:v>
                </c:pt>
                <c:pt idx="10">
                  <c:v>154.602</c:v>
                </c:pt>
                <c:pt idx="11">
                  <c:v>144.077</c:v>
                </c:pt>
                <c:pt idx="12">
                  <c:v>137.61500000000001</c:v>
                </c:pt>
                <c:pt idx="13">
                  <c:v>128.11799999999999</c:v>
                </c:pt>
                <c:pt idx="14">
                  <c:v>135.21899999999999</c:v>
                </c:pt>
              </c:numCache>
            </c:numRef>
          </c:val>
          <c:smooth val="0"/>
        </c:ser>
        <c:ser>
          <c:idx val="3"/>
          <c:order val="3"/>
          <c:tx>
            <c:strRef>
              <c:f>imports!$A$21</c:f>
              <c:strCache>
                <c:ptCount val="1"/>
                <c:pt idx="0">
                  <c:v>US</c:v>
                </c:pt>
              </c:strCache>
            </c:strRef>
          </c:tx>
          <c:cat>
            <c:numRef>
              <c:f>imports!$B$17:$P$17</c:f>
              <c:numCache>
                <c:formatCode>General</c:formatCode>
                <c:ptCount val="15"/>
                <c:pt idx="0">
                  <c:v>2001</c:v>
                </c:pt>
                <c:pt idx="1">
                  <c:v>2002</c:v>
                </c:pt>
                <c:pt idx="2">
                  <c:v>2003</c:v>
                </c:pt>
                <c:pt idx="3">
                  <c:v>2004</c:v>
                </c:pt>
                <c:pt idx="4">
                  <c:v>2005</c:v>
                </c:pt>
                <c:pt idx="5">
                  <c:v>2006</c:v>
                </c:pt>
                <c:pt idx="6">
                  <c:v>2007</c:v>
                </c:pt>
                <c:pt idx="7">
                  <c:v>2008</c:v>
                </c:pt>
                <c:pt idx="8">
                  <c:v>2009</c:v>
                </c:pt>
                <c:pt idx="9">
                  <c:v>2010</c:v>
                </c:pt>
                <c:pt idx="10">
                  <c:v>2011</c:v>
                </c:pt>
                <c:pt idx="11">
                  <c:v>2012</c:v>
                </c:pt>
                <c:pt idx="12">
                  <c:v>2013</c:v>
                </c:pt>
                <c:pt idx="13">
                  <c:v>2014</c:v>
                </c:pt>
                <c:pt idx="14">
                  <c:v>2015</c:v>
                </c:pt>
              </c:numCache>
            </c:numRef>
          </c:cat>
          <c:val>
            <c:numRef>
              <c:f>imports!$B$21:$P$21</c:f>
              <c:numCache>
                <c:formatCode>General</c:formatCode>
                <c:ptCount val="15"/>
                <c:pt idx="0">
                  <c:v>96.641999999999996</c:v>
                </c:pt>
                <c:pt idx="1">
                  <c:v>93.451000000000008</c:v>
                </c:pt>
                <c:pt idx="2">
                  <c:v>94.174000000000007</c:v>
                </c:pt>
                <c:pt idx="3">
                  <c:v>99.483999999999995</c:v>
                </c:pt>
                <c:pt idx="4">
                  <c:v>100.06100000000001</c:v>
                </c:pt>
                <c:pt idx="5">
                  <c:v>107.57199999999999</c:v>
                </c:pt>
                <c:pt idx="6">
                  <c:v>109.39999999999999</c:v>
                </c:pt>
                <c:pt idx="7">
                  <c:v>117.86099999999999</c:v>
                </c:pt>
                <c:pt idx="8">
                  <c:v>110.861</c:v>
                </c:pt>
                <c:pt idx="9">
                  <c:v>126.88000000000001</c:v>
                </c:pt>
                <c:pt idx="10">
                  <c:v>127.541</c:v>
                </c:pt>
                <c:pt idx="11">
                  <c:v>125.59399999999999</c:v>
                </c:pt>
                <c:pt idx="12">
                  <c:v>130.16200000000001</c:v>
                </c:pt>
                <c:pt idx="13">
                  <c:v>129.24600000000001</c:v>
                </c:pt>
                <c:pt idx="14">
                  <c:v>129.708</c:v>
                </c:pt>
              </c:numCache>
            </c:numRef>
          </c:val>
          <c:smooth val="0"/>
        </c:ser>
        <c:dLbls>
          <c:showLegendKey val="0"/>
          <c:showVal val="0"/>
          <c:showCatName val="0"/>
          <c:showSerName val="0"/>
          <c:showPercent val="0"/>
          <c:showBubbleSize val="0"/>
        </c:dLbls>
        <c:marker val="1"/>
        <c:smooth val="0"/>
        <c:axId val="386009688"/>
        <c:axId val="386262304"/>
      </c:lineChart>
      <c:catAx>
        <c:axId val="386009688"/>
        <c:scaling>
          <c:orientation val="minMax"/>
        </c:scaling>
        <c:delete val="0"/>
        <c:axPos val="b"/>
        <c:numFmt formatCode="General" sourceLinked="1"/>
        <c:majorTickMark val="out"/>
        <c:minorTickMark val="none"/>
        <c:tickLblPos val="nextTo"/>
        <c:txPr>
          <a:bodyPr rot="-2700000"/>
          <a:lstStyle/>
          <a:p>
            <a:pPr>
              <a:defRPr/>
            </a:pPr>
            <a:endParaRPr lang="en-US"/>
          </a:p>
        </c:txPr>
        <c:crossAx val="386262304"/>
        <c:crosses val="autoZero"/>
        <c:auto val="1"/>
        <c:lblAlgn val="ctr"/>
        <c:lblOffset val="100"/>
        <c:noMultiLvlLbl val="0"/>
      </c:catAx>
      <c:valAx>
        <c:axId val="386262304"/>
        <c:scaling>
          <c:orientation val="minMax"/>
        </c:scaling>
        <c:delete val="0"/>
        <c:axPos val="l"/>
        <c:majorGridlines/>
        <c:title>
          <c:tx>
            <c:rich>
              <a:bodyPr rot="-5400000" vert="horz"/>
              <a:lstStyle/>
              <a:p>
                <a:pPr>
                  <a:defRPr/>
                </a:pPr>
                <a:r>
                  <a:rPr lang="en-US" altLang="zh-CN"/>
                  <a:t>thousand tonnes</a:t>
                </a:r>
                <a:endParaRPr lang="zh-CN" altLang="en-US"/>
              </a:p>
            </c:rich>
          </c:tx>
          <c:layout/>
          <c:overlay val="0"/>
        </c:title>
        <c:numFmt formatCode="General" sourceLinked="1"/>
        <c:majorTickMark val="out"/>
        <c:minorTickMark val="none"/>
        <c:tickLblPos val="nextTo"/>
        <c:crossAx val="386009688"/>
        <c:crosses val="autoZero"/>
        <c:crossBetween val="between"/>
      </c:valAx>
    </c:plotArea>
    <c:legend>
      <c:legendPos val="r"/>
      <c:layout>
        <c:manualLayout>
          <c:xMode val="edge"/>
          <c:yMode val="edge"/>
          <c:x val="5.2938906841731907E-2"/>
          <c:y val="0.90356390277369403"/>
          <c:w val="0.92321396218961727"/>
          <c:h val="7.3963472072484132E-2"/>
        </c:manualLayout>
      </c:layout>
      <c:overlay val="0"/>
    </c:legend>
    <c:plotVisOnly val="1"/>
    <c:dispBlanksAs val="gap"/>
    <c:showDLblsOverMax val="0"/>
  </c:chart>
  <c:spPr>
    <a:ln>
      <a:noFill/>
    </a:ln>
  </c:sp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3197431427941736"/>
          <c:y val="2.492859348463795E-2"/>
          <c:w val="0.84003586383763096"/>
          <c:h val="0.8849955718725343"/>
        </c:manualLayout>
      </c:layout>
      <c:barChart>
        <c:barDir val="col"/>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'[全球市场分析数据图表.xlsx]UK tea market'!$B$5:$B$9</c:f>
              <c:strCache>
                <c:ptCount val="5"/>
                <c:pt idx="0">
                  <c:v>Black tea</c:v>
                </c:pt>
                <c:pt idx="1">
                  <c:v>Fruit and Herbal </c:v>
                </c:pt>
                <c:pt idx="2">
                  <c:v>Green</c:v>
                </c:pt>
                <c:pt idx="3">
                  <c:v>Specialty</c:v>
                </c:pt>
                <c:pt idx="4">
                  <c:v>Tea other</c:v>
                </c:pt>
              </c:strCache>
            </c:strRef>
          </c:cat>
          <c:val>
            <c:numRef>
              <c:f>'[全球市场分析数据图表.xlsx]UK tea market'!$C$5:$C$9</c:f>
              <c:numCache>
                <c:formatCode>0.0%</c:formatCode>
                <c:ptCount val="5"/>
                <c:pt idx="0">
                  <c:v>0.69599999999999995</c:v>
                </c:pt>
                <c:pt idx="1">
                  <c:v>0.122</c:v>
                </c:pt>
                <c:pt idx="2">
                  <c:v>7.0999999999999994E-2</c:v>
                </c:pt>
                <c:pt idx="3">
                  <c:v>5.7000000000000002E-2</c:v>
                </c:pt>
                <c:pt idx="4">
                  <c:v>5.3999999999999999E-2</c:v>
                </c:pt>
              </c:numCache>
            </c:numRef>
          </c:val>
        </c:ser>
        <c:dLbls>
          <c:showLegendKey val="0"/>
          <c:showVal val="0"/>
          <c:showCatName val="0"/>
          <c:showSerName val="0"/>
          <c:showPercent val="0"/>
          <c:showBubbleSize val="0"/>
        </c:dLbls>
        <c:gapWidth val="150"/>
        <c:axId val="383989216"/>
        <c:axId val="383988824"/>
      </c:barChart>
      <c:catAx>
        <c:axId val="383989216"/>
        <c:scaling>
          <c:orientation val="minMax"/>
        </c:scaling>
        <c:delete val="0"/>
        <c:axPos val="b"/>
        <c:numFmt formatCode="General" sourceLinked="0"/>
        <c:majorTickMark val="out"/>
        <c:minorTickMark val="none"/>
        <c:tickLblPos val="nextTo"/>
        <c:crossAx val="383988824"/>
        <c:crosses val="autoZero"/>
        <c:auto val="1"/>
        <c:lblAlgn val="ctr"/>
        <c:lblOffset val="100"/>
        <c:noMultiLvlLbl val="0"/>
      </c:catAx>
      <c:valAx>
        <c:axId val="383988824"/>
        <c:scaling>
          <c:orientation val="minMax"/>
          <c:max val="0.8"/>
        </c:scaling>
        <c:delete val="0"/>
        <c:axPos val="l"/>
        <c:majorGridlines/>
        <c:title>
          <c:tx>
            <c:rich>
              <a:bodyPr rot="-5400000" vert="horz"/>
              <a:lstStyle/>
              <a:p>
                <a:pPr>
                  <a:defRPr b="0"/>
                </a:pPr>
                <a:r>
                  <a:rPr lang="en-US" altLang="zh-CN" b="0"/>
                  <a:t>market share</a:t>
                </a:r>
                <a:endParaRPr lang="zh-CN" altLang="en-US" b="0"/>
              </a:p>
            </c:rich>
          </c:tx>
          <c:layout/>
          <c:overlay val="0"/>
        </c:title>
        <c:numFmt formatCode="0.0%" sourceLinked="1"/>
        <c:majorTickMark val="out"/>
        <c:minorTickMark val="none"/>
        <c:tickLblPos val="nextTo"/>
        <c:crossAx val="383989216"/>
        <c:crosses val="autoZero"/>
        <c:crossBetween val="between"/>
      </c:valAx>
    </c:plotArea>
    <c:plotVisOnly val="1"/>
    <c:dispBlanksAs val="gap"/>
    <c:showDLblsOverMax val="0"/>
  </c:chart>
  <c:spPr>
    <a:noFill/>
    <a:ln>
      <a:noFill/>
    </a:ln>
  </c:sp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lineChart>
        <c:grouping val="standard"/>
        <c:varyColors val="0"/>
        <c:ser>
          <c:idx val="1"/>
          <c:order val="0"/>
          <c:dLbls>
            <c:spPr>
              <a:noFill/>
              <a:ln>
                <a:noFill/>
              </a:ln>
              <a:effectLst/>
            </c:spPr>
            <c:dLblPos val="t"/>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'UK tea market'!$A$40:$A$50</c:f>
              <c:numCache>
                <c:formatCode>General</c:formatCode>
                <c:ptCount val="11"/>
                <c:pt idx="0">
                  <c:v>2010</c:v>
                </c:pt>
                <c:pt idx="1">
                  <c:v>2011</c:v>
                </c:pt>
                <c:pt idx="2">
                  <c:v>2012</c:v>
                </c:pt>
                <c:pt idx="3">
                  <c:v>2013</c:v>
                </c:pt>
                <c:pt idx="4">
                  <c:v>2014</c:v>
                </c:pt>
                <c:pt idx="5">
                  <c:v>2015</c:v>
                </c:pt>
                <c:pt idx="6">
                  <c:v>2016</c:v>
                </c:pt>
                <c:pt idx="7">
                  <c:v>2017</c:v>
                </c:pt>
                <c:pt idx="8">
                  <c:v>2018</c:v>
                </c:pt>
                <c:pt idx="9">
                  <c:v>2019</c:v>
                </c:pt>
                <c:pt idx="10">
                  <c:v>2020</c:v>
                </c:pt>
              </c:numCache>
            </c:numRef>
          </c:cat>
          <c:val>
            <c:numRef>
              <c:f>'UK tea market'!$B$40:$B$50</c:f>
              <c:numCache>
                <c:formatCode>General</c:formatCode>
                <c:ptCount val="11"/>
                <c:pt idx="0">
                  <c:v>97</c:v>
                </c:pt>
                <c:pt idx="1">
                  <c:v>96</c:v>
                </c:pt>
                <c:pt idx="2">
                  <c:v>96</c:v>
                </c:pt>
                <c:pt idx="3">
                  <c:v>89</c:v>
                </c:pt>
                <c:pt idx="4">
                  <c:v>82</c:v>
                </c:pt>
                <c:pt idx="5">
                  <c:v>76</c:v>
                </c:pt>
                <c:pt idx="6">
                  <c:v>73</c:v>
                </c:pt>
                <c:pt idx="7">
                  <c:v>73</c:v>
                </c:pt>
                <c:pt idx="8">
                  <c:v>71</c:v>
                </c:pt>
                <c:pt idx="9">
                  <c:v>70</c:v>
                </c:pt>
                <c:pt idx="10">
                  <c:v>69</c:v>
                </c:pt>
              </c:numCache>
            </c:numRef>
          </c:val>
          <c:smooth val="0"/>
        </c:ser>
        <c:dLbls>
          <c:showLegendKey val="0"/>
          <c:showVal val="0"/>
          <c:showCatName val="0"/>
          <c:showSerName val="0"/>
          <c:showPercent val="0"/>
          <c:showBubbleSize val="0"/>
        </c:dLbls>
        <c:marker val="1"/>
        <c:smooth val="0"/>
        <c:axId val="383988432"/>
        <c:axId val="383604576"/>
      </c:lineChart>
      <c:catAx>
        <c:axId val="383988432"/>
        <c:scaling>
          <c:orientation val="minMax"/>
        </c:scaling>
        <c:delete val="0"/>
        <c:axPos val="b"/>
        <c:numFmt formatCode="General" sourceLinked="1"/>
        <c:majorTickMark val="out"/>
        <c:minorTickMark val="none"/>
        <c:tickLblPos val="nextTo"/>
        <c:crossAx val="383604576"/>
        <c:crosses val="autoZero"/>
        <c:auto val="1"/>
        <c:lblAlgn val="ctr"/>
        <c:lblOffset val="100"/>
        <c:noMultiLvlLbl val="0"/>
      </c:catAx>
      <c:valAx>
        <c:axId val="383604576"/>
        <c:scaling>
          <c:orientation val="minMax"/>
        </c:scaling>
        <c:delete val="0"/>
        <c:axPos val="l"/>
        <c:majorGridlines/>
        <c:title>
          <c:tx>
            <c:rich>
              <a:bodyPr rot="-5400000" vert="horz"/>
              <a:lstStyle/>
              <a:p>
                <a:pPr>
                  <a:defRPr/>
                </a:pPr>
                <a:r>
                  <a:rPr lang="en-US" altLang="zh-CN" b="0">
                    <a:latin typeface="Times New Roman" panose="02020603050405020304" pitchFamily="18" charset="0"/>
                    <a:cs typeface="Times New Roman" panose="02020603050405020304" pitchFamily="18" charset="0"/>
                  </a:rPr>
                  <a:t>Annual volume sales of tea (million kg)</a:t>
                </a:r>
                <a:endParaRPr lang="zh-CN" altLang="en-US" b="0">
                  <a:latin typeface="Times New Roman" panose="02020603050405020304" pitchFamily="18" charset="0"/>
                  <a:cs typeface="Times New Roman" panose="02020603050405020304" pitchFamily="18" charset="0"/>
                </a:endParaRPr>
              </a:p>
            </c:rich>
          </c:tx>
          <c:layout/>
          <c:overlay val="0"/>
        </c:title>
        <c:numFmt formatCode="General" sourceLinked="1"/>
        <c:majorTickMark val="out"/>
        <c:minorTickMark val="none"/>
        <c:tickLblPos val="nextTo"/>
        <c:crossAx val="383988432"/>
        <c:crosses val="autoZero"/>
        <c:crossBetween val="between"/>
      </c:valAx>
    </c:plotArea>
    <c:plotVisOnly val="1"/>
    <c:dispBlanksAs val="gap"/>
    <c:showDLblsOverMax val="0"/>
  </c:chart>
  <c:spPr>
    <a:ln>
      <a:noFill/>
    </a:ln>
  </c:sp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0.11358162223291221"/>
          <c:y val="3.4064842614097701E-2"/>
          <c:w val="0.87298967854098619"/>
          <c:h val="0.76424856964821841"/>
        </c:manualLayout>
      </c:layout>
      <c:barChart>
        <c:barDir val="col"/>
        <c:grouping val="clustered"/>
        <c:varyColors val="0"/>
        <c:ser>
          <c:idx val="0"/>
          <c:order val="0"/>
          <c:tx>
            <c:strRef>
              <c:f>'UK tea market'!$B$26</c:f>
              <c:strCache>
                <c:ptCount val="1"/>
                <c:pt idx="0">
                  <c:v>2012</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'UK tea market'!$A$27:$A$31</c:f>
              <c:strCache>
                <c:ptCount val="5"/>
                <c:pt idx="0">
                  <c:v>Ordinary teabags</c:v>
                </c:pt>
                <c:pt idx="1">
                  <c:v>Herbal</c:v>
                </c:pt>
                <c:pt idx="2">
                  <c:v>Specialty</c:v>
                </c:pt>
                <c:pt idx="3">
                  <c:v>Decaffeinated</c:v>
                </c:pt>
                <c:pt idx="4">
                  <c:v>Green</c:v>
                </c:pt>
              </c:strCache>
            </c:strRef>
          </c:cat>
          <c:val>
            <c:numRef>
              <c:f>'UK tea market'!$B$27:$B$31</c:f>
              <c:numCache>
                <c:formatCode>General</c:formatCode>
                <c:ptCount val="5"/>
                <c:pt idx="0">
                  <c:v>491</c:v>
                </c:pt>
                <c:pt idx="1">
                  <c:v>58</c:v>
                </c:pt>
                <c:pt idx="2">
                  <c:v>55</c:v>
                </c:pt>
                <c:pt idx="3">
                  <c:v>38</c:v>
                </c:pt>
                <c:pt idx="4">
                  <c:v>24</c:v>
                </c:pt>
              </c:numCache>
            </c:numRef>
          </c:val>
        </c:ser>
        <c:ser>
          <c:idx val="1"/>
          <c:order val="1"/>
          <c:tx>
            <c:strRef>
              <c:f>'UK tea market'!$C$26</c:f>
              <c:strCache>
                <c:ptCount val="1"/>
                <c:pt idx="0">
                  <c:v>2013</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'UK tea market'!$A$27:$A$31</c:f>
              <c:strCache>
                <c:ptCount val="5"/>
                <c:pt idx="0">
                  <c:v>Ordinary teabags</c:v>
                </c:pt>
                <c:pt idx="1">
                  <c:v>Herbal</c:v>
                </c:pt>
                <c:pt idx="2">
                  <c:v>Specialty</c:v>
                </c:pt>
                <c:pt idx="3">
                  <c:v>Decaffeinated</c:v>
                </c:pt>
                <c:pt idx="4">
                  <c:v>Green</c:v>
                </c:pt>
              </c:strCache>
            </c:strRef>
          </c:cat>
          <c:val>
            <c:numRef>
              <c:f>'UK tea market'!$C$27:$C$31</c:f>
              <c:numCache>
                <c:formatCode>General</c:formatCode>
                <c:ptCount val="5"/>
                <c:pt idx="0">
                  <c:v>453</c:v>
                </c:pt>
                <c:pt idx="1">
                  <c:v>70</c:v>
                </c:pt>
                <c:pt idx="2">
                  <c:v>61</c:v>
                </c:pt>
                <c:pt idx="3">
                  <c:v>40</c:v>
                </c:pt>
                <c:pt idx="4">
                  <c:v>31</c:v>
                </c:pt>
              </c:numCache>
            </c:numRef>
          </c:val>
        </c:ser>
        <c:ser>
          <c:idx val="2"/>
          <c:order val="2"/>
          <c:tx>
            <c:strRef>
              <c:f>'UK tea market'!$D$26</c:f>
              <c:strCache>
                <c:ptCount val="1"/>
                <c:pt idx="0">
                  <c:v>2014</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'UK tea market'!$A$27:$A$31</c:f>
              <c:strCache>
                <c:ptCount val="5"/>
                <c:pt idx="0">
                  <c:v>Ordinary teabags</c:v>
                </c:pt>
                <c:pt idx="1">
                  <c:v>Herbal</c:v>
                </c:pt>
                <c:pt idx="2">
                  <c:v>Specialty</c:v>
                </c:pt>
                <c:pt idx="3">
                  <c:v>Decaffeinated</c:v>
                </c:pt>
                <c:pt idx="4">
                  <c:v>Green</c:v>
                </c:pt>
              </c:strCache>
            </c:strRef>
          </c:cat>
          <c:val>
            <c:numRef>
              <c:f>'UK tea market'!$D$27:$D$31</c:f>
              <c:numCache>
                <c:formatCode>General</c:formatCode>
                <c:ptCount val="5"/>
                <c:pt idx="0">
                  <c:v>425</c:v>
                </c:pt>
                <c:pt idx="1">
                  <c:v>76</c:v>
                </c:pt>
                <c:pt idx="2">
                  <c:v>63</c:v>
                </c:pt>
                <c:pt idx="3">
                  <c:v>39</c:v>
                </c:pt>
                <c:pt idx="4">
                  <c:v>36</c:v>
                </c:pt>
              </c:numCache>
            </c:numRef>
          </c:val>
        </c:ser>
        <c:dLbls>
          <c:showLegendKey val="0"/>
          <c:showVal val="0"/>
          <c:showCatName val="0"/>
          <c:showSerName val="0"/>
          <c:showPercent val="0"/>
          <c:showBubbleSize val="0"/>
        </c:dLbls>
        <c:gapWidth val="150"/>
        <c:axId val="383604184"/>
        <c:axId val="383602616"/>
      </c:barChart>
      <c:catAx>
        <c:axId val="383604184"/>
        <c:scaling>
          <c:orientation val="minMax"/>
        </c:scaling>
        <c:delete val="0"/>
        <c:axPos val="b"/>
        <c:numFmt formatCode="General" sourceLinked="1"/>
        <c:majorTickMark val="out"/>
        <c:minorTickMark val="none"/>
        <c:tickLblPos val="nextTo"/>
        <c:crossAx val="383602616"/>
        <c:crosses val="autoZero"/>
        <c:auto val="1"/>
        <c:lblAlgn val="ctr"/>
        <c:lblOffset val="100"/>
        <c:noMultiLvlLbl val="0"/>
      </c:catAx>
      <c:valAx>
        <c:axId val="383602616"/>
        <c:scaling>
          <c:orientation val="minMax"/>
        </c:scaling>
        <c:delete val="0"/>
        <c:axPos val="l"/>
        <c:majorGridlines/>
        <c:title>
          <c:tx>
            <c:rich>
              <a:bodyPr rot="-5400000" vert="horz"/>
              <a:lstStyle/>
              <a:p>
                <a:pPr>
                  <a:defRPr/>
                </a:pPr>
                <a:r>
                  <a:rPr lang="en-US" altLang="zh-CN" sz="900" b="0" i="0" baseline="0">
                    <a:effectLst/>
                  </a:rPr>
                  <a:t>Annual value sales of tea (million GBP)</a:t>
                </a:r>
                <a:endParaRPr lang="zh-CN" altLang="zh-CN" sz="900">
                  <a:effectLst/>
                </a:endParaRPr>
              </a:p>
            </c:rich>
          </c:tx>
          <c:layout>
            <c:manualLayout>
              <c:xMode val="edge"/>
              <c:yMode val="edge"/>
              <c:x val="7.889690871974336E-3"/>
              <c:y val="7.7692599403842003E-2"/>
            </c:manualLayout>
          </c:layout>
          <c:overlay val="0"/>
        </c:title>
        <c:numFmt formatCode="General" sourceLinked="1"/>
        <c:majorTickMark val="out"/>
        <c:minorTickMark val="none"/>
        <c:tickLblPos val="nextTo"/>
        <c:crossAx val="383604184"/>
        <c:crosses val="autoZero"/>
        <c:crossBetween val="between"/>
      </c:valAx>
    </c:plotArea>
    <c:legend>
      <c:legendPos val="r"/>
      <c:layout>
        <c:manualLayout>
          <c:xMode val="edge"/>
          <c:yMode val="edge"/>
          <c:x val="0.32419187955203349"/>
          <c:y val="0.89748484676825468"/>
          <c:w val="0.40571165742545845"/>
          <c:h val="0.10191242281765139"/>
        </c:manualLayout>
      </c:layout>
      <c:overlay val="0"/>
    </c:legend>
    <c:plotVisOnly val="1"/>
    <c:dispBlanksAs val="gap"/>
    <c:showDLblsOverMax val="0"/>
  </c:chart>
  <c:spPr>
    <a:noFill/>
    <a:ln>
      <a:noFill/>
    </a:ln>
  </c:sp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29569909470625072"/>
          <c:y val="2.8429282160625444E-2"/>
          <c:w val="0.65497384639392342"/>
          <c:h val="0.79389218138777429"/>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Data!$B$6:$B$13</c:f>
              <c:strCache>
                <c:ptCount val="8"/>
                <c:pt idx="0">
                  <c:v>Milk no sugar</c:v>
                </c:pt>
                <c:pt idx="1">
                  <c:v>Milk two or more sugars</c:v>
                </c:pt>
                <c:pt idx="2">
                  <c:v>Milk one sugar</c:v>
                </c:pt>
                <c:pt idx="3">
                  <c:v>I don't drink tea</c:v>
                </c:pt>
                <c:pt idx="4">
                  <c:v>Black no sugar</c:v>
                </c:pt>
                <c:pt idx="5">
                  <c:v>Milk with sweetener</c:v>
                </c:pt>
                <c:pt idx="6">
                  <c:v>Other</c:v>
                </c:pt>
                <c:pt idx="7">
                  <c:v>Black with sweetener</c:v>
                </c:pt>
              </c:strCache>
            </c:strRef>
          </c:cat>
          <c:val>
            <c:numRef>
              <c:f>Data!$C$6:$C$13</c:f>
              <c:numCache>
                <c:formatCode>0%</c:formatCode>
                <c:ptCount val="8"/>
                <c:pt idx="0">
                  <c:v>0.34</c:v>
                </c:pt>
                <c:pt idx="1">
                  <c:v>0.16</c:v>
                </c:pt>
                <c:pt idx="2">
                  <c:v>0.15</c:v>
                </c:pt>
                <c:pt idx="3">
                  <c:v>0.14000000000000001</c:v>
                </c:pt>
                <c:pt idx="4">
                  <c:v>0.08</c:v>
                </c:pt>
                <c:pt idx="5">
                  <c:v>7.0000000000000007E-2</c:v>
                </c:pt>
                <c:pt idx="6">
                  <c:v>0.03</c:v>
                </c:pt>
                <c:pt idx="7">
                  <c:v>0.02</c:v>
                </c:pt>
              </c:numCache>
            </c:numRef>
          </c:val>
        </c:ser>
        <c:dLbls>
          <c:showLegendKey val="0"/>
          <c:showVal val="0"/>
          <c:showCatName val="0"/>
          <c:showSerName val="0"/>
          <c:showPercent val="0"/>
          <c:showBubbleSize val="0"/>
        </c:dLbls>
        <c:gapWidth val="150"/>
        <c:axId val="383603792"/>
        <c:axId val="383605360"/>
      </c:barChart>
      <c:catAx>
        <c:axId val="383603792"/>
        <c:scaling>
          <c:orientation val="maxMin"/>
        </c:scaling>
        <c:delete val="0"/>
        <c:axPos val="l"/>
        <c:numFmt formatCode="General" sourceLinked="0"/>
        <c:majorTickMark val="out"/>
        <c:minorTickMark val="none"/>
        <c:tickLblPos val="nextTo"/>
        <c:crossAx val="383605360"/>
        <c:crosses val="autoZero"/>
        <c:auto val="1"/>
        <c:lblAlgn val="ctr"/>
        <c:lblOffset val="100"/>
        <c:noMultiLvlLbl val="0"/>
      </c:catAx>
      <c:valAx>
        <c:axId val="383605360"/>
        <c:scaling>
          <c:orientation val="minMax"/>
        </c:scaling>
        <c:delete val="0"/>
        <c:axPos val="b"/>
        <c:majorGridlines/>
        <c:title>
          <c:tx>
            <c:rich>
              <a:bodyPr/>
              <a:lstStyle/>
              <a:p>
                <a:pPr>
                  <a:defRPr b="0"/>
                </a:pPr>
                <a:r>
                  <a:rPr lang="en-US" b="0"/>
                  <a:t>Share of respondents</a:t>
                </a:r>
              </a:p>
            </c:rich>
          </c:tx>
          <c:layout/>
          <c:overlay val="0"/>
        </c:title>
        <c:numFmt formatCode="0%" sourceLinked="1"/>
        <c:majorTickMark val="out"/>
        <c:minorTickMark val="none"/>
        <c:tickLblPos val="nextTo"/>
        <c:crossAx val="383603792"/>
        <c:crosses val="max"/>
        <c:crossBetween val="between"/>
      </c:valAx>
    </c:plotArea>
    <c:plotVisOnly val="1"/>
    <c:dispBlanksAs val="gap"/>
    <c:showDLblsOverMax val="0"/>
  </c:chart>
  <c:spPr>
    <a:ln>
      <a:noFill/>
    </a:ln>
  </c:spPr>
  <c:txPr>
    <a:bodyPr/>
    <a:lstStyle/>
    <a:p>
      <a:pPr>
        <a:defRPr>
          <a:latin typeface="Times New Roman" panose="02020603050405020304" pitchFamily="18" charset="0"/>
          <a:cs typeface="Times New Roman" panose="02020603050405020304" pitchFamily="18" charset="0"/>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pieChart>
        <c:varyColors val="1"/>
        <c:ser>
          <c:idx val="0"/>
          <c:order val="0"/>
          <c:spPr>
            <a:ln>
              <a:solidFill>
                <a:srgbClr val="00B050"/>
              </a:solidFill>
            </a:ln>
          </c:spPr>
          <c:dPt>
            <c:idx val="0"/>
            <c:bubble3D val="0"/>
            <c:spPr>
              <a:solidFill>
                <a:srgbClr val="00B050"/>
              </a:solidFill>
              <a:ln>
                <a:solidFill>
                  <a:srgbClr val="00B050"/>
                </a:solidFill>
              </a:ln>
            </c:spPr>
          </c:dPt>
          <c:dPt>
            <c:idx val="2"/>
            <c:bubble3D val="0"/>
            <c:spPr>
              <a:solidFill>
                <a:schemeClr val="accent4">
                  <a:lumMod val="40000"/>
                  <a:lumOff val="60000"/>
                </a:schemeClr>
              </a:solidFill>
              <a:ln>
                <a:solidFill>
                  <a:schemeClr val="accent4">
                    <a:lumMod val="40000"/>
                    <a:lumOff val="60000"/>
                  </a:schemeClr>
                </a:solidFill>
              </a:ln>
            </c:spPr>
          </c:dPt>
          <c:dLbls>
            <c:dLbl>
              <c:idx val="0"/>
              <c:layout>
                <c:manualLayout>
                  <c:x val="1.388888888888899E-2"/>
                  <c:y val="-6.9444444444444489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1"/>
              <c:layout>
                <c:manualLayout>
                  <c:x val="-3.0555555555555582E-2"/>
                  <c:y val="-1.3888888888888888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dLbl>
              <c:idx val="2"/>
              <c:layout>
                <c:manualLayout>
                  <c:x val="-1.9444444444444459E-2"/>
                  <c:y val="-1.3888888888888888E-2"/>
                </c:manualLayout>
              </c:layout>
              <c:dLblPos val="bestFit"/>
              <c:showLegendKey val="0"/>
              <c:showVal val="1"/>
              <c:showCatName val="1"/>
              <c:showSerName val="0"/>
              <c:showPercent val="0"/>
              <c:showBubbleSize val="0"/>
              <c:extLst>
                <c:ext xmlns:c15="http://schemas.microsoft.com/office/drawing/2012/chart" uri="{CE6537A1-D6FC-4f65-9D91-7224C49458BB}">
                  <c15:layout/>
                </c:ext>
              </c:extLst>
            </c:dLbl>
            <c:spPr>
              <a:noFill/>
              <a:ln>
                <a:noFill/>
              </a:ln>
              <a:effectLst/>
            </c:spPr>
            <c:dLblPos val="outEnd"/>
            <c:showLegendKey val="0"/>
            <c:showVal val="1"/>
            <c:showCatName val="1"/>
            <c:showSerName val="0"/>
            <c:showPercent val="0"/>
            <c:showBubbleSize val="0"/>
            <c:showLeaderLines val="1"/>
            <c:extLst>
              <c:ext xmlns:c15="http://schemas.microsoft.com/office/drawing/2012/chart" uri="{CE6537A1-D6FC-4f65-9D91-7224C49458BB}"/>
            </c:extLst>
          </c:dLbls>
          <c:cat>
            <c:strRef>
              <c:f>'Canada market'!$A$3:$A$5</c:f>
              <c:strCache>
                <c:ptCount val="3"/>
                <c:pt idx="0">
                  <c:v>Green Tea</c:v>
                </c:pt>
                <c:pt idx="1">
                  <c:v>Black Tea</c:v>
                </c:pt>
                <c:pt idx="2">
                  <c:v>Fruit/Herbal/Botanical</c:v>
                </c:pt>
              </c:strCache>
            </c:strRef>
          </c:cat>
          <c:val>
            <c:numRef>
              <c:f>'Canada market'!$B$3:$B$5</c:f>
              <c:numCache>
                <c:formatCode>0%</c:formatCode>
                <c:ptCount val="3"/>
                <c:pt idx="0">
                  <c:v>0.39</c:v>
                </c:pt>
                <c:pt idx="1">
                  <c:v>0.36</c:v>
                </c:pt>
                <c:pt idx="2">
                  <c:v>0.27</c:v>
                </c:pt>
              </c:numCache>
            </c:numRef>
          </c:val>
        </c:ser>
        <c:dLbls>
          <c:showLegendKey val="0"/>
          <c:showVal val="0"/>
          <c:showCatName val="0"/>
          <c:showSerName val="0"/>
          <c:showPercent val="0"/>
          <c:showBubbleSize val="0"/>
          <c:showLeaderLines val="1"/>
        </c:dLbls>
        <c:firstSliceAng val="0"/>
      </c:pieChart>
    </c:plotArea>
    <c:plotVisOnly val="1"/>
    <c:dispBlanksAs val="gap"/>
    <c:showDLblsOverMax val="0"/>
  </c:chart>
  <c:spPr>
    <a:ln>
      <a:noFill/>
    </a:ln>
  </c:sp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4250440272048614"/>
          <c:y val="1.9840926500783972E-2"/>
          <c:w val="0.53970938349405739"/>
          <c:h val="0.87329515119157408"/>
        </c:manualLayout>
      </c:layout>
      <c:barChart>
        <c:barDir val="bar"/>
        <c:grouping val="clustered"/>
        <c:varyColors val="0"/>
        <c:ser>
          <c:idx val="0"/>
          <c:order val="0"/>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strRef>
              <c:f>'Canada market'!$A$37:$A$44</c:f>
              <c:strCache>
                <c:ptCount val="8"/>
                <c:pt idx="0">
                  <c:v>Grocery store</c:v>
                </c:pt>
                <c:pt idx="1">
                  <c:v>Mass merchandise store (e.g. Walmart, Costco)</c:v>
                </c:pt>
                <c:pt idx="2">
                  <c:v>Specialty tea shop (e.g. David's tea, Teavana)</c:v>
                </c:pt>
                <c:pt idx="3">
                  <c:v>Coffee shop</c:v>
                </c:pt>
                <c:pt idx="4">
                  <c:v>Specialty coffee shop</c:v>
                </c:pt>
                <c:pt idx="5">
                  <c:v>Department store</c:v>
                </c:pt>
                <c:pt idx="6">
                  <c:v>Online</c:v>
                </c:pt>
                <c:pt idx="7">
                  <c:v>Tea room</c:v>
                </c:pt>
              </c:strCache>
            </c:strRef>
          </c:cat>
          <c:val>
            <c:numRef>
              <c:f>'Canada market'!$B$37:$B$44</c:f>
              <c:numCache>
                <c:formatCode>0%</c:formatCode>
                <c:ptCount val="8"/>
                <c:pt idx="0">
                  <c:v>0.47</c:v>
                </c:pt>
                <c:pt idx="1">
                  <c:v>0.12</c:v>
                </c:pt>
                <c:pt idx="2">
                  <c:v>0.12</c:v>
                </c:pt>
                <c:pt idx="3">
                  <c:v>0.13</c:v>
                </c:pt>
                <c:pt idx="4">
                  <c:v>0.09</c:v>
                </c:pt>
                <c:pt idx="5">
                  <c:v>0.03</c:v>
                </c:pt>
                <c:pt idx="6">
                  <c:v>0.01</c:v>
                </c:pt>
                <c:pt idx="7">
                  <c:v>0.01</c:v>
                </c:pt>
              </c:numCache>
            </c:numRef>
          </c:val>
        </c:ser>
        <c:dLbls>
          <c:showLegendKey val="0"/>
          <c:showVal val="0"/>
          <c:showCatName val="0"/>
          <c:showSerName val="0"/>
          <c:showPercent val="0"/>
          <c:showBubbleSize val="0"/>
        </c:dLbls>
        <c:gapWidth val="150"/>
        <c:axId val="280191560"/>
        <c:axId val="280191168"/>
      </c:barChart>
      <c:catAx>
        <c:axId val="280191560"/>
        <c:scaling>
          <c:orientation val="maxMin"/>
        </c:scaling>
        <c:delete val="0"/>
        <c:axPos val="l"/>
        <c:numFmt formatCode="General" sourceLinked="0"/>
        <c:majorTickMark val="out"/>
        <c:minorTickMark val="none"/>
        <c:tickLblPos val="nextTo"/>
        <c:txPr>
          <a:bodyPr/>
          <a:lstStyle/>
          <a:p>
            <a:pPr>
              <a:defRPr sz="900"/>
            </a:pPr>
            <a:endParaRPr lang="en-US"/>
          </a:p>
        </c:txPr>
        <c:crossAx val="280191168"/>
        <c:crosses val="autoZero"/>
        <c:auto val="1"/>
        <c:lblAlgn val="ctr"/>
        <c:lblOffset val="100"/>
        <c:noMultiLvlLbl val="0"/>
      </c:catAx>
      <c:valAx>
        <c:axId val="280191168"/>
        <c:scaling>
          <c:orientation val="minMax"/>
        </c:scaling>
        <c:delete val="0"/>
        <c:axPos val="b"/>
        <c:majorGridlines/>
        <c:numFmt formatCode="0%" sourceLinked="1"/>
        <c:majorTickMark val="out"/>
        <c:minorTickMark val="none"/>
        <c:tickLblPos val="nextTo"/>
        <c:crossAx val="280191560"/>
        <c:crosses val="max"/>
        <c:crossBetween val="between"/>
      </c:valAx>
    </c:plotArea>
    <c:plotVisOnly val="1"/>
    <c:dispBlanksAs val="gap"/>
    <c:showDLblsOverMax val="0"/>
  </c:chart>
  <c:spPr>
    <a:ln>
      <a:noFill/>
    </a:ln>
  </c:sp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4718285214348206"/>
          <c:y val="5.1400554097404488E-2"/>
          <c:w val="0.71139807524059495"/>
          <c:h val="0.70298993875765525"/>
        </c:manualLayout>
      </c:layout>
      <c:barChart>
        <c:barDir val="col"/>
        <c:grouping val="clustered"/>
        <c:varyColors val="0"/>
        <c:ser>
          <c:idx val="2"/>
          <c:order val="1"/>
          <c:tx>
            <c:strRef>
              <c:f>Sheet2!$D$4</c:f>
              <c:strCache>
                <c:ptCount val="1"/>
                <c:pt idx="0">
                  <c:v>Total Output</c:v>
                </c:pt>
              </c:strCache>
            </c:strRef>
          </c:tx>
          <c:invertIfNegative val="0"/>
          <c:val>
            <c:numRef>
              <c:f>Sheet2!$D$5:$D$11</c:f>
              <c:numCache>
                <c:formatCode>0.00_);[Red]\(0.00\)</c:formatCode>
                <c:ptCount val="7"/>
                <c:pt idx="0">
                  <c:v>147.5069</c:v>
                </c:pt>
                <c:pt idx="1">
                  <c:v>162.32140000000001</c:v>
                </c:pt>
                <c:pt idx="2">
                  <c:v>178.9</c:v>
                </c:pt>
                <c:pt idx="3">
                  <c:v>192.44569999999999</c:v>
                </c:pt>
                <c:pt idx="4">
                  <c:v>210</c:v>
                </c:pt>
                <c:pt idx="5">
                  <c:v>227.8</c:v>
                </c:pt>
                <c:pt idx="6">
                  <c:v>244.54</c:v>
                </c:pt>
              </c:numCache>
            </c:numRef>
          </c:val>
        </c:ser>
        <c:dLbls>
          <c:showLegendKey val="0"/>
          <c:showVal val="0"/>
          <c:showCatName val="0"/>
          <c:showSerName val="0"/>
          <c:showPercent val="0"/>
          <c:showBubbleSize val="0"/>
        </c:dLbls>
        <c:gapWidth val="150"/>
        <c:axId val="279975968"/>
        <c:axId val="279975576"/>
      </c:barChart>
      <c:lineChart>
        <c:grouping val="standard"/>
        <c:varyColors val="0"/>
        <c:ser>
          <c:idx val="0"/>
          <c:order val="0"/>
          <c:tx>
            <c:strRef>
              <c:f>Sheet2!$B$4</c:f>
              <c:strCache>
                <c:ptCount val="1"/>
                <c:pt idx="0">
                  <c:v>Total Area</c:v>
                </c:pt>
              </c:strCache>
            </c:strRef>
          </c:tx>
          <c:cat>
            <c:numRef>
              <c:f>Sheet2!$A$5:$A$11</c:f>
              <c:numCache>
                <c:formatCode>General</c:formatCode>
                <c:ptCount val="7"/>
                <c:pt idx="0">
                  <c:v>2010</c:v>
                </c:pt>
                <c:pt idx="1">
                  <c:v>2011</c:v>
                </c:pt>
                <c:pt idx="2">
                  <c:v>2012</c:v>
                </c:pt>
                <c:pt idx="3">
                  <c:v>2013</c:v>
                </c:pt>
                <c:pt idx="4">
                  <c:v>2014</c:v>
                </c:pt>
                <c:pt idx="5">
                  <c:v>2015</c:v>
                </c:pt>
                <c:pt idx="6">
                  <c:v>2016</c:v>
                </c:pt>
              </c:numCache>
            </c:numRef>
          </c:cat>
          <c:val>
            <c:numRef>
              <c:f>Sheet2!$B$5:$B$11</c:f>
              <c:numCache>
                <c:formatCode>0.00_ </c:formatCode>
                <c:ptCount val="7"/>
                <c:pt idx="0" formatCode="General">
                  <c:v>197.02</c:v>
                </c:pt>
                <c:pt idx="1">
                  <c:v>211.26</c:v>
                </c:pt>
                <c:pt idx="2">
                  <c:v>227.99</c:v>
                </c:pt>
                <c:pt idx="3">
                  <c:v>246.88</c:v>
                </c:pt>
                <c:pt idx="4">
                  <c:v>272</c:v>
                </c:pt>
                <c:pt idx="5">
                  <c:v>287.74666666666667</c:v>
                </c:pt>
                <c:pt idx="6">
                  <c:v>296.5</c:v>
                </c:pt>
              </c:numCache>
            </c:numRef>
          </c:val>
          <c:smooth val="0"/>
        </c:ser>
        <c:dLbls>
          <c:showLegendKey val="0"/>
          <c:showVal val="0"/>
          <c:showCatName val="0"/>
          <c:showSerName val="0"/>
          <c:showPercent val="0"/>
          <c:showBubbleSize val="0"/>
        </c:dLbls>
        <c:marker val="1"/>
        <c:smooth val="0"/>
        <c:axId val="384102384"/>
        <c:axId val="279975184"/>
      </c:lineChart>
      <c:catAx>
        <c:axId val="384102384"/>
        <c:scaling>
          <c:orientation val="minMax"/>
        </c:scaling>
        <c:delete val="0"/>
        <c:axPos val="b"/>
        <c:numFmt formatCode="General" sourceLinked="1"/>
        <c:majorTickMark val="out"/>
        <c:minorTickMark val="none"/>
        <c:tickLblPos val="nextTo"/>
        <c:crossAx val="279975184"/>
        <c:crosses val="autoZero"/>
        <c:auto val="1"/>
        <c:lblAlgn val="ctr"/>
        <c:lblOffset val="100"/>
        <c:noMultiLvlLbl val="0"/>
      </c:catAx>
      <c:valAx>
        <c:axId val="279975184"/>
        <c:scaling>
          <c:orientation val="minMax"/>
        </c:scaling>
        <c:delete val="0"/>
        <c:axPos val="l"/>
        <c:majorGridlines/>
        <c:title>
          <c:tx>
            <c:rich>
              <a:bodyPr rot="-5400000" vert="horz"/>
              <a:lstStyle/>
              <a:p>
                <a:pPr>
                  <a:defRPr b="0"/>
                </a:pPr>
                <a:r>
                  <a:rPr lang="en-US" b="0"/>
                  <a:t>Ten Thousand Hectares</a:t>
                </a:r>
                <a:endParaRPr lang="zh-CN" b="0"/>
              </a:p>
            </c:rich>
          </c:tx>
          <c:layout/>
          <c:overlay val="0"/>
        </c:title>
        <c:numFmt formatCode="General" sourceLinked="1"/>
        <c:majorTickMark val="out"/>
        <c:minorTickMark val="none"/>
        <c:tickLblPos val="nextTo"/>
        <c:crossAx val="384102384"/>
        <c:crosses val="autoZero"/>
        <c:crossBetween val="between"/>
      </c:valAx>
      <c:valAx>
        <c:axId val="279975576"/>
        <c:scaling>
          <c:orientation val="minMax"/>
        </c:scaling>
        <c:delete val="0"/>
        <c:axPos val="r"/>
        <c:title>
          <c:tx>
            <c:rich>
              <a:bodyPr rot="-5400000" vert="horz"/>
              <a:lstStyle/>
              <a:p>
                <a:pPr>
                  <a:defRPr b="0"/>
                </a:pPr>
                <a:r>
                  <a:rPr lang="en-US" b="0"/>
                  <a:t>Ten Thousand Tons</a:t>
                </a:r>
              </a:p>
            </c:rich>
          </c:tx>
          <c:layout/>
          <c:overlay val="0"/>
        </c:title>
        <c:numFmt formatCode="0.00_);[Red]\(0.00\)" sourceLinked="1"/>
        <c:majorTickMark val="out"/>
        <c:minorTickMark val="none"/>
        <c:tickLblPos val="nextTo"/>
        <c:crossAx val="279975968"/>
        <c:crosses val="max"/>
        <c:crossBetween val="between"/>
      </c:valAx>
      <c:catAx>
        <c:axId val="279975968"/>
        <c:scaling>
          <c:orientation val="minMax"/>
        </c:scaling>
        <c:delete val="1"/>
        <c:axPos val="b"/>
        <c:majorTickMark val="out"/>
        <c:minorTickMark val="none"/>
        <c:tickLblPos val="nextTo"/>
        <c:crossAx val="279975576"/>
        <c:crosses val="autoZero"/>
        <c:auto val="1"/>
        <c:lblAlgn val="ctr"/>
        <c:lblOffset val="100"/>
        <c:noMultiLvlLbl val="0"/>
      </c:catAx>
    </c:plotArea>
    <c:legend>
      <c:legendPos val="r"/>
      <c:layout>
        <c:manualLayout>
          <c:xMode val="edge"/>
          <c:yMode val="edge"/>
          <c:x val="9.7222222222222224E-2"/>
          <c:y val="0.87924577136191306"/>
          <c:w val="0.82777777777777772"/>
          <c:h val="0.11650845727617382"/>
        </c:manualLayout>
      </c:layout>
      <c:overlay val="0"/>
    </c:legend>
    <c:plotVisOnly val="1"/>
    <c:dispBlanksAs val="gap"/>
    <c:showDLblsOverMax val="0"/>
  </c:chart>
  <c:spPr>
    <a:ln>
      <a:noFill/>
    </a:ln>
  </c:spPr>
  <c:txPr>
    <a:bodyPr/>
    <a:lstStyle/>
    <a:p>
      <a:pPr>
        <a:defRPr>
          <a:latin typeface="Times New Roman" pitchFamily="18" charset="0"/>
          <a:cs typeface="Times New Roman" pitchFamily="18" charset="0"/>
        </a:defRPr>
      </a:pPr>
      <a:endParaRPr lang="en-US"/>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中国消费市场!$B$3</c:f>
              <c:strCache>
                <c:ptCount val="1"/>
                <c:pt idx="0">
                  <c:v>万吨</c:v>
                </c:pt>
              </c:strCache>
            </c:strRef>
          </c:tx>
          <c:invertIfNegative val="0"/>
          <c:dLbls>
            <c:spPr>
              <a:noFill/>
              <a:ln>
                <a:noFill/>
              </a:ln>
              <a:effectLst/>
            </c:spPr>
            <c:showLegendKey val="0"/>
            <c:showVal val="1"/>
            <c:showCatName val="0"/>
            <c:showSerName val="0"/>
            <c:showPercent val="0"/>
            <c:showBubbleSize val="0"/>
            <c:showLeaderLines val="0"/>
            <c:extLst>
              <c:ext xmlns:c15="http://schemas.microsoft.com/office/drawing/2012/chart" uri="{CE6537A1-D6FC-4f65-9D91-7224C49458BB}">
                <c15:layout/>
                <c15:showLeaderLines val="0"/>
              </c:ext>
            </c:extLst>
          </c:dLbls>
          <c:cat>
            <c:numRef>
              <c:f>中国消费市场!$A$4:$A$10</c:f>
              <c:numCache>
                <c:formatCode>General</c:formatCode>
                <c:ptCount val="7"/>
                <c:pt idx="0">
                  <c:v>2009</c:v>
                </c:pt>
                <c:pt idx="1">
                  <c:v>2010</c:v>
                </c:pt>
                <c:pt idx="2">
                  <c:v>2011</c:v>
                </c:pt>
                <c:pt idx="3">
                  <c:v>2012</c:v>
                </c:pt>
                <c:pt idx="4">
                  <c:v>2013</c:v>
                </c:pt>
                <c:pt idx="5">
                  <c:v>2014</c:v>
                </c:pt>
                <c:pt idx="6">
                  <c:v>2015</c:v>
                </c:pt>
              </c:numCache>
            </c:numRef>
          </c:cat>
          <c:val>
            <c:numRef>
              <c:f>中国消费市场!$B$4:$B$10</c:f>
              <c:numCache>
                <c:formatCode>General</c:formatCode>
                <c:ptCount val="7"/>
                <c:pt idx="0">
                  <c:v>100</c:v>
                </c:pt>
                <c:pt idx="1">
                  <c:v>110</c:v>
                </c:pt>
                <c:pt idx="2">
                  <c:v>118</c:v>
                </c:pt>
                <c:pt idx="3">
                  <c:v>130</c:v>
                </c:pt>
                <c:pt idx="4">
                  <c:v>153.19999999999999</c:v>
                </c:pt>
                <c:pt idx="5">
                  <c:v>160</c:v>
                </c:pt>
                <c:pt idx="6">
                  <c:v>182</c:v>
                </c:pt>
              </c:numCache>
            </c:numRef>
          </c:val>
        </c:ser>
        <c:dLbls>
          <c:showLegendKey val="0"/>
          <c:showVal val="0"/>
          <c:showCatName val="0"/>
          <c:showSerName val="0"/>
          <c:showPercent val="0"/>
          <c:showBubbleSize val="0"/>
        </c:dLbls>
        <c:gapWidth val="150"/>
        <c:axId val="278361592"/>
        <c:axId val="279976360"/>
      </c:barChart>
      <c:catAx>
        <c:axId val="278361592"/>
        <c:scaling>
          <c:orientation val="minMax"/>
        </c:scaling>
        <c:delete val="0"/>
        <c:axPos val="b"/>
        <c:numFmt formatCode="General" sourceLinked="1"/>
        <c:majorTickMark val="out"/>
        <c:minorTickMark val="none"/>
        <c:tickLblPos val="nextTo"/>
        <c:crossAx val="279976360"/>
        <c:crosses val="autoZero"/>
        <c:auto val="1"/>
        <c:lblAlgn val="ctr"/>
        <c:lblOffset val="100"/>
        <c:noMultiLvlLbl val="0"/>
      </c:catAx>
      <c:valAx>
        <c:axId val="279976360"/>
        <c:scaling>
          <c:orientation val="minMax"/>
        </c:scaling>
        <c:delete val="0"/>
        <c:axPos val="l"/>
        <c:majorGridlines/>
        <c:title>
          <c:tx>
            <c:rich>
              <a:bodyPr rot="-5400000" vert="horz"/>
              <a:lstStyle/>
              <a:p>
                <a:pPr>
                  <a:defRPr b="0"/>
                </a:pPr>
                <a:r>
                  <a:rPr lang="en-US" altLang="zh-CN" b="0"/>
                  <a:t>Ten</a:t>
                </a:r>
                <a:r>
                  <a:rPr lang="en-US" altLang="zh-CN" b="0" baseline="0"/>
                  <a:t> Thousand Tons</a:t>
                </a:r>
                <a:endParaRPr lang="zh-CN" altLang="en-US" b="0"/>
              </a:p>
            </c:rich>
          </c:tx>
          <c:layout/>
          <c:overlay val="0"/>
        </c:title>
        <c:numFmt formatCode="General" sourceLinked="1"/>
        <c:majorTickMark val="out"/>
        <c:minorTickMark val="none"/>
        <c:tickLblPos val="nextTo"/>
        <c:crossAx val="278361592"/>
        <c:crosses val="autoZero"/>
        <c:crossBetween val="between"/>
      </c:valAx>
    </c:plotArea>
    <c:plotVisOnly val="1"/>
    <c:dispBlanksAs val="gap"/>
    <c:showDLblsOverMax val="0"/>
  </c:chart>
  <c:spPr>
    <a:ln>
      <a:noFill/>
    </a:ln>
  </c:sp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9E0EA-56C8-4AA7-AAEA-2BB567168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Report Basic.dot</Template>
  <TotalTime>1</TotalTime>
  <Pages>23</Pages>
  <Words>4817</Words>
  <Characters>26045</Characters>
  <Application>Microsoft Office Word</Application>
  <DocSecurity>0</DocSecurity>
  <Lines>217</Lines>
  <Paragraphs>61</Paragraphs>
  <ScaleCrop>false</ScaleCrop>
  <HeadingPairs>
    <vt:vector size="2" baseType="variant">
      <vt:variant>
        <vt:lpstr>Title</vt:lpstr>
      </vt:variant>
      <vt:variant>
        <vt:i4>1</vt:i4>
      </vt:variant>
    </vt:vector>
  </HeadingPairs>
  <TitlesOfParts>
    <vt:vector size="1" baseType="lpstr">
      <vt:lpstr>Free-Plan 3.0</vt:lpstr>
    </vt:vector>
  </TitlesOfParts>
  <Manager>Invest-Tech Limited, Dublin, Ireland</Manager>
  <Company>&lt;www.planware.org&gt;</Company>
  <LinksUpToDate>false</LinksUpToDate>
  <CharactersWithSpaces>30801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Free-Plan 3.0</dc:title>
  <dc:subject>Business Plan Template</dc:subject>
  <dc:creator>PlanWare</dc:creator>
  <cp:keywords>business plan, business planning, business planner</cp:keywords>
  <dc:description>Free-Plan © Copyright Invest-Tech Limited 1999-2006. Further info: &lt;info@planware.org&gt;. DO NOT REMOVE UNDER ANY CIRCUMSTANCES.</dc:description>
  <cp:lastModifiedBy>Brattlof, Margarita (EST)</cp:lastModifiedBy>
  <cp:revision>2</cp:revision>
  <cp:lastPrinted>2017-03-28T09:34:00Z</cp:lastPrinted>
  <dcterms:created xsi:type="dcterms:W3CDTF">2017-07-04T07:09:00Z</dcterms:created>
  <dcterms:modified xsi:type="dcterms:W3CDTF">2017-07-04T07:09:00Z</dcterms:modified>
  <cp:category>Small Business</cp:category>
</cp:coreProperties>
</file>