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976"/>
        <w:gridCol w:w="284"/>
        <w:gridCol w:w="5673"/>
      </w:tblGrid>
      <w:tr w:rsidR="00151DCE" w:rsidRPr="006934C2" w:rsidTr="00151DCE">
        <w:trPr>
          <w:cantSplit/>
          <w:trHeight w:hRule="exact" w:val="586"/>
        </w:trPr>
        <w:tc>
          <w:tcPr>
            <w:tcW w:w="9606" w:type="dxa"/>
            <w:gridSpan w:val="4"/>
          </w:tcPr>
          <w:p w:rsidR="00151DCE" w:rsidRPr="006934C2" w:rsidRDefault="00151DCE" w:rsidP="00007A14">
            <w:pPr>
              <w:bidi/>
              <w:spacing w:line="216" w:lineRule="auto"/>
              <w:contextualSpacing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استبيان المراجعة الخارجية </w:t>
            </w:r>
          </w:p>
        </w:tc>
      </w:tr>
      <w:tr w:rsidR="00151DCE" w:rsidRPr="006934C2" w:rsidTr="00151DCE">
        <w:trPr>
          <w:cantSplit/>
          <w:trHeight w:hRule="exact" w:val="586"/>
        </w:trPr>
        <w:tc>
          <w:tcPr>
            <w:tcW w:w="9606" w:type="dxa"/>
            <w:gridSpan w:val="4"/>
          </w:tcPr>
          <w:p w:rsidR="00151DCE" w:rsidRPr="006934C2" w:rsidRDefault="00151DCE" w:rsidP="00895852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فني</w:t>
            </w:r>
          </w:p>
        </w:tc>
      </w:tr>
      <w:tr w:rsidR="00151DCE" w:rsidRPr="006934C2" w:rsidTr="00895852">
        <w:trPr>
          <w:cantSplit/>
          <w:trHeight w:hRule="exact" w:val="480"/>
        </w:trPr>
        <w:tc>
          <w:tcPr>
            <w:tcW w:w="9606" w:type="dxa"/>
            <w:gridSpan w:val="4"/>
            <w:vAlign w:val="center"/>
          </w:tcPr>
          <w:p w:rsidR="00151DCE" w:rsidRPr="006934C2" w:rsidRDefault="00151DCE" w:rsidP="00895852">
            <w:p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>استقلالية</w:t>
            </w:r>
          </w:p>
        </w:tc>
      </w:tr>
      <w:tr w:rsidR="00151DCE" w:rsidRPr="006934C2" w:rsidTr="00895852">
        <w:trPr>
          <w:trHeight w:hRule="exact" w:val="1890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1-1</w:t>
            </w:r>
          </w:p>
        </w:tc>
        <w:tc>
          <w:tcPr>
            <w:tcW w:w="3260" w:type="dxa"/>
            <w:gridSpan w:val="2"/>
          </w:tcPr>
          <w:p w:rsidR="00151DCE" w:rsidRPr="006934C2" w:rsidRDefault="00151DCE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توفير اسم المنصب الرسمي ووصف دور مكتب المراجعة الخارجية للمراجع العام الذي يرفع المقترح</w:t>
            </w:r>
            <w:r w:rsidR="00CC14E9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362383">
        <w:trPr>
          <w:trHeight w:hRule="exact" w:val="2110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  <w:rtl/>
                <w:lang w:bidi="ar-EG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1-2</w:t>
            </w:r>
          </w:p>
        </w:tc>
        <w:tc>
          <w:tcPr>
            <w:tcW w:w="3260" w:type="dxa"/>
            <w:gridSpan w:val="2"/>
          </w:tcPr>
          <w:p w:rsidR="00151DCE" w:rsidRPr="006934C2" w:rsidRDefault="00151DCE" w:rsidP="00CC14E9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تحديد المكتب أو المنظمة المسؤولة عن تعيين و/أو إقالة المراجع العام. الإشارة إلى مدة ولايته و</w:t>
            </w:r>
            <w:r w:rsidR="00CC14E9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ما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إذا كانت هناك شروط تسمح بإقالة المراجع العام قبل أن ينهي مدة ولايته.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895852">
        <w:trPr>
          <w:trHeight w:hRule="exact" w:val="1413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  <w:rtl/>
                <w:lang w:bidi="ar-EG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1-3</w:t>
            </w:r>
          </w:p>
        </w:tc>
        <w:tc>
          <w:tcPr>
            <w:tcW w:w="3260" w:type="dxa"/>
            <w:gridSpan w:val="2"/>
          </w:tcPr>
          <w:p w:rsidR="00151DCE" w:rsidRPr="006934C2" w:rsidRDefault="00151DCE" w:rsidP="00CC14E9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تحديد المكتب أو المنظمة التي يرفع إليها المراجع العام تقاريره</w:t>
            </w:r>
            <w:r w:rsidR="00F71D25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 ووصف عملية رفع التقارير.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895852">
        <w:trPr>
          <w:trHeight w:hRule="exact" w:val="1561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  <w:rtl/>
                <w:lang w:bidi="ar-EG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1-4</w:t>
            </w:r>
          </w:p>
        </w:tc>
        <w:tc>
          <w:tcPr>
            <w:tcW w:w="3260" w:type="dxa"/>
            <w:gridSpan w:val="2"/>
          </w:tcPr>
          <w:p w:rsidR="00151DCE" w:rsidRPr="006934C2" w:rsidRDefault="00F71D25" w:rsidP="00CC14E9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وصف عملية تحديد ميزانية المراجع العام وبرنامج عمله تفصيلياً.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362383">
        <w:trPr>
          <w:trHeight w:hRule="exact" w:val="1700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  <w:rtl/>
                <w:lang w:bidi="ar-EG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1-5</w:t>
            </w:r>
          </w:p>
        </w:tc>
        <w:tc>
          <w:tcPr>
            <w:tcW w:w="3260" w:type="dxa"/>
            <w:gridSpan w:val="2"/>
          </w:tcPr>
          <w:p w:rsidR="00151DCE" w:rsidRPr="006934C2" w:rsidRDefault="00F71D25" w:rsidP="003737C4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وصف المعايير التي تحكم عمل المحاسبة الذي يضطلع به المراجع العام، وشرح عملية تحديد نطاق عمل المراجعة بالتفصيل.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362383">
        <w:trPr>
          <w:trHeight w:hRule="exact" w:val="1687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1-6</w:t>
            </w:r>
          </w:p>
        </w:tc>
        <w:tc>
          <w:tcPr>
            <w:tcW w:w="3260" w:type="dxa"/>
            <w:gridSpan w:val="2"/>
          </w:tcPr>
          <w:p w:rsidR="00151DCE" w:rsidRPr="006934C2" w:rsidRDefault="00F71D25" w:rsidP="006C01A3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توفير التفاصيل لمدونة السلوك المهني والأخلاقي المطبقة على مؤسسة المحاسبة، والإشارة إلى </w:t>
            </w:r>
            <w:r w:rsidR="006C01A3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تواتر إعداد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هذه المدونة.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362383">
        <w:trPr>
          <w:trHeight w:hRule="exact" w:val="1852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bidi="ar-EG"/>
              </w:rPr>
              <w:lastRenderedPageBreak/>
              <w:t>1-7</w:t>
            </w:r>
          </w:p>
        </w:tc>
        <w:tc>
          <w:tcPr>
            <w:tcW w:w="3260" w:type="dxa"/>
            <w:gridSpan w:val="2"/>
          </w:tcPr>
          <w:p w:rsidR="00151DCE" w:rsidRPr="006934C2" w:rsidRDefault="00F71D25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شرح التدابير التأديبية التي تتبعها مؤسسة المحاسبة، والتأكيد على أنّ ذلك ينطبق على جميع الموظفين في حال خرقوا مدونة السلوك المهني والأخلاقي.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362383">
        <w:trPr>
          <w:trHeight w:hRule="exact" w:val="1706"/>
        </w:trPr>
        <w:tc>
          <w:tcPr>
            <w:tcW w:w="673" w:type="dxa"/>
          </w:tcPr>
          <w:p w:rsidR="00151DCE" w:rsidRPr="006934C2" w:rsidRDefault="00895852" w:rsidP="00895852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1-8</w:t>
            </w:r>
          </w:p>
        </w:tc>
        <w:tc>
          <w:tcPr>
            <w:tcW w:w="3260" w:type="dxa"/>
            <w:gridSpan w:val="2"/>
          </w:tcPr>
          <w:p w:rsidR="00151DCE" w:rsidRPr="006934C2" w:rsidRDefault="00F71D25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الإبلاغ بما إذا كان على موظف مؤسسة المحاسبة أن يوقّع سنوياً بيانات امتثال تؤكد أنّه </w:t>
            </w:r>
            <w:r w:rsidR="00DE3B8E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اتّبع مدونة سلوك المؤسسة المهني والأخلاقي.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rPr>
          <w:cantSplit/>
          <w:trHeight w:hRule="exact" w:val="480"/>
        </w:trPr>
        <w:tc>
          <w:tcPr>
            <w:tcW w:w="9606" w:type="dxa"/>
            <w:gridSpan w:val="4"/>
          </w:tcPr>
          <w:p w:rsidR="00151DCE" w:rsidRPr="006934C2" w:rsidRDefault="00DE3B8E" w:rsidP="00895852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 xml:space="preserve">مؤهلات </w:t>
            </w:r>
            <w:r w:rsidR="00C00556"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 xml:space="preserve">المسؤولين </w:t>
            </w: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>والموظفين</w:t>
            </w:r>
          </w:p>
        </w:tc>
      </w:tr>
      <w:tr w:rsidR="00151DCE" w:rsidRPr="006934C2" w:rsidTr="00362383">
        <w:trPr>
          <w:trHeight w:hRule="exact" w:val="1353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2-1</w:t>
            </w:r>
          </w:p>
        </w:tc>
        <w:tc>
          <w:tcPr>
            <w:tcW w:w="3260" w:type="dxa"/>
            <w:gridSpan w:val="2"/>
          </w:tcPr>
          <w:p w:rsidR="00151DCE" w:rsidRPr="006934C2" w:rsidRDefault="00DE3B8E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الإشارة إلى عدد </w:t>
            </w:r>
            <w:r w:rsidR="00C00556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المسؤولين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والموظفين الذين يستخدمهم مكتب المراجع العام وإلى مؤهلاتهم.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2559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2-2</w:t>
            </w:r>
          </w:p>
        </w:tc>
        <w:tc>
          <w:tcPr>
            <w:tcW w:w="3260" w:type="dxa"/>
            <w:gridSpan w:val="2"/>
          </w:tcPr>
          <w:p w:rsidR="00151DCE" w:rsidRPr="006934C2" w:rsidRDefault="00DE3B8E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التأكيد على أنّ </w:t>
            </w:r>
            <w:r w:rsidR="00C00556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جميع المسؤولين والموظفين الذين وردت أسماؤهم في مقترح المراجعة يمتلكون مؤهلات مهنية و/أو مؤهلات محاسبية. وإلاّ يُرجى التوضيح. </w:t>
            </w:r>
          </w:p>
          <w:p w:rsidR="00151DCE" w:rsidRPr="006934C2" w:rsidRDefault="00151DCE" w:rsidP="00895852">
            <w:pPr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2559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2-3</w:t>
            </w:r>
          </w:p>
        </w:tc>
        <w:tc>
          <w:tcPr>
            <w:tcW w:w="3260" w:type="dxa"/>
            <w:gridSpan w:val="2"/>
          </w:tcPr>
          <w:p w:rsidR="00151DCE" w:rsidRPr="006934C2" w:rsidRDefault="00C00556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تحديد الهيئات المحاسبية أو هيئات المراجعة التي ينتسب إليها المسؤولون والموظفون.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3118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2-4</w:t>
            </w:r>
          </w:p>
        </w:tc>
        <w:tc>
          <w:tcPr>
            <w:tcW w:w="3260" w:type="dxa"/>
            <w:gridSpan w:val="2"/>
          </w:tcPr>
          <w:p w:rsidR="00151DCE" w:rsidRPr="006934C2" w:rsidRDefault="00C00556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تحديد التجربة المهنية التي يتمتع بها مسؤولو مؤسسة المراجعة وموظفوها في الامتثال للمعايير المحاسبية </w:t>
            </w:r>
            <w:r w:rsidR="007841C6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لمجلس الأمم المتحدة للمراجعين الخارجيين، والمبادئ الأخلاقية التي يعتمدون عليها في عملهم.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B6366D">
        <w:trPr>
          <w:trHeight w:hRule="exact" w:val="3279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lastRenderedPageBreak/>
              <w:t>2-5</w:t>
            </w:r>
          </w:p>
        </w:tc>
        <w:tc>
          <w:tcPr>
            <w:tcW w:w="3260" w:type="dxa"/>
            <w:gridSpan w:val="2"/>
          </w:tcPr>
          <w:p w:rsidR="00151DCE" w:rsidRPr="006934C2" w:rsidRDefault="007841C6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الإشارة إلى مجموعة المهارات التي يمتلكه</w:t>
            </w:r>
            <w:r w:rsidR="00483893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مسؤولو مؤسسة المراجعة وموظفوها، والإشارة إلى تجارب هؤلاء في مجال المراجعة في وكا</w:t>
            </w:r>
            <w:r w:rsidR="00483893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لات أخرى تابعة للأمم المتحدة، وف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ي منظمات غير حكومية دولية، إلخ.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1547"/>
        </w:trPr>
        <w:tc>
          <w:tcPr>
            <w:tcW w:w="673" w:type="dxa"/>
          </w:tcPr>
          <w:p w:rsidR="00151DCE" w:rsidRPr="006934C2" w:rsidRDefault="00362383" w:rsidP="00CC14E9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2-</w:t>
            </w:r>
            <w:r w:rsidR="00CC14E9" w:rsidRPr="006934C2">
              <w:rPr>
                <w:rFonts w:ascii="Traditional Arabic" w:hAnsi="Traditional Arabic" w:cs="Traditional Arabic"/>
                <w:szCs w:val="24"/>
                <w:lang w:val="en-US" w:bidi="ar-EG"/>
              </w:rPr>
              <w:t>6</w:t>
            </w:r>
          </w:p>
        </w:tc>
        <w:tc>
          <w:tcPr>
            <w:tcW w:w="3260" w:type="dxa"/>
            <w:gridSpan w:val="2"/>
          </w:tcPr>
          <w:p w:rsidR="00151DCE" w:rsidRPr="006934C2" w:rsidRDefault="007841C6" w:rsidP="00CC14E9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ذكر هيئات المراجعة أو المحاسبة التي تنتسب إليها مؤسسة المراجعة.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1845"/>
        </w:trPr>
        <w:tc>
          <w:tcPr>
            <w:tcW w:w="673" w:type="dxa"/>
          </w:tcPr>
          <w:p w:rsidR="00151DCE" w:rsidRPr="006934C2" w:rsidRDefault="00362383" w:rsidP="00CC14E9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2-</w:t>
            </w:r>
            <w:r w:rsidR="00CC14E9" w:rsidRPr="006934C2">
              <w:rPr>
                <w:rFonts w:ascii="Traditional Arabic" w:hAnsi="Traditional Arabic" w:cs="Traditional Arabic"/>
                <w:szCs w:val="24"/>
                <w:lang w:val="en-US" w:bidi="ar-EG"/>
              </w:rPr>
              <w:t>7</w:t>
            </w:r>
          </w:p>
        </w:tc>
        <w:tc>
          <w:tcPr>
            <w:tcW w:w="3260" w:type="dxa"/>
            <w:gridSpan w:val="2"/>
          </w:tcPr>
          <w:p w:rsidR="00151DCE" w:rsidRPr="006934C2" w:rsidRDefault="007841C6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الإشارة إلى عدد المسؤولين والموظفين الذين يجيدون على الأقل لغتين من لغات منظمة الأغذية والزراعة الرسمية.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53A08">
        <w:trPr>
          <w:cantSplit/>
          <w:trHeight w:hRule="exact" w:val="458"/>
        </w:trPr>
        <w:tc>
          <w:tcPr>
            <w:tcW w:w="9606" w:type="dxa"/>
            <w:gridSpan w:val="4"/>
          </w:tcPr>
          <w:p w:rsidR="00151DCE" w:rsidRPr="006934C2" w:rsidRDefault="007841C6" w:rsidP="00895852">
            <w:pPr>
              <w:numPr>
                <w:ilvl w:val="0"/>
                <w:numId w:val="4"/>
              </w:num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التدريب والتجربة </w:t>
            </w:r>
          </w:p>
        </w:tc>
      </w:tr>
      <w:tr w:rsidR="00151DCE" w:rsidRPr="006934C2" w:rsidTr="00895852">
        <w:trPr>
          <w:trHeight w:hRule="exact" w:val="1076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bidi="ar-EG"/>
              </w:rPr>
              <w:t>3-1</w:t>
            </w:r>
          </w:p>
        </w:tc>
        <w:tc>
          <w:tcPr>
            <w:tcW w:w="3260" w:type="dxa"/>
            <w:gridSpan w:val="2"/>
          </w:tcPr>
          <w:p w:rsidR="00151DCE" w:rsidRPr="006934C2" w:rsidRDefault="007841C6" w:rsidP="00895852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وصف ترتيبات التدريب المهني المستمر للمسؤولين والموظفين المقترحين.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3877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3-2</w:t>
            </w:r>
          </w:p>
        </w:tc>
        <w:tc>
          <w:tcPr>
            <w:tcW w:w="3260" w:type="dxa"/>
            <w:gridSpan w:val="2"/>
          </w:tcPr>
          <w:p w:rsidR="00151DCE" w:rsidRPr="006934C2" w:rsidRDefault="007841C6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تلخيص تجربة المراجعة التي يتمتع بها الفريق المقترح.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151DCE" w:rsidRPr="006934C2" w:rsidTr="00941D16">
              <w:tc>
                <w:tcPr>
                  <w:tcW w:w="2861" w:type="dxa"/>
                  <w:tcBorders>
                    <w:top w:val="nil"/>
                    <w:left w:val="nil"/>
                  </w:tcBorders>
                </w:tcPr>
                <w:p w:rsidR="00151DCE" w:rsidRPr="006934C2" w:rsidRDefault="00151DCE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2862" w:type="dxa"/>
                  <w:shd w:val="clear" w:color="auto" w:fill="D9D9D9"/>
                </w:tcPr>
                <w:p w:rsidR="00151DCE" w:rsidRPr="006934C2" w:rsidRDefault="007841C6" w:rsidP="00436E73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إجمالي عدد السنوات</w:t>
                  </w:r>
                </w:p>
              </w:tc>
            </w:tr>
            <w:tr w:rsidR="00151DCE" w:rsidRPr="006934C2" w:rsidTr="00941D16">
              <w:tc>
                <w:tcPr>
                  <w:tcW w:w="2861" w:type="dxa"/>
                  <w:shd w:val="clear" w:color="auto" w:fill="D9D9D9"/>
                </w:tcPr>
                <w:p w:rsidR="00151DCE" w:rsidRPr="006934C2" w:rsidRDefault="007841C6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في منظمات الأمم المتحدة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151DCE" w:rsidRPr="006934C2" w:rsidTr="00941D16">
              <w:tc>
                <w:tcPr>
                  <w:tcW w:w="2861" w:type="dxa"/>
                  <w:shd w:val="clear" w:color="auto" w:fill="D9D9D9"/>
                </w:tcPr>
                <w:p w:rsidR="00151DCE" w:rsidRPr="006934C2" w:rsidRDefault="007841C6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في منظمات وطنية أخرى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151DCE" w:rsidRPr="006934C2" w:rsidTr="00941D16">
              <w:tc>
                <w:tcPr>
                  <w:tcW w:w="2861" w:type="dxa"/>
                  <w:shd w:val="clear" w:color="auto" w:fill="D9D9D9"/>
                </w:tcPr>
                <w:p w:rsidR="00151DCE" w:rsidRPr="006934C2" w:rsidRDefault="007841C6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في منظمات دولية غير حكومية</w:t>
                  </w:r>
                  <w:r w:rsidR="00151DCE" w:rsidRPr="006934C2">
                    <w:rPr>
                      <w:rFonts w:ascii="Traditional Arabic" w:hAnsi="Traditional Arabic" w:cs="Traditional Arabic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151DCE" w:rsidRPr="006934C2" w:rsidTr="00941D16">
              <w:tc>
                <w:tcPr>
                  <w:tcW w:w="2861" w:type="dxa"/>
                  <w:shd w:val="clear" w:color="auto" w:fill="D9D9D9"/>
                </w:tcPr>
                <w:p w:rsidR="00151DCE" w:rsidRPr="006934C2" w:rsidRDefault="007841C6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436E73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</w:tbl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3961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bidi="ar-EG"/>
              </w:rPr>
              <w:lastRenderedPageBreak/>
              <w:t>3-3</w:t>
            </w:r>
          </w:p>
        </w:tc>
        <w:tc>
          <w:tcPr>
            <w:tcW w:w="3260" w:type="dxa"/>
            <w:gridSpan w:val="2"/>
          </w:tcPr>
          <w:p w:rsidR="00151DCE" w:rsidRPr="006934C2" w:rsidRDefault="00F25C0E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تحديد معرفة فريق المراجعة بكشوفات المراجعة المالية المعدة وفقاً للمعايير المحاسبية الدولية للقطاع العام.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2002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3-4</w:t>
            </w:r>
          </w:p>
        </w:tc>
        <w:tc>
          <w:tcPr>
            <w:tcW w:w="3260" w:type="dxa"/>
            <w:gridSpan w:val="2"/>
          </w:tcPr>
          <w:p w:rsidR="00151DCE" w:rsidRPr="006934C2" w:rsidRDefault="00F25C0E" w:rsidP="00895852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وصف برامج التدريب حول الاتجاهات الجديدة في مجال المراجعة التي شارك فيها المسؤولون والموظفون.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4682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bidi="ar-EG"/>
              </w:rPr>
              <w:t>3-5</w:t>
            </w:r>
          </w:p>
        </w:tc>
        <w:tc>
          <w:tcPr>
            <w:tcW w:w="3260" w:type="dxa"/>
            <w:gridSpan w:val="2"/>
          </w:tcPr>
          <w:p w:rsidR="00151DCE" w:rsidRPr="006934C2" w:rsidRDefault="00F25C0E" w:rsidP="00B6366D">
            <w:pPr>
              <w:bidi/>
              <w:spacing w:after="120"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معالجة العمليات لدى منظمة الأغذية والزراعة ومتطلبات المراجعة تستند إلى استخدام كبير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لأنظمة المراجعة المعلوماتية، وتستخدم المنظمة على وجه الخصوص أنظمة أوراكل المالية.</w:t>
            </w:r>
          </w:p>
          <w:p w:rsidR="0075590F" w:rsidRPr="006934C2" w:rsidRDefault="00F25C0E" w:rsidP="00B6366D">
            <w:pPr>
              <w:bidi/>
              <w:spacing w:after="120"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تلخيص تجربة المسؤولين والموظفين المقترحين على المنظمة في </w:t>
            </w:r>
            <w:r w:rsidR="0075590F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منظومات مراجعة تخطيط الموارد في المؤسسات.</w:t>
            </w:r>
          </w:p>
          <w:p w:rsidR="00F25C0E" w:rsidRPr="006934C2" w:rsidRDefault="0075590F" w:rsidP="00B6366D">
            <w:pPr>
              <w:bidi/>
              <w:spacing w:after="120"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 xml:space="preserve">ينبغي إدراج مزيد من المعلومات التفصيلية في الموجزات الفردية. 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rPr>
          <w:cantSplit/>
          <w:trHeight w:hRule="exact" w:val="551"/>
        </w:trPr>
        <w:tc>
          <w:tcPr>
            <w:tcW w:w="9606" w:type="dxa"/>
            <w:gridSpan w:val="4"/>
          </w:tcPr>
          <w:p w:rsidR="00151DCE" w:rsidRPr="006934C2" w:rsidRDefault="0075590F" w:rsidP="00895852">
            <w:pPr>
              <w:numPr>
                <w:ilvl w:val="0"/>
                <w:numId w:val="4"/>
              </w:num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نهج المراجعة </w:t>
            </w:r>
            <w:r w:rsidR="00BF0A2A" w:rsidRPr="006934C2">
              <w:rPr>
                <w:rFonts w:ascii="Traditional Arabic" w:hAnsi="Traditional Arabic" w:cs="Traditional Arabic" w:hint="cs"/>
                <w:bCs/>
                <w:sz w:val="30"/>
                <w:szCs w:val="30"/>
                <w:rtl/>
              </w:rPr>
              <w:t>والاستراتيجية</w:t>
            </w:r>
          </w:p>
        </w:tc>
      </w:tr>
      <w:tr w:rsidR="00151DCE" w:rsidRPr="006934C2" w:rsidTr="00895852">
        <w:trPr>
          <w:trHeight w:hRule="exact" w:val="2167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4-1</w:t>
            </w:r>
          </w:p>
        </w:tc>
        <w:tc>
          <w:tcPr>
            <w:tcW w:w="3260" w:type="dxa"/>
            <w:gridSpan w:val="2"/>
          </w:tcPr>
          <w:p w:rsidR="00151DCE" w:rsidRPr="006934C2" w:rsidRDefault="0075590F" w:rsidP="00895852">
            <w:pPr>
              <w:bidi/>
              <w:spacing w:line="216" w:lineRule="auto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وصف خطط العمل الشاملة التي توفر تغطية مناسبة لمراجعة كافة موارد منظمة الأغذية والزراعة.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2734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lastRenderedPageBreak/>
              <w:t>4-2</w:t>
            </w:r>
          </w:p>
        </w:tc>
        <w:tc>
          <w:tcPr>
            <w:tcW w:w="3260" w:type="dxa"/>
            <w:gridSpan w:val="2"/>
          </w:tcPr>
          <w:p w:rsidR="00151DCE" w:rsidRPr="006934C2" w:rsidRDefault="0075590F" w:rsidP="00895852">
            <w:pPr>
              <w:bidi/>
              <w:spacing w:line="216" w:lineRule="auto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الإشارة إلى توزيع الموظفين (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وفقاً لأيام العمل للفرد الواحد) لتغطية المجالات التالية.</w:t>
            </w:r>
          </w:p>
          <w:p w:rsidR="00151DCE" w:rsidRPr="006934C2" w:rsidRDefault="00151DCE" w:rsidP="00B6366D">
            <w:pPr>
              <w:numPr>
                <w:ilvl w:val="0"/>
                <w:numId w:val="1"/>
              </w:numPr>
              <w:bidi/>
              <w:spacing w:line="216" w:lineRule="auto"/>
              <w:jc w:val="lowKashida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7841C6" w:rsidRPr="006934C2" w:rsidTr="00941D16">
              <w:tc>
                <w:tcPr>
                  <w:tcW w:w="286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151DCE" w:rsidRPr="006934C2" w:rsidRDefault="00151DCE" w:rsidP="00895852">
                  <w:pPr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2862" w:type="dxa"/>
                  <w:shd w:val="pct12" w:color="auto" w:fill="auto"/>
                </w:tcPr>
                <w:p w:rsidR="00151DCE" w:rsidRPr="006934C2" w:rsidRDefault="0075590F" w:rsidP="00895852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</w:tr>
            <w:tr w:rsidR="007841C6" w:rsidRPr="006934C2" w:rsidTr="00941D16">
              <w:tc>
                <w:tcPr>
                  <w:tcW w:w="2861" w:type="dxa"/>
                </w:tcPr>
                <w:p w:rsidR="00151DCE" w:rsidRPr="006934C2" w:rsidRDefault="0075590F" w:rsidP="00406E5E">
                  <w:pPr>
                    <w:numPr>
                      <w:ilvl w:val="0"/>
                      <w:numId w:val="7"/>
                    </w:numPr>
                    <w:bidi/>
                    <w:spacing w:line="216" w:lineRule="auto"/>
                    <w:jc w:val="both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مراجعة الكشوفات المالية (بما في ذلك الامتثال والعمل الفعلي)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895852">
                  <w:pPr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lang w:val="en-US"/>
                    </w:rPr>
                  </w:pPr>
                </w:p>
              </w:tc>
            </w:tr>
            <w:tr w:rsidR="007841C6" w:rsidRPr="006934C2" w:rsidTr="00941D16">
              <w:tc>
                <w:tcPr>
                  <w:tcW w:w="2861" w:type="dxa"/>
                </w:tcPr>
                <w:p w:rsidR="00151DCE" w:rsidRPr="006934C2" w:rsidRDefault="0075590F" w:rsidP="00406E5E">
                  <w:pPr>
                    <w:numPr>
                      <w:ilvl w:val="0"/>
                      <w:numId w:val="7"/>
                    </w:numPr>
                    <w:bidi/>
                    <w:spacing w:line="216" w:lineRule="auto"/>
                    <w:jc w:val="both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مراجعة الجدوى المالية</w:t>
                  </w:r>
                </w:p>
              </w:tc>
              <w:tc>
                <w:tcPr>
                  <w:tcW w:w="2862" w:type="dxa"/>
                </w:tcPr>
                <w:p w:rsidR="00151DCE" w:rsidRPr="006934C2" w:rsidRDefault="00151DCE" w:rsidP="00895852">
                  <w:pPr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</w:tbl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2665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4-3</w:t>
            </w:r>
          </w:p>
        </w:tc>
        <w:tc>
          <w:tcPr>
            <w:tcW w:w="3260" w:type="dxa"/>
            <w:gridSpan w:val="2"/>
          </w:tcPr>
          <w:p w:rsidR="00151DCE" w:rsidRPr="006934C2" w:rsidRDefault="0075590F" w:rsidP="006C01A3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الوصف التفصيلي للتعاون </w:t>
            </w:r>
            <w:r w:rsidR="006C01A3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المرتقب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مع أي من مكاتب المراجعة الوطنية للقيام بأعمال المراجعة في منظمة الأغذية والزراعة</w:t>
            </w:r>
            <w:r w:rsidR="00CC14E9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B6366D">
        <w:trPr>
          <w:trHeight w:hRule="exact" w:val="2831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4-4</w:t>
            </w:r>
          </w:p>
        </w:tc>
        <w:tc>
          <w:tcPr>
            <w:tcW w:w="3260" w:type="dxa"/>
            <w:gridSpan w:val="2"/>
          </w:tcPr>
          <w:p w:rsidR="00151DCE" w:rsidRPr="006934C2" w:rsidRDefault="0075590F" w:rsidP="00CC14E9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ما هو نوع التعاون المزمع اعتماده مع وظائف المراجعة الداخلية لدى المنظمة للنهوض باستخدام موارد المراجعة المحدودة في المنظمة؟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rPr>
          <w:cantSplit/>
          <w:trHeight w:hRule="exact" w:val="500"/>
        </w:trPr>
        <w:tc>
          <w:tcPr>
            <w:tcW w:w="9606" w:type="dxa"/>
            <w:gridSpan w:val="4"/>
          </w:tcPr>
          <w:p w:rsidR="00151DCE" w:rsidRPr="006934C2" w:rsidRDefault="0005486F" w:rsidP="00362383">
            <w:pPr>
              <w:numPr>
                <w:ilvl w:val="0"/>
                <w:numId w:val="4"/>
              </w:num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تقرير المراجعة</w:t>
            </w:r>
          </w:p>
        </w:tc>
      </w:tr>
      <w:tr w:rsidR="00151DCE" w:rsidRPr="006934C2" w:rsidTr="00B6366D">
        <w:trPr>
          <w:trHeight w:hRule="exact" w:val="2747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5-1</w:t>
            </w:r>
          </w:p>
        </w:tc>
        <w:tc>
          <w:tcPr>
            <w:tcW w:w="3260" w:type="dxa"/>
            <w:gridSpan w:val="2"/>
          </w:tcPr>
          <w:p w:rsidR="00151DCE" w:rsidRPr="006934C2" w:rsidRDefault="0005072D" w:rsidP="006C01A3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وصف البنية المقترحة وشكل التقارير ورسائل الإدارة التي ستُرفع عبرها نتائج المراجعة إلى الإدارة. يُرجى إدراج الإطار الزمني الم</w:t>
            </w:r>
            <w:r w:rsidR="006C01A3"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رتقب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لرفع نتائج المراجعة. 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895852">
        <w:trPr>
          <w:trHeight w:hRule="exact" w:val="2124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 w:bidi="ar-EG"/>
              </w:rPr>
              <w:t>5-2</w:t>
            </w:r>
          </w:p>
        </w:tc>
        <w:tc>
          <w:tcPr>
            <w:tcW w:w="3260" w:type="dxa"/>
            <w:gridSpan w:val="2"/>
          </w:tcPr>
          <w:p w:rsidR="00151DCE" w:rsidRPr="006934C2" w:rsidRDefault="0005072D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الإشارة إلى التدابير المتخذة لضمان أن تكون تقارير المراجعة دقيقة، وشاملة، ومتوازنة، ومنصفة، وبناءة.</w:t>
            </w:r>
          </w:p>
        </w:tc>
        <w:tc>
          <w:tcPr>
            <w:tcW w:w="5673" w:type="dxa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rPr>
          <w:cantSplit/>
          <w:trHeight w:hRule="exact" w:val="558"/>
        </w:trPr>
        <w:tc>
          <w:tcPr>
            <w:tcW w:w="9606" w:type="dxa"/>
            <w:gridSpan w:val="4"/>
          </w:tcPr>
          <w:p w:rsidR="00151DCE" w:rsidRPr="006934C2" w:rsidRDefault="0005072D" w:rsidP="00895852">
            <w:pPr>
              <w:numPr>
                <w:ilvl w:val="0"/>
                <w:numId w:val="4"/>
              </w:num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lastRenderedPageBreak/>
              <w:t>التكلفة</w:t>
            </w:r>
          </w:p>
        </w:tc>
      </w:tr>
      <w:tr w:rsidR="00151DCE" w:rsidRPr="006934C2" w:rsidTr="00F61499">
        <w:trPr>
          <w:trHeight w:hRule="exact" w:val="4697"/>
        </w:trPr>
        <w:tc>
          <w:tcPr>
            <w:tcW w:w="673" w:type="dxa"/>
          </w:tcPr>
          <w:p w:rsidR="00151DCE" w:rsidRPr="006934C2" w:rsidRDefault="00362383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t>6-1</w:t>
            </w:r>
          </w:p>
        </w:tc>
        <w:tc>
          <w:tcPr>
            <w:tcW w:w="2976" w:type="dxa"/>
          </w:tcPr>
          <w:p w:rsidR="00151DCE" w:rsidRPr="006934C2" w:rsidRDefault="0005072D" w:rsidP="00895852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الإشارة إلى التكلفة المحتملة للمراجعة</w:t>
            </w:r>
            <w:r w:rsidR="00CC14E9"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 w:bidi="ar-EG"/>
              </w:rPr>
              <w:t>.</w:t>
            </w:r>
          </w:p>
        </w:tc>
        <w:tc>
          <w:tcPr>
            <w:tcW w:w="5957" w:type="dxa"/>
            <w:gridSpan w:val="2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  <w:tbl>
            <w:tblPr>
              <w:bidiVisual/>
              <w:tblW w:w="53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431"/>
              <w:gridCol w:w="1431"/>
              <w:gridCol w:w="1253"/>
            </w:tblGrid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السنة</w:t>
                  </w:r>
                </w:p>
              </w:tc>
              <w:tc>
                <w:tcPr>
                  <w:tcW w:w="1431" w:type="dxa"/>
                  <w:shd w:val="clear" w:color="auto" w:fill="D9D9D9"/>
                </w:tcPr>
                <w:p w:rsidR="00151DCE" w:rsidRPr="006934C2" w:rsidRDefault="0005072D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التكاليف</w:t>
                  </w:r>
                </w:p>
              </w:tc>
              <w:tc>
                <w:tcPr>
                  <w:tcW w:w="1431" w:type="dxa"/>
                  <w:shd w:val="clear" w:color="auto" w:fill="D9D9D9"/>
                </w:tcPr>
                <w:p w:rsidR="00151DCE" w:rsidRPr="006934C2" w:rsidRDefault="0005072D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النفقات</w:t>
                  </w:r>
                </w:p>
              </w:tc>
              <w:tc>
                <w:tcPr>
                  <w:tcW w:w="1253" w:type="dxa"/>
                  <w:shd w:val="clear" w:color="auto" w:fill="D9D9D9"/>
                </w:tcPr>
                <w:p w:rsidR="00151DCE" w:rsidRPr="006934C2" w:rsidRDefault="0005072D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2020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2021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2022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2023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2024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A95B9C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szCs w:val="24"/>
                    </w:rPr>
                    <w:t>2025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  <w:tr w:rsidR="007841C6" w:rsidRPr="006934C2" w:rsidTr="00853A08">
              <w:trPr>
                <w:jc w:val="center"/>
              </w:trPr>
              <w:tc>
                <w:tcPr>
                  <w:tcW w:w="1260" w:type="dxa"/>
                  <w:shd w:val="clear" w:color="auto" w:fill="D9D9D9"/>
                </w:tcPr>
                <w:p w:rsidR="00151DCE" w:rsidRPr="006934C2" w:rsidRDefault="0005072D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431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  <w:tc>
                <w:tcPr>
                  <w:tcW w:w="1253" w:type="dxa"/>
                </w:tcPr>
                <w:p w:rsidR="00151DCE" w:rsidRPr="006934C2" w:rsidRDefault="00151DCE" w:rsidP="00853A08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sz w:val="30"/>
                      <w:szCs w:val="30"/>
                    </w:rPr>
                  </w:pPr>
                </w:p>
              </w:tc>
            </w:tr>
          </w:tbl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F61499">
        <w:trPr>
          <w:trHeight w:hRule="exact" w:val="14179"/>
        </w:trPr>
        <w:tc>
          <w:tcPr>
            <w:tcW w:w="673" w:type="dxa"/>
          </w:tcPr>
          <w:p w:rsidR="00151DCE" w:rsidRPr="006934C2" w:rsidRDefault="00AD65BC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  <w:lang w:val="en-US"/>
              </w:rPr>
              <w:lastRenderedPageBreak/>
              <w:t>6-2</w:t>
            </w:r>
          </w:p>
        </w:tc>
        <w:tc>
          <w:tcPr>
            <w:tcW w:w="2976" w:type="dxa"/>
          </w:tcPr>
          <w:p w:rsidR="0005072D" w:rsidRPr="006934C2" w:rsidRDefault="0005072D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i/>
                <w:sz w:val="30"/>
                <w:szCs w:val="30"/>
                <w:rtl/>
              </w:rPr>
              <w:t>الإشارة إلى توزيع التكاليف الإجمالية</w:t>
            </w:r>
            <w:r w:rsidRPr="006934C2"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/>
              </w:rPr>
              <w:t xml:space="preserve"> المقدرة أعلاه.</w:t>
            </w:r>
          </w:p>
          <w:p w:rsidR="0005072D" w:rsidRPr="006934C2" w:rsidRDefault="0005072D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/>
              </w:rPr>
              <w:t>ملاحظة: المعدل المعتمد لدى الدولة والإجمالي المقدر بالدولار الأمريكي.</w:t>
            </w: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i/>
                <w:sz w:val="30"/>
                <w:szCs w:val="30"/>
                <w:lang w:val="en-US"/>
              </w:rPr>
            </w:pPr>
          </w:p>
        </w:tc>
        <w:tc>
          <w:tcPr>
            <w:tcW w:w="5957" w:type="dxa"/>
            <w:gridSpan w:val="2"/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b/>
                <w:i/>
                <w:sz w:val="22"/>
                <w:szCs w:val="22"/>
                <w:lang w:val="en-US"/>
              </w:rPr>
            </w:pPr>
          </w:p>
          <w:tbl>
            <w:tblPr>
              <w:bidiVisual/>
              <w:tblW w:w="57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812"/>
              <w:gridCol w:w="938"/>
              <w:gridCol w:w="1246"/>
              <w:gridCol w:w="952"/>
              <w:gridCol w:w="993"/>
            </w:tblGrid>
            <w:tr w:rsidR="00151DCE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4941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BF0A2A" w:rsidRDefault="00BF0A2A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Cs/>
                      <w:iCs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2020</w:t>
                  </w:r>
                </w:p>
              </w:tc>
            </w:tr>
            <w:tr w:rsidR="008A03BA" w:rsidRPr="006934C2" w:rsidTr="008A03BA">
              <w:trPr>
                <w:trHeight w:hRule="exact" w:val="795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</w:t>
                  </w:r>
                  <w:r w:rsidR="00CC14E9"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 xml:space="preserve"> </w:t>
                  </w: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الدرجة</w:t>
                  </w:r>
                </w:p>
              </w:tc>
              <w:tc>
                <w:tcPr>
                  <w:tcW w:w="1246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952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lang w:bidi="ar-EG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151DCE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4941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BF0A2A" w:rsidRDefault="00BF0A2A" w:rsidP="00BF0A2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Cs/>
                      <w:iCs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2021</w:t>
                  </w:r>
                </w:p>
              </w:tc>
            </w:tr>
            <w:tr w:rsidR="008A03BA" w:rsidRPr="006934C2" w:rsidTr="008A03BA">
              <w:trPr>
                <w:trHeight w:hRule="exact" w:val="858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 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الدرجة</w:t>
                  </w:r>
                </w:p>
              </w:tc>
              <w:tc>
                <w:tcPr>
                  <w:tcW w:w="1246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952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151DCE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4941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BF0A2A" w:rsidRDefault="00BF0A2A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Cs/>
                      <w:iCs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2022</w:t>
                  </w:r>
                </w:p>
              </w:tc>
            </w:tr>
            <w:tr w:rsidR="008A03BA" w:rsidRPr="006934C2" w:rsidTr="008A03BA">
              <w:trPr>
                <w:trHeight w:hRule="exact" w:val="866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133310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 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133310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لدرجة</w:t>
                  </w:r>
                </w:p>
              </w:tc>
              <w:tc>
                <w:tcPr>
                  <w:tcW w:w="1246" w:type="dxa"/>
                  <w:shd w:val="clear" w:color="auto" w:fill="D9D9D9"/>
                  <w:vAlign w:val="center"/>
                </w:tcPr>
                <w:p w:rsidR="00151DCE" w:rsidRPr="006934C2" w:rsidRDefault="0005072D" w:rsidP="00133310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952" w:type="dxa"/>
                  <w:shd w:val="clear" w:color="auto" w:fill="D9D9D9"/>
                  <w:vAlign w:val="center"/>
                </w:tcPr>
                <w:p w:rsidR="00151DCE" w:rsidRPr="006934C2" w:rsidRDefault="0005072D" w:rsidP="00133310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:rsidR="00151DCE" w:rsidRPr="006934C2" w:rsidRDefault="0005072D" w:rsidP="00133310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46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5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993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</w:tbl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i/>
                <w:sz w:val="30"/>
                <w:szCs w:val="30"/>
              </w:rPr>
            </w:pPr>
          </w:p>
        </w:tc>
      </w:tr>
      <w:tr w:rsidR="00151DCE" w:rsidRPr="006934C2" w:rsidTr="008A03BA">
        <w:trPr>
          <w:trHeight w:hRule="exact" w:val="14038"/>
        </w:trPr>
        <w:tc>
          <w:tcPr>
            <w:tcW w:w="673" w:type="dxa"/>
          </w:tcPr>
          <w:p w:rsidR="00151DCE" w:rsidRPr="006934C2" w:rsidRDefault="00AD65BC" w:rsidP="00362383">
            <w:pPr>
              <w:bidi/>
              <w:spacing w:line="216" w:lineRule="auto"/>
              <w:rPr>
                <w:rFonts w:ascii="Traditional Arabic" w:hAnsi="Traditional Arabic" w:cs="Traditional Arabic"/>
                <w:szCs w:val="24"/>
              </w:rPr>
            </w:pPr>
            <w:r w:rsidRPr="006934C2">
              <w:rPr>
                <w:rFonts w:ascii="Traditional Arabic" w:hAnsi="Traditional Arabic" w:cs="Traditional Arabic"/>
                <w:szCs w:val="24"/>
                <w:rtl/>
              </w:rPr>
              <w:lastRenderedPageBreak/>
              <w:t>6-2</w:t>
            </w:r>
          </w:p>
        </w:tc>
        <w:tc>
          <w:tcPr>
            <w:tcW w:w="2976" w:type="dxa"/>
          </w:tcPr>
          <w:p w:rsidR="00151DCE" w:rsidRPr="006934C2" w:rsidRDefault="00863D3A" w:rsidP="00863D3A">
            <w:pPr>
              <w:bidi/>
              <w:spacing w:line="216" w:lineRule="auto"/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i/>
                <w:sz w:val="30"/>
                <w:szCs w:val="30"/>
                <w:rtl/>
                <w:lang w:val="en-US" w:bidi="ar-EG"/>
              </w:rPr>
              <w:t>تكملة</w:t>
            </w:r>
          </w:p>
        </w:tc>
        <w:tc>
          <w:tcPr>
            <w:tcW w:w="5957" w:type="dxa"/>
            <w:gridSpan w:val="2"/>
          </w:tcPr>
          <w:p w:rsidR="008A03BA" w:rsidRPr="006934C2" w:rsidRDefault="008A03BA">
            <w:pPr>
              <w:bidi/>
              <w:rPr>
                <w:rFonts w:ascii="Traditional Arabic" w:hAnsi="Traditional Arabic" w:cs="Traditional Arabic"/>
              </w:rPr>
            </w:pPr>
          </w:p>
          <w:tbl>
            <w:tblPr>
              <w:bidiVisual/>
              <w:tblW w:w="5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812"/>
              <w:gridCol w:w="938"/>
              <w:gridCol w:w="1288"/>
              <w:gridCol w:w="882"/>
              <w:gridCol w:w="1020"/>
            </w:tblGrid>
            <w:tr w:rsidR="00151DCE" w:rsidRPr="006934C2" w:rsidTr="00B91E85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4"/>
                      <w:szCs w:val="34"/>
                    </w:rPr>
                  </w:pPr>
                </w:p>
              </w:tc>
              <w:tc>
                <w:tcPr>
                  <w:tcW w:w="4940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6934C2" w:rsidRDefault="00BF0A2A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/>
                      <w:i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2023</w:t>
                  </w:r>
                </w:p>
              </w:tc>
            </w:tr>
            <w:tr w:rsidR="00B91E85" w:rsidRPr="006934C2" w:rsidTr="008A03BA">
              <w:trPr>
                <w:trHeight w:hRule="exact" w:val="819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 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الدرجة</w:t>
                  </w:r>
                </w:p>
              </w:tc>
              <w:tc>
                <w:tcPr>
                  <w:tcW w:w="1288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882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1020" w:type="dxa"/>
                  <w:shd w:val="clear" w:color="auto" w:fill="D9D9D9"/>
                  <w:vAlign w:val="center"/>
                </w:tcPr>
                <w:p w:rsidR="00151DCE" w:rsidRPr="006934C2" w:rsidRDefault="0005072D" w:rsidP="00F61499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lang w:val="en-US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151DCE" w:rsidRPr="006934C2" w:rsidTr="00B91E85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4940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6934C2" w:rsidRDefault="00BF0A2A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/>
                      <w:i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2024</w:t>
                  </w:r>
                </w:p>
              </w:tc>
            </w:tr>
            <w:tr w:rsidR="00B91E85" w:rsidRPr="006934C2" w:rsidTr="008A03BA">
              <w:trPr>
                <w:trHeight w:hRule="exact" w:val="868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 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الدرجة</w:t>
                  </w:r>
                </w:p>
              </w:tc>
              <w:tc>
                <w:tcPr>
                  <w:tcW w:w="1288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882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1020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151DCE" w:rsidRPr="006934C2" w:rsidTr="00B91E85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4940" w:type="dxa"/>
                  <w:gridSpan w:val="5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151DCE" w:rsidRPr="006934C2" w:rsidRDefault="00BF0A2A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b/>
                      <w:i/>
                      <w:szCs w:val="24"/>
                    </w:rPr>
                  </w:pPr>
                  <w:r w:rsidRPr="00BF0A2A">
                    <w:rPr>
                      <w:rFonts w:ascii="Traditional Arabic" w:hAnsi="Traditional Arabic" w:cs="Traditional Arabic" w:hint="cs"/>
                      <w:bCs/>
                      <w:iCs/>
                      <w:szCs w:val="24"/>
                      <w:rtl/>
                    </w:rPr>
                    <w:t>2025</w:t>
                  </w:r>
                </w:p>
              </w:tc>
            </w:tr>
            <w:tr w:rsidR="00B91E85" w:rsidRPr="006934C2" w:rsidTr="008A03BA">
              <w:trPr>
                <w:trHeight w:hRule="exact" w:val="848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عدد الموظفين</w:t>
                  </w:r>
                </w:p>
              </w:tc>
              <w:tc>
                <w:tcPr>
                  <w:tcW w:w="938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الدرجة</w:t>
                  </w:r>
                </w:p>
              </w:tc>
              <w:tc>
                <w:tcPr>
                  <w:tcW w:w="1288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أيام العمل للفرد الواحد</w:t>
                  </w:r>
                </w:p>
              </w:tc>
              <w:tc>
                <w:tcPr>
                  <w:tcW w:w="882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المعدل</w:t>
                  </w:r>
                </w:p>
              </w:tc>
              <w:tc>
                <w:tcPr>
                  <w:tcW w:w="1020" w:type="dxa"/>
                  <w:shd w:val="clear" w:color="auto" w:fill="D9D9D9"/>
                  <w:vAlign w:val="center"/>
                </w:tcPr>
                <w:p w:rsidR="00151DCE" w:rsidRPr="006934C2" w:rsidRDefault="0005072D" w:rsidP="00B91E85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12" w:type="dxa"/>
                  <w:tcBorders>
                    <w:left w:val="single" w:sz="4" w:space="0" w:color="auto"/>
                  </w:tcBorders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  <w:tr w:rsidR="008A03BA" w:rsidRPr="006934C2" w:rsidTr="008A03BA">
              <w:trPr>
                <w:trHeight w:hRule="exact" w:val="454"/>
                <w:jc w:val="center"/>
              </w:trPr>
              <w:tc>
                <w:tcPr>
                  <w:tcW w:w="83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المجموع</w:t>
                  </w:r>
                </w:p>
              </w:tc>
              <w:tc>
                <w:tcPr>
                  <w:tcW w:w="812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938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288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882" w:type="dxa"/>
                  <w:shd w:val="clear" w:color="auto" w:fill="D9D9D9"/>
                </w:tcPr>
                <w:p w:rsidR="00151DCE" w:rsidRPr="006934C2" w:rsidRDefault="0005072D" w:rsidP="00156B5A">
                  <w:pPr>
                    <w:bidi/>
                    <w:spacing w:line="216" w:lineRule="auto"/>
                    <w:jc w:val="center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  <w:lang w:val="en-US"/>
                    </w:rPr>
                  </w:pPr>
                  <w:r w:rsidRPr="006934C2"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  <w:rtl/>
                    </w:rPr>
                    <w:t>لا ينطبق</w:t>
                  </w:r>
                </w:p>
              </w:tc>
              <w:tc>
                <w:tcPr>
                  <w:tcW w:w="1020" w:type="dxa"/>
                </w:tcPr>
                <w:p w:rsidR="00151DCE" w:rsidRPr="006934C2" w:rsidRDefault="00151DCE" w:rsidP="00156B5A">
                  <w:pPr>
                    <w:bidi/>
                    <w:spacing w:line="216" w:lineRule="auto"/>
                    <w:rPr>
                      <w:rFonts w:ascii="Traditional Arabic" w:hAnsi="Traditional Arabic" w:cs="Traditional Arabic"/>
                      <w:i/>
                      <w:sz w:val="30"/>
                      <w:szCs w:val="30"/>
                    </w:rPr>
                  </w:pPr>
                </w:p>
              </w:tc>
            </w:tr>
          </w:tbl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b/>
                <w:i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i/>
                <w:sz w:val="30"/>
                <w:szCs w:val="30"/>
              </w:rPr>
            </w:pPr>
          </w:p>
        </w:tc>
      </w:tr>
    </w:tbl>
    <w:p w:rsidR="00151DCE" w:rsidRPr="006934C2" w:rsidRDefault="00472B5A" w:rsidP="00B6366D">
      <w:pPr>
        <w:bidi/>
        <w:spacing w:line="216" w:lineRule="auto"/>
        <w:jc w:val="center"/>
        <w:rPr>
          <w:rFonts w:ascii="Traditional Arabic" w:hAnsi="Traditional Arabic" w:cs="Traditional Arabic"/>
          <w:bCs/>
          <w:sz w:val="36"/>
          <w:szCs w:val="36"/>
        </w:rPr>
      </w:pPr>
      <w:bookmarkStart w:id="0" w:name="_GoBack"/>
      <w:bookmarkEnd w:id="0"/>
      <w:r w:rsidRPr="006934C2">
        <w:rPr>
          <w:rFonts w:ascii="Traditional Arabic" w:hAnsi="Traditional Arabic" w:cs="Traditional Arabic"/>
          <w:bCs/>
          <w:sz w:val="36"/>
          <w:szCs w:val="36"/>
          <w:rtl/>
        </w:rPr>
        <w:lastRenderedPageBreak/>
        <w:t xml:space="preserve">الموجز </w:t>
      </w:r>
    </w:p>
    <w:p w:rsidR="00B6366D" w:rsidRPr="006934C2" w:rsidRDefault="00B6366D" w:rsidP="00B6366D">
      <w:pPr>
        <w:bidi/>
        <w:spacing w:line="216" w:lineRule="auto"/>
        <w:jc w:val="center"/>
        <w:rPr>
          <w:rFonts w:ascii="Traditional Arabic" w:hAnsi="Traditional Arabic" w:cs="Traditional Arabic"/>
          <w:bCs/>
          <w:sz w:val="18"/>
          <w:szCs w:val="18"/>
          <w:rtl/>
          <w:lang w:val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499"/>
        <w:gridCol w:w="1489"/>
        <w:gridCol w:w="1508"/>
      </w:tblGrid>
      <w:tr w:rsidR="00151DCE" w:rsidRPr="006934C2" w:rsidTr="00151DCE">
        <w:tc>
          <w:tcPr>
            <w:tcW w:w="4643" w:type="dxa"/>
            <w:tcBorders>
              <w:top w:val="single" w:sz="12" w:space="0" w:color="auto"/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الاسم 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العمر 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472B5A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المؤهلات العلمية</w:t>
            </w:r>
          </w:p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  <w:t>(المؤسسة، الشهادة، التاريخ، إلخ)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الانتساب إلى هيئات المراجعة</w:t>
            </w:r>
          </w:p>
          <w:p w:rsidR="00472B5A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/>
                <w:sz w:val="30"/>
                <w:szCs w:val="30"/>
                <w:rtl/>
              </w:rPr>
              <w:t>(</w:t>
            </w:r>
            <w:r w:rsidR="00863D3A" w:rsidRPr="006934C2">
              <w:rPr>
                <w:rFonts w:ascii="Traditional Arabic" w:hAnsi="Traditional Arabic" w:cs="Traditional Arabic"/>
                <w:b/>
                <w:sz w:val="30"/>
                <w:szCs w:val="30"/>
                <w:rtl/>
              </w:rPr>
              <w:t>ا</w:t>
            </w:r>
            <w:r w:rsidRPr="006934C2">
              <w:rPr>
                <w:rFonts w:ascii="Traditional Arabic" w:hAnsi="Traditional Arabic" w:cs="Traditional Arabic"/>
                <w:b/>
                <w:sz w:val="30"/>
                <w:szCs w:val="30"/>
                <w:rtl/>
              </w:rPr>
              <w:t>سم المعهد، تاريخ الانتساب)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  <w:bottom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اسم الوظيفة الحالية </w:t>
            </w:r>
          </w:p>
        </w:tc>
        <w:tc>
          <w:tcPr>
            <w:tcW w:w="46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top w:val="single" w:sz="12" w:space="0" w:color="auto"/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سنوات الخبرة 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  <w:lang w:val="en-US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numPr>
                <w:ilvl w:val="0"/>
                <w:numId w:val="6"/>
              </w:num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منظمات الأمم المتحدة (يُرجى التحديد)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numPr>
                <w:ilvl w:val="0"/>
                <w:numId w:val="6"/>
              </w:num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منظمات غير تابعة للأمم المتحدة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AD65BC">
            <w:pPr>
              <w:numPr>
                <w:ilvl w:val="0"/>
                <w:numId w:val="9"/>
              </w:numPr>
              <w:bidi/>
              <w:spacing w:line="216" w:lineRule="auto"/>
              <w:ind w:left="1491" w:hanging="357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القطاع العام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AD65BC">
            <w:pPr>
              <w:numPr>
                <w:ilvl w:val="0"/>
                <w:numId w:val="9"/>
              </w:numPr>
              <w:bidi/>
              <w:spacing w:line="216" w:lineRule="auto"/>
              <w:ind w:left="1491" w:hanging="357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القطاع الخاص 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  <w:bottom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ind w:left="720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المجموع</w:t>
            </w:r>
          </w:p>
        </w:tc>
        <w:tc>
          <w:tcPr>
            <w:tcW w:w="46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top w:val="single" w:sz="12" w:space="0" w:color="auto"/>
              <w:left w:val="single" w:sz="12" w:space="0" w:color="auto"/>
            </w:tcBorders>
          </w:tcPr>
          <w:p w:rsidR="00151DCE" w:rsidRPr="006934C2" w:rsidRDefault="00472B5A" w:rsidP="00EC20DF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EC20DF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عدد </w:t>
            </w:r>
            <w:r w:rsidR="00EC20DF" w:rsidRPr="00EC20DF">
              <w:rPr>
                <w:rFonts w:ascii="Traditional Arabic" w:hAnsi="Traditional Arabic" w:cs="Traditional Arabic" w:hint="cs"/>
                <w:bCs/>
                <w:sz w:val="30"/>
                <w:szCs w:val="30"/>
                <w:rtl/>
              </w:rPr>
              <w:t>الكيانات الخاضعة للمراجعة والتي تعتمد ا</w:t>
            </w:r>
            <w:r w:rsidRPr="00EC20DF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>لمعايير المحاسبية الدولية للقطاع العام</w:t>
            </w:r>
            <w:r w:rsidR="00863D3A" w:rsidRPr="00EC20DF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>: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top w:val="single" w:sz="12" w:space="0" w:color="auto"/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معرفة اللغات (الإشارة إلى اللغة الأم) </w:t>
            </w:r>
          </w:p>
        </w:tc>
        <w:tc>
          <w:tcPr>
            <w:tcW w:w="46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 w:bidi="ar-EG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اللغات </w:t>
            </w:r>
          </w:p>
        </w:tc>
        <w:tc>
          <w:tcPr>
            <w:tcW w:w="1547" w:type="dxa"/>
          </w:tcPr>
          <w:p w:rsidR="00151DCE" w:rsidRPr="006934C2" w:rsidRDefault="00472B5A" w:rsidP="00B6366D">
            <w:p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بطلاقة </w:t>
            </w:r>
          </w:p>
        </w:tc>
        <w:tc>
          <w:tcPr>
            <w:tcW w:w="1548" w:type="dxa"/>
          </w:tcPr>
          <w:p w:rsidR="00151DCE" w:rsidRPr="006934C2" w:rsidRDefault="00472B5A" w:rsidP="00B6366D">
            <w:p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لا بأس 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51DCE" w:rsidRPr="006934C2" w:rsidRDefault="00472B5A" w:rsidP="00B6366D">
            <w:p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  <w:t>معرفة محدودة</w:t>
            </w: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الإنجليزية</w:t>
            </w:r>
          </w:p>
        </w:tc>
        <w:tc>
          <w:tcPr>
            <w:tcW w:w="1547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الفرنسية </w:t>
            </w:r>
          </w:p>
        </w:tc>
        <w:tc>
          <w:tcPr>
            <w:tcW w:w="1547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الإسبانية</w:t>
            </w:r>
          </w:p>
        </w:tc>
        <w:tc>
          <w:tcPr>
            <w:tcW w:w="1547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  <w:bottom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العربية</w:t>
            </w:r>
          </w:p>
        </w:tc>
        <w:tc>
          <w:tcPr>
            <w:tcW w:w="1547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  <w:bottom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الصينية </w:t>
            </w:r>
          </w:p>
        </w:tc>
        <w:tc>
          <w:tcPr>
            <w:tcW w:w="1547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4643" w:type="dxa"/>
            <w:tcBorders>
              <w:left w:val="single" w:sz="12" w:space="0" w:color="auto"/>
              <w:bottom w:val="single" w:sz="12" w:space="0" w:color="auto"/>
            </w:tcBorders>
          </w:tcPr>
          <w:p w:rsidR="00151DCE" w:rsidRPr="006934C2" w:rsidRDefault="00472B5A" w:rsidP="00895852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الروسية</w:t>
            </w:r>
          </w:p>
        </w:tc>
        <w:tc>
          <w:tcPr>
            <w:tcW w:w="1547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51DCE" w:rsidRPr="006934C2" w:rsidRDefault="00151DCE" w:rsidP="00B6366D">
            <w:pPr>
              <w:bidi/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  <w:tr w:rsidR="00151DCE" w:rsidRPr="006934C2" w:rsidTr="00151DCE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DCE" w:rsidRPr="006934C2" w:rsidRDefault="00472B5A" w:rsidP="00863D3A">
            <w:pPr>
              <w:bidi/>
              <w:spacing w:line="216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  <w:lang w:val="en-US"/>
              </w:rPr>
            </w:pPr>
            <w:r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تلخيص للتجربة في العمل والمهارات ذات الصلة</w:t>
            </w:r>
            <w:r w:rsidR="00863D3A" w:rsidRPr="006934C2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>:</w:t>
            </w: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:rsidR="00151DCE" w:rsidRPr="006934C2" w:rsidRDefault="00151DCE" w:rsidP="00895852">
            <w:pPr>
              <w:spacing w:line="216" w:lineRule="auto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</w:tbl>
    <w:p w:rsidR="000511DD" w:rsidRPr="006934C2" w:rsidRDefault="000511DD" w:rsidP="00DD1097">
      <w:pPr>
        <w:spacing w:line="216" w:lineRule="auto"/>
        <w:rPr>
          <w:rFonts w:ascii="Traditional Arabic" w:hAnsi="Traditional Arabic" w:cs="Traditional Arabic"/>
          <w:sz w:val="2"/>
          <w:szCs w:val="2"/>
          <w:lang w:val="en-US"/>
        </w:rPr>
      </w:pPr>
    </w:p>
    <w:sectPr w:rsidR="000511DD" w:rsidRPr="006934C2" w:rsidSect="00AB5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18" w:left="1440" w:header="709" w:footer="709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1C" w:rsidRDefault="003D3B1C" w:rsidP="00483893">
      <w:r>
        <w:separator/>
      </w:r>
    </w:p>
  </w:endnote>
  <w:endnote w:type="continuationSeparator" w:id="0">
    <w:p w:rsidR="003D3B1C" w:rsidRDefault="003D3B1C" w:rsidP="0048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37" w:rsidRPr="00415C37" w:rsidRDefault="00415C37" w:rsidP="00AB552C">
    <w:pPr>
      <w:pStyle w:val="Footer"/>
      <w:jc w:val="center"/>
    </w:pPr>
    <w:r>
      <w:t xml:space="preserve">- </w:t>
    </w:r>
    <w:r w:rsidR="00A95B9C">
      <w:rPr>
        <w:noProof/>
      </w:rPr>
      <w:fldChar w:fldCharType="begin"/>
    </w:r>
    <w:r w:rsidR="00A95B9C">
      <w:rPr>
        <w:noProof/>
      </w:rPr>
      <w:instrText xml:space="preserve"> PAGE </w:instrText>
    </w:r>
    <w:r w:rsidR="00A95B9C">
      <w:rPr>
        <w:noProof/>
      </w:rPr>
      <w:fldChar w:fldCharType="separate"/>
    </w:r>
    <w:r w:rsidR="00EC20DF">
      <w:rPr>
        <w:noProof/>
      </w:rPr>
      <w:t>8</w:t>
    </w:r>
    <w:r w:rsidR="00A95B9C"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2D" w:rsidRDefault="0005072D" w:rsidP="00AB552C">
    <w:pPr>
      <w:pStyle w:val="Footer"/>
      <w:jc w:val="center"/>
    </w:pPr>
    <w:r>
      <w:t xml:space="preserve">- </w:t>
    </w:r>
    <w:r w:rsidR="00A95B9C">
      <w:rPr>
        <w:noProof/>
      </w:rPr>
      <w:fldChar w:fldCharType="begin"/>
    </w:r>
    <w:r w:rsidR="00A95B9C">
      <w:rPr>
        <w:noProof/>
      </w:rPr>
      <w:instrText xml:space="preserve"> PAGE </w:instrText>
    </w:r>
    <w:r w:rsidR="00A95B9C">
      <w:rPr>
        <w:noProof/>
      </w:rPr>
      <w:fldChar w:fldCharType="separate"/>
    </w:r>
    <w:r w:rsidR="00EC20DF">
      <w:rPr>
        <w:noProof/>
      </w:rPr>
      <w:t>7</w:t>
    </w:r>
    <w:r w:rsidR="00A95B9C"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5E" w:rsidRPr="00981E5E" w:rsidRDefault="00A95B9C">
    <w:pPr>
      <w:pStyle w:val="Footer"/>
      <w:rPr>
        <w:lang w:val="en-US"/>
      </w:rPr>
    </w:pPr>
    <w:r>
      <w:t>MX580</w:t>
    </w:r>
    <w:r w:rsidR="00981E5E">
      <w:rPr>
        <w:lang w:val="en-US"/>
      </w:rPr>
      <w:t>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1C" w:rsidRDefault="003D3B1C" w:rsidP="00483893">
      <w:r>
        <w:separator/>
      </w:r>
    </w:p>
  </w:footnote>
  <w:footnote w:type="continuationSeparator" w:id="0">
    <w:p w:rsidR="003D3B1C" w:rsidRDefault="003D3B1C" w:rsidP="0048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2D" w:rsidRPr="00AB552C" w:rsidRDefault="00A95B9C" w:rsidP="00AB552C">
    <w:pPr>
      <w:pStyle w:val="Header"/>
      <w:bidi/>
      <w:jc w:val="right"/>
      <w:rPr>
        <w:rFonts w:ascii="Traditional Arabic" w:hAnsi="Traditional Arabic" w:cs="Traditional Arabic"/>
        <w:sz w:val="30"/>
        <w:szCs w:val="30"/>
        <w:lang w:val="en-US"/>
      </w:rPr>
    </w:pPr>
    <w:r w:rsidRPr="00BF0A2A">
      <w:rPr>
        <w:rFonts w:ascii="Traditional Arabic" w:hAnsi="Traditional Arabic" w:cs="Traditional Arabic"/>
        <w:sz w:val="30"/>
        <w:szCs w:val="30"/>
        <w:rtl/>
        <w:lang w:val="en-US"/>
      </w:rPr>
      <w:t xml:space="preserve">الرابط </w:t>
    </w:r>
    <w:r w:rsidR="00D26EB2" w:rsidRPr="00BF0A2A">
      <w:rPr>
        <w:rFonts w:ascii="Traditional Arabic" w:hAnsi="Traditional Arabic" w:cs="Traditional Arabic"/>
        <w:sz w:val="30"/>
        <w:szCs w:val="30"/>
        <w:rtl/>
        <w:lang w:val="en-US"/>
      </w:rPr>
      <w:t>الثاني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2D" w:rsidRPr="00AB552C" w:rsidRDefault="00AB552C" w:rsidP="00AB552C">
    <w:pPr>
      <w:pStyle w:val="Header"/>
      <w:bidi/>
      <w:jc w:val="right"/>
      <w:rPr>
        <w:rFonts w:ascii="Traditional Arabic" w:hAnsi="Traditional Arabic" w:cs="Traditional Arabic"/>
        <w:sz w:val="30"/>
        <w:szCs w:val="30"/>
        <w:lang w:val="en-US"/>
      </w:rPr>
    </w:pPr>
    <w:r w:rsidRPr="00AB552C">
      <w:rPr>
        <w:rFonts w:ascii="Traditional Arabic" w:hAnsi="Traditional Arabic" w:cs="Traditional Arabic"/>
        <w:sz w:val="30"/>
        <w:szCs w:val="30"/>
        <w:rtl/>
        <w:lang w:val="en-US"/>
      </w:rPr>
      <w:t>الرابط</w:t>
    </w:r>
    <w:r w:rsidR="00D26EB2" w:rsidRPr="00AB552C">
      <w:rPr>
        <w:rFonts w:ascii="Traditional Arabic" w:hAnsi="Traditional Arabic" w:cs="Traditional Arabic"/>
        <w:sz w:val="30"/>
        <w:szCs w:val="30"/>
        <w:rtl/>
        <w:lang w:val="en-US"/>
      </w:rPr>
      <w:t xml:space="preserve"> الثاني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2D" w:rsidRPr="006934C2" w:rsidRDefault="006934C2" w:rsidP="00D26EB2">
    <w:pPr>
      <w:pStyle w:val="Header"/>
      <w:bidi/>
      <w:jc w:val="right"/>
      <w:rPr>
        <w:rFonts w:ascii="Traditional Arabic" w:hAnsi="Traditional Arabic" w:cs="Traditional Arabic"/>
        <w:sz w:val="30"/>
        <w:szCs w:val="30"/>
        <w:lang w:val="en-US"/>
      </w:rPr>
    </w:pPr>
    <w:r w:rsidRPr="006934C2">
      <w:rPr>
        <w:rFonts w:ascii="Traditional Arabic" w:hAnsi="Traditional Arabic" w:cs="Traditional Arabic"/>
        <w:sz w:val="30"/>
        <w:szCs w:val="30"/>
        <w:rtl/>
        <w:lang w:val="en-US"/>
      </w:rPr>
      <w:t>الرابط</w:t>
    </w:r>
    <w:r w:rsidR="00D26EB2" w:rsidRPr="006934C2">
      <w:rPr>
        <w:rFonts w:ascii="Traditional Arabic" w:hAnsi="Traditional Arabic" w:cs="Traditional Arabic"/>
        <w:sz w:val="30"/>
        <w:szCs w:val="30"/>
        <w:rtl/>
        <w:lang w:val="en-US"/>
      </w:rPr>
      <w:t xml:space="preserve"> 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CB8"/>
    <w:multiLevelType w:val="hybridMultilevel"/>
    <w:tmpl w:val="2638BF32"/>
    <w:lvl w:ilvl="0" w:tplc="4E0A60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32F"/>
    <w:multiLevelType w:val="hybridMultilevel"/>
    <w:tmpl w:val="9B023B52"/>
    <w:lvl w:ilvl="0" w:tplc="CB2CDF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A21"/>
    <w:multiLevelType w:val="hybridMultilevel"/>
    <w:tmpl w:val="80DC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2790"/>
    <w:multiLevelType w:val="hybridMultilevel"/>
    <w:tmpl w:val="0CD6E9BE"/>
    <w:lvl w:ilvl="0" w:tplc="8898B8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E3CD7"/>
    <w:multiLevelType w:val="singleLevel"/>
    <w:tmpl w:val="D1D8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58D773C7"/>
    <w:multiLevelType w:val="hybridMultilevel"/>
    <w:tmpl w:val="BB7E5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1D7A"/>
    <w:multiLevelType w:val="hybridMultilevel"/>
    <w:tmpl w:val="2ABCED56"/>
    <w:lvl w:ilvl="0" w:tplc="2D625C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B6CCE"/>
    <w:multiLevelType w:val="hybridMultilevel"/>
    <w:tmpl w:val="E88260CA"/>
    <w:lvl w:ilvl="0" w:tplc="9D7C27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91618"/>
    <w:multiLevelType w:val="hybridMultilevel"/>
    <w:tmpl w:val="984E79BA"/>
    <w:lvl w:ilvl="0" w:tplc="71542A08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="Akhbar M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drawingGridHorizontalSpacing w:val="120"/>
  <w:drawingGridVerticalSpacing w:val="204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E"/>
    <w:rsid w:val="00007A14"/>
    <w:rsid w:val="0005072D"/>
    <w:rsid w:val="000511DD"/>
    <w:rsid w:val="0005486F"/>
    <w:rsid w:val="00133310"/>
    <w:rsid w:val="00151DCE"/>
    <w:rsid w:val="00156B5A"/>
    <w:rsid w:val="00172AA9"/>
    <w:rsid w:val="00183795"/>
    <w:rsid w:val="0020099A"/>
    <w:rsid w:val="00200EAC"/>
    <w:rsid w:val="002524D0"/>
    <w:rsid w:val="00297A47"/>
    <w:rsid w:val="00362383"/>
    <w:rsid w:val="003737C4"/>
    <w:rsid w:val="003A4BDD"/>
    <w:rsid w:val="003D3B1C"/>
    <w:rsid w:val="004037FD"/>
    <w:rsid w:val="00406E5E"/>
    <w:rsid w:val="00414069"/>
    <w:rsid w:val="00415C37"/>
    <w:rsid w:val="0042759D"/>
    <w:rsid w:val="00436E73"/>
    <w:rsid w:val="00472B5A"/>
    <w:rsid w:val="00483893"/>
    <w:rsid w:val="004D3E7D"/>
    <w:rsid w:val="00571D30"/>
    <w:rsid w:val="005D4BAE"/>
    <w:rsid w:val="00643B5F"/>
    <w:rsid w:val="006934C2"/>
    <w:rsid w:val="006C01A3"/>
    <w:rsid w:val="007058D8"/>
    <w:rsid w:val="00735305"/>
    <w:rsid w:val="0074518D"/>
    <w:rsid w:val="0075590F"/>
    <w:rsid w:val="007841C6"/>
    <w:rsid w:val="00791CF7"/>
    <w:rsid w:val="007A2FD0"/>
    <w:rsid w:val="00853A08"/>
    <w:rsid w:val="00863D3A"/>
    <w:rsid w:val="00882CB7"/>
    <w:rsid w:val="00895852"/>
    <w:rsid w:val="00897902"/>
    <w:rsid w:val="008A03BA"/>
    <w:rsid w:val="00941D16"/>
    <w:rsid w:val="00954FBE"/>
    <w:rsid w:val="0096314C"/>
    <w:rsid w:val="00981E5E"/>
    <w:rsid w:val="009F27FE"/>
    <w:rsid w:val="00A72F19"/>
    <w:rsid w:val="00A835B1"/>
    <w:rsid w:val="00A95B9C"/>
    <w:rsid w:val="00AB552C"/>
    <w:rsid w:val="00AD65BC"/>
    <w:rsid w:val="00B5549D"/>
    <w:rsid w:val="00B6366D"/>
    <w:rsid w:val="00B91E85"/>
    <w:rsid w:val="00BF01C5"/>
    <w:rsid w:val="00BF0A2A"/>
    <w:rsid w:val="00C00556"/>
    <w:rsid w:val="00C379C5"/>
    <w:rsid w:val="00CC14E9"/>
    <w:rsid w:val="00D26EB2"/>
    <w:rsid w:val="00DC5F5D"/>
    <w:rsid w:val="00DD1097"/>
    <w:rsid w:val="00DE3B8E"/>
    <w:rsid w:val="00E43B7D"/>
    <w:rsid w:val="00E44D0A"/>
    <w:rsid w:val="00E94202"/>
    <w:rsid w:val="00EC20DF"/>
    <w:rsid w:val="00EF48C3"/>
    <w:rsid w:val="00F21476"/>
    <w:rsid w:val="00F25C0E"/>
    <w:rsid w:val="00F61499"/>
    <w:rsid w:val="00F71D25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1C802"/>
  <w15:docId w15:val="{71CD91C1-E6AB-4EE7-92DD-3DD417E2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khbar 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CE"/>
    <w:rPr>
      <w:rFonts w:eastAsia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1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51DCE"/>
    <w:rPr>
      <w:rFonts w:eastAsia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151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1DCE"/>
    <w:rPr>
      <w:rFonts w:eastAsia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151DCE"/>
  </w:style>
  <w:style w:type="table" w:styleId="TableGrid">
    <w:name w:val="Table Grid"/>
    <w:basedOn w:val="TableNormal"/>
    <w:rsid w:val="00151DC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9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755F-D008-4006-83A6-E8079DFB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haidar</dc:creator>
  <cp:lastModifiedBy>Ocone, Anware (CSGM)</cp:lastModifiedBy>
  <cp:revision>5</cp:revision>
  <cp:lastPrinted>2012-07-21T13:07:00Z</cp:lastPrinted>
  <dcterms:created xsi:type="dcterms:W3CDTF">2018-08-13T08:36:00Z</dcterms:created>
  <dcterms:modified xsi:type="dcterms:W3CDTF">2018-08-14T08:05:00Z</dcterms:modified>
</cp:coreProperties>
</file>