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D2" w:rsidRPr="00A157D4" w:rsidRDefault="000C5501" w:rsidP="002D726B">
      <w:pPr>
        <w:spacing w:before="0" w:after="0" w:line="240" w:lineRule="auto"/>
        <w:jc w:val="center"/>
        <w:rPr>
          <w:rFonts w:ascii="Times New Roman"/>
        </w:rPr>
      </w:pPr>
      <w:r>
        <w:rPr>
          <w:rFonts w:ascii="Times New Roman"/>
          <w:noProof/>
        </w:rPr>
        <mc:AlternateContent>
          <mc:Choice Requires="wps">
            <w:drawing>
              <wp:anchor distT="0" distB="0" distL="114300" distR="114300" simplePos="0" relativeHeight="251657728" behindDoc="1" locked="0" layoutInCell="0" allowOverlap="1" wp14:anchorId="624DE856" wp14:editId="61D72047">
                <wp:simplePos x="0" y="0"/>
                <wp:positionH relativeFrom="page">
                  <wp:posOffset>6743065</wp:posOffset>
                </wp:positionH>
                <wp:positionV relativeFrom="page">
                  <wp:posOffset>700405</wp:posOffset>
                </wp:positionV>
                <wp:extent cx="321310" cy="396240"/>
                <wp:effectExtent l="0" t="0" r="2540"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21B06" w:rsidRPr="00180BDA" w:rsidRDefault="00F21B06" w:rsidP="00180BDA">
                            <w:pPr>
                              <w:pStyle w:val="LanguageSymbol"/>
                              <w:spacing w:before="0"/>
                              <w:rPr>
                                <w:lang w:eastAsia="zh-CN"/>
                              </w:rPr>
                            </w:pPr>
                            <w:r w:rsidRPr="00180BDA">
                              <w:rPr>
                                <w:lang w:eastAsia="zh-CN"/>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30.95pt;margin-top:55.15pt;width:25.3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" o:allowincell="f" filled="f" stroked="f" strokeweight="0">
                <v:textbox inset="0,0,0,0">
                  <w:txbxContent>
                    <w:p w:rsidR="00F21B06" w:rsidRPr="00180BDA" w:rsidRDefault="00F21B06" w:rsidP="00180BDA">
                      <w:pPr>
                        <w:pStyle w:val="LanguageSymbol"/>
                        <w:spacing w:before="0"/>
                        <w:rPr>
                          <w:lang w:eastAsia="zh-CN"/>
                        </w:rPr>
                      </w:pPr>
                      <w:r w:rsidRPr="00180BDA">
                        <w:rPr>
                          <w:lang w:eastAsia="zh-CN"/>
                        </w:rPr>
                        <w:t>C</w:t>
                      </w:r>
                    </w:p>
                  </w:txbxContent>
                </v:textbox>
                <w10:wrap anchorx="page" anchory="page"/>
              </v:rect>
            </w:pict>
          </mc:Fallback>
        </mc:AlternateContent>
      </w:r>
    </w:p>
    <w:p w:rsidR="00E26479" w:rsidRPr="00E26479" w:rsidRDefault="00E26479" w:rsidP="00FB345D">
      <w:pPr>
        <w:pStyle w:val="DocTitle"/>
        <w:spacing w:before="120" w:after="240"/>
        <w:rPr>
          <w:color w:val="A6A6A6"/>
          <w:sz w:val="46"/>
        </w:rPr>
      </w:pPr>
      <w:r w:rsidRPr="009702B6">
        <w:rPr>
          <w:rFonts w:hAnsi="宋体" w:cs="Times New Roman" w:hint="eastAsia"/>
          <w:b/>
          <w:smallCaps/>
          <w:spacing w:val="100"/>
          <w:lang w:eastAsia="zh-CN"/>
        </w:rPr>
        <w:t>渔业委员会</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61275A" w:rsidRPr="00A157D4" w:rsidTr="00FB345D">
        <w:trPr>
          <w:jc w:val="center"/>
        </w:trPr>
        <w:tc>
          <w:tcPr>
            <w:tcW w:w="9283" w:type="dxa"/>
          </w:tcPr>
          <w:p w:rsidR="0061275A" w:rsidRPr="00DA44EB" w:rsidRDefault="00575B4A" w:rsidP="00FB345D">
            <w:pPr>
              <w:spacing w:before="120"/>
              <w:jc w:val="center"/>
              <w:rPr>
                <w:rFonts w:ascii="Times New Roman" w:eastAsia="黑体"/>
                <w:b/>
                <w:bCs/>
                <w:iCs/>
                <w:spacing w:val="60"/>
                <w:sz w:val="32"/>
                <w:szCs w:val="32"/>
              </w:rPr>
            </w:pPr>
            <w:r w:rsidRPr="00DA44EB">
              <w:rPr>
                <w:rFonts w:ascii="Times New Roman" w:eastAsia="黑体" w:hint="eastAsia"/>
                <w:b/>
                <w:spacing w:val="60"/>
                <w:sz w:val="32"/>
              </w:rPr>
              <w:t>水产养殖</w:t>
            </w:r>
            <w:r w:rsidR="009702B6" w:rsidRPr="00DA44EB">
              <w:rPr>
                <w:rFonts w:ascii="Times New Roman" w:eastAsia="黑体" w:hint="eastAsia"/>
                <w:b/>
                <w:spacing w:val="60"/>
                <w:sz w:val="32"/>
              </w:rPr>
              <w:t>分</w:t>
            </w:r>
            <w:r w:rsidRPr="00DA44EB">
              <w:rPr>
                <w:rFonts w:ascii="Times New Roman" w:eastAsia="黑体" w:hint="eastAsia"/>
                <w:b/>
                <w:spacing w:val="60"/>
                <w:sz w:val="32"/>
              </w:rPr>
              <w:t>委员会</w:t>
            </w:r>
          </w:p>
        </w:tc>
      </w:tr>
      <w:tr w:rsidR="009339D2" w:rsidRPr="00A157D4" w:rsidTr="00FB345D">
        <w:trPr>
          <w:jc w:val="center"/>
        </w:trPr>
        <w:tc>
          <w:tcPr>
            <w:tcW w:w="9283" w:type="dxa"/>
          </w:tcPr>
          <w:p w:rsidR="009339D2" w:rsidRPr="00A157D4" w:rsidRDefault="00575B4A" w:rsidP="00FB345D">
            <w:pPr>
              <w:spacing w:before="120"/>
              <w:jc w:val="center"/>
              <w:rPr>
                <w:rFonts w:ascii="Times New Roman" w:eastAsia="楷体_GB2312"/>
                <w:b/>
                <w:spacing w:val="20"/>
                <w:sz w:val="26"/>
              </w:rPr>
            </w:pPr>
            <w:r w:rsidRPr="00783EC0">
              <w:rPr>
                <w:rFonts w:ascii="Times New Roman" w:eastAsia="楷体_GB2312" w:hint="eastAsia"/>
                <w:b/>
                <w:spacing w:val="20"/>
                <w:sz w:val="28"/>
              </w:rPr>
              <w:t>第</w:t>
            </w:r>
            <w:r w:rsidR="00F21897">
              <w:rPr>
                <w:rFonts w:ascii="Times New Roman" w:eastAsia="楷体_GB2312" w:hint="eastAsia"/>
                <w:b/>
                <w:spacing w:val="20"/>
                <w:sz w:val="28"/>
              </w:rPr>
              <w:t>八</w:t>
            </w:r>
            <w:r w:rsidRPr="00783EC0">
              <w:rPr>
                <w:rFonts w:ascii="Times New Roman" w:eastAsia="楷体_GB2312" w:hint="eastAsia"/>
                <w:b/>
                <w:spacing w:val="20"/>
                <w:sz w:val="28"/>
              </w:rPr>
              <w:t>届会议</w:t>
            </w:r>
          </w:p>
        </w:tc>
      </w:tr>
      <w:tr w:rsidR="00575B4A" w:rsidRPr="00A157D4" w:rsidTr="00FB345D">
        <w:trPr>
          <w:jc w:val="center"/>
        </w:trPr>
        <w:tc>
          <w:tcPr>
            <w:tcW w:w="9283" w:type="dxa"/>
          </w:tcPr>
          <w:p w:rsidR="00575B4A" w:rsidRPr="00575B4A" w:rsidRDefault="00575B4A" w:rsidP="00FB345D">
            <w:pPr>
              <w:spacing w:before="120"/>
              <w:jc w:val="center"/>
              <w:rPr>
                <w:rFonts w:ascii="Times New Roman"/>
                <w:b/>
              </w:rPr>
            </w:pPr>
            <w:r w:rsidRPr="00575B4A">
              <w:rPr>
                <w:rFonts w:ascii="Times New Roman"/>
                <w:b/>
              </w:rPr>
              <w:t>201</w:t>
            </w:r>
            <w:r w:rsidR="00F21897">
              <w:rPr>
                <w:rFonts w:ascii="Times New Roman" w:hint="eastAsia"/>
                <w:b/>
              </w:rPr>
              <w:t>5</w:t>
            </w:r>
            <w:r w:rsidRPr="00575B4A">
              <w:rPr>
                <w:rFonts w:ascii="Times New Roman" w:hint="eastAsia"/>
                <w:b/>
              </w:rPr>
              <w:t>年</w:t>
            </w:r>
            <w:r w:rsidR="00180BDA">
              <w:rPr>
                <w:rFonts w:ascii="Times New Roman" w:hint="eastAsia"/>
                <w:b/>
              </w:rPr>
              <w:t>10</w:t>
            </w:r>
            <w:r w:rsidRPr="00575B4A">
              <w:rPr>
                <w:rFonts w:ascii="Times New Roman" w:hint="eastAsia"/>
                <w:b/>
              </w:rPr>
              <w:t>月</w:t>
            </w:r>
            <w:r w:rsidR="00F21897">
              <w:rPr>
                <w:rFonts w:ascii="Times New Roman" w:hint="eastAsia"/>
                <w:b/>
              </w:rPr>
              <w:t>5</w:t>
            </w:r>
            <w:r w:rsidR="00180BDA">
              <w:rPr>
                <w:rFonts w:ascii="Times New Roman" w:hint="eastAsia"/>
                <w:b/>
              </w:rPr>
              <w:t>－</w:t>
            </w:r>
            <w:r w:rsidR="00F21897">
              <w:rPr>
                <w:rFonts w:ascii="Times New Roman" w:hint="eastAsia"/>
                <w:b/>
              </w:rPr>
              <w:t>9</w:t>
            </w:r>
            <w:r w:rsidRPr="00575B4A">
              <w:rPr>
                <w:rFonts w:ascii="Times New Roman" w:hint="eastAsia"/>
                <w:b/>
              </w:rPr>
              <w:t>日，</w:t>
            </w:r>
            <w:r w:rsidR="00F21897">
              <w:rPr>
                <w:rFonts w:ascii="Times New Roman" w:hint="eastAsia"/>
                <w:b/>
              </w:rPr>
              <w:t>巴西巴西利亚</w:t>
            </w:r>
          </w:p>
        </w:tc>
      </w:tr>
      <w:tr w:rsidR="00575B4A" w:rsidRPr="00C9446C" w:rsidTr="00FB345D">
        <w:trPr>
          <w:jc w:val="center"/>
        </w:trPr>
        <w:tc>
          <w:tcPr>
            <w:tcW w:w="9283" w:type="dxa"/>
          </w:tcPr>
          <w:p w:rsidR="00410711" w:rsidRPr="008E2002" w:rsidRDefault="00C64AC4" w:rsidP="00A0498B">
            <w:pPr>
              <w:spacing w:before="120"/>
              <w:jc w:val="center"/>
              <w:rPr>
                <w:rFonts w:ascii="Times New Roman" w:eastAsia="黑体"/>
                <w:b/>
                <w:spacing w:val="16"/>
                <w:sz w:val="32"/>
              </w:rPr>
            </w:pPr>
            <w:r>
              <w:rPr>
                <w:rFonts w:ascii="Times New Roman" w:eastAsia="黑体" w:hint="eastAsia"/>
                <w:b/>
                <w:spacing w:val="16"/>
                <w:sz w:val="32"/>
              </w:rPr>
              <w:t>为</w:t>
            </w:r>
            <w:r w:rsidR="008E2002" w:rsidRPr="008E2002">
              <w:rPr>
                <w:rFonts w:ascii="Times New Roman" w:eastAsia="黑体"/>
                <w:b/>
                <w:spacing w:val="16"/>
                <w:sz w:val="32"/>
              </w:rPr>
              <w:t>加强水产养殖分委员会</w:t>
            </w:r>
            <w:r w:rsidR="008E2002">
              <w:rPr>
                <w:rFonts w:ascii="Times New Roman" w:eastAsia="黑体" w:hint="eastAsia"/>
                <w:b/>
                <w:spacing w:val="16"/>
                <w:sz w:val="32"/>
              </w:rPr>
              <w:br/>
            </w:r>
            <w:r w:rsidR="00A0498B">
              <w:rPr>
                <w:rFonts w:ascii="Times New Roman" w:eastAsia="黑体" w:hint="eastAsia"/>
                <w:b/>
                <w:spacing w:val="16"/>
                <w:sz w:val="32"/>
              </w:rPr>
              <w:t>促</w:t>
            </w:r>
            <w:r w:rsidR="008E2002" w:rsidRPr="008E2002">
              <w:rPr>
                <w:rFonts w:ascii="Times New Roman" w:eastAsia="黑体"/>
                <w:b/>
                <w:spacing w:val="16"/>
                <w:sz w:val="32"/>
              </w:rPr>
              <w:t>进水产养殖发展的</w:t>
            </w:r>
            <w:r w:rsidR="00A0498B">
              <w:rPr>
                <w:rFonts w:ascii="Times New Roman" w:eastAsia="黑体" w:hint="eastAsia"/>
                <w:b/>
                <w:spacing w:val="16"/>
                <w:sz w:val="32"/>
              </w:rPr>
              <w:t>作用而建立一个</w:t>
            </w:r>
            <w:r w:rsidR="008E2002" w:rsidRPr="008E2002">
              <w:rPr>
                <w:rFonts w:ascii="Times New Roman" w:eastAsia="黑体"/>
                <w:b/>
                <w:spacing w:val="16"/>
                <w:sz w:val="32"/>
              </w:rPr>
              <w:t>战略框架</w:t>
            </w:r>
          </w:p>
        </w:tc>
      </w:tr>
    </w:tbl>
    <w:p w:rsidR="009339D2" w:rsidRDefault="009339D2" w:rsidP="00410711">
      <w:pPr>
        <w:rPr>
          <w:rFonts w:ascii="Times New Roman"/>
        </w:rPr>
      </w:pPr>
    </w:p>
    <w:tbl>
      <w:tblPr>
        <w:tblStyle w:val="a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44"/>
      </w:tblGrid>
      <w:tr w:rsidR="00F30DBF" w:rsidTr="00AC7E96">
        <w:tc>
          <w:tcPr>
            <w:tcW w:w="9344" w:type="dxa"/>
          </w:tcPr>
          <w:p w:rsidR="00F30DBF" w:rsidRPr="00AE0A56" w:rsidRDefault="00F30DBF" w:rsidP="00AE0A56">
            <w:pPr>
              <w:spacing w:before="120"/>
              <w:jc w:val="center"/>
              <w:rPr>
                <w:rFonts w:ascii="Times New Roman" w:eastAsia="楷体_GB2312"/>
                <w:b/>
                <w:sz w:val="28"/>
              </w:rPr>
            </w:pPr>
            <w:r w:rsidRPr="00AE0A56">
              <w:rPr>
                <w:rFonts w:ascii="Times New Roman" w:eastAsia="楷体_GB2312"/>
                <w:b/>
                <w:sz w:val="28"/>
              </w:rPr>
              <w:t>提要</w:t>
            </w:r>
          </w:p>
          <w:p w:rsidR="00F30DBF" w:rsidRPr="00E7167B" w:rsidRDefault="00F30DBF" w:rsidP="00E7167B">
            <w:pPr>
              <w:ind w:firstLine="510"/>
              <w:rPr>
                <w:rFonts w:ascii="Times New Roman"/>
              </w:rPr>
            </w:pPr>
            <w:r w:rsidRPr="00E7167B">
              <w:rPr>
                <w:rFonts w:ascii="Times New Roman"/>
              </w:rPr>
              <w:t>渔业委员会水产养殖分委员会（以下简称</w:t>
            </w:r>
            <w:r w:rsidR="00AE0A56" w:rsidRPr="00E7167B">
              <w:rPr>
                <w:rFonts w:ascii="Times New Roman" w:hint="eastAsia"/>
              </w:rPr>
              <w:t>“</w:t>
            </w:r>
            <w:r w:rsidRPr="00E7167B">
              <w:rPr>
                <w:rFonts w:ascii="Times New Roman"/>
              </w:rPr>
              <w:t>分委会</w:t>
            </w:r>
            <w:r w:rsidR="00AE0A56" w:rsidRPr="00E7167B">
              <w:rPr>
                <w:rFonts w:ascii="Times New Roman" w:hint="eastAsia"/>
              </w:rPr>
              <w:t>”</w:t>
            </w:r>
            <w:r w:rsidRPr="00E7167B">
              <w:rPr>
                <w:rFonts w:ascii="Times New Roman"/>
              </w:rPr>
              <w:t>）第七届会议和渔业委员会第三十一届会议要求秘书处编写文件，简要叙述水产养殖方面的区域重点，以此为基础制定战略框架，加强分委会在推动水产养殖发展方面的作用。本文介绍了水产养殖方面的主要区域重点，提出了各区域的共同重点领域，并将其与粮农组织的战略目标相对应。</w:t>
            </w:r>
          </w:p>
          <w:p w:rsidR="00F30DBF" w:rsidRPr="00F30DBF" w:rsidRDefault="00F30DBF" w:rsidP="00E7167B">
            <w:pPr>
              <w:ind w:firstLine="510"/>
            </w:pPr>
            <w:r w:rsidRPr="00E7167B">
              <w:rPr>
                <w:rFonts w:ascii="Times New Roman"/>
              </w:rPr>
              <w:t>请分委会阅读本文，并就建立战略框架以加强分委会在推动水产养殖发展方面作用的方式向秘书处提出建议。</w:t>
            </w:r>
          </w:p>
        </w:tc>
      </w:tr>
    </w:tbl>
    <w:p w:rsidR="00410711" w:rsidRDefault="00410711" w:rsidP="00410711">
      <w:pPr>
        <w:rPr>
          <w:rFonts w:ascii="Times New Roman"/>
        </w:rPr>
      </w:pP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水</w:t>
      </w:r>
      <w:r w:rsidRPr="00AC7E96">
        <w:rPr>
          <w:rFonts w:ascii="Times New Roman" w:hAnsi="Times New Roman"/>
          <w:b w:val="0"/>
          <w:spacing w:val="6"/>
          <w:kern w:val="2"/>
        </w:rPr>
        <w:t>产养殖是世界上增长最快的食品生产领域。水产养殖的诸多贡献得到广泛认可</w:t>
      </w:r>
      <w:r w:rsidRPr="00AC7E96">
        <w:rPr>
          <w:rFonts w:ascii="Times New Roman" w:hAnsi="Times New Roman" w:hint="eastAsia"/>
          <w:b w:val="0"/>
          <w:spacing w:val="6"/>
          <w:kern w:val="2"/>
          <w:lang w:val="en-US"/>
        </w:rPr>
        <w:t>，</w:t>
      </w:r>
      <w:r w:rsidRPr="00AC7E96">
        <w:rPr>
          <w:rFonts w:ascii="Times New Roman" w:hAnsi="Times New Roman"/>
          <w:b w:val="0"/>
          <w:spacing w:val="6"/>
          <w:kern w:val="2"/>
        </w:rPr>
        <w:t>包括推动保障全球粮食和营养安全、减贫以及改善数百万人民的社会福利</w:t>
      </w:r>
      <w:r w:rsidRPr="00AC7E96">
        <w:rPr>
          <w:rFonts w:ascii="Times New Roman" w:hAnsi="Times New Roman" w:hint="eastAsia"/>
          <w:b w:val="0"/>
          <w:spacing w:val="6"/>
          <w:kern w:val="2"/>
        </w:rPr>
        <w:t>，</w:t>
      </w:r>
      <w:r w:rsidRPr="00F30DBF">
        <w:rPr>
          <w:rFonts w:ascii="Times New Roman" w:hAnsi="Times New Roman"/>
          <w:b w:val="0"/>
          <w:spacing w:val="8"/>
          <w:kern w:val="2"/>
        </w:rPr>
        <w:t>在近期召开的世界粮食安全委员会第四十一届会议上也是如此。过去几年中，渔委成员和观察员的发言数量以及渔委水产养殖分委员会历届会议开展讨论的质量都反映出各成员对水产养殖非常重视，期望水产养殖分委会在支持该领域可持续发展方面发挥作用。</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lastRenderedPageBreak/>
        <w:t>分委会第五届会议重申要建立战略框架，以系统化的方式明确界定分委会工作计划的具体内容。反过来，战略框架也将支持探寻可推动工作计划顺利实施的资源与合作伙伴。对分委会而言，战略框架将涵盖会议的组织和开展以及分委会建议的最终落实。</w:t>
      </w:r>
    </w:p>
    <w:p w:rsidR="00F30DBF" w:rsidRPr="00F30DBF" w:rsidRDefault="00F30DBF" w:rsidP="00B415DD">
      <w:pPr>
        <w:pStyle w:val="NewPara"/>
        <w:widowControl w:val="0"/>
        <w:numPr>
          <w:ilvl w:val="0"/>
          <w:numId w:val="8"/>
        </w:numPr>
        <w:tabs>
          <w:tab w:val="clear" w:pos="709"/>
        </w:tabs>
        <w:spacing w:before="60" w:after="120" w:line="380" w:lineRule="exact"/>
        <w:ind w:left="0" w:firstLine="0"/>
        <w:jc w:val="both"/>
        <w:rPr>
          <w:rFonts w:ascii="Times New Roman" w:hAnsi="Times New Roman"/>
          <w:b w:val="0"/>
          <w:spacing w:val="8"/>
          <w:kern w:val="2"/>
        </w:rPr>
      </w:pPr>
      <w:r w:rsidRPr="00F30DBF">
        <w:rPr>
          <w:rFonts w:ascii="Times New Roman" w:hAnsi="Times New Roman"/>
          <w:b w:val="0"/>
          <w:spacing w:val="8"/>
          <w:kern w:val="2"/>
        </w:rPr>
        <w:t>应分委会第五届会议提出的要求，并考虑到之前几届会议讨论的内容，秘书处向分委会第六届会议呈交了一份文件，概述了制定行动计划的进程（包括多个备选方案）。</w:t>
      </w:r>
    </w:p>
    <w:p w:rsidR="00F30DBF" w:rsidRPr="00F30DBF" w:rsidRDefault="00F30DBF" w:rsidP="00B415DD">
      <w:pPr>
        <w:pStyle w:val="NewPara"/>
        <w:widowControl w:val="0"/>
        <w:numPr>
          <w:ilvl w:val="0"/>
          <w:numId w:val="8"/>
        </w:numPr>
        <w:tabs>
          <w:tab w:val="clear" w:pos="709"/>
        </w:tabs>
        <w:spacing w:before="60" w:after="120" w:line="380" w:lineRule="exact"/>
        <w:ind w:left="0" w:firstLine="0"/>
        <w:jc w:val="both"/>
        <w:rPr>
          <w:rFonts w:ascii="Times New Roman" w:hAnsi="Times New Roman"/>
          <w:b w:val="0"/>
          <w:spacing w:val="8"/>
          <w:kern w:val="2"/>
        </w:rPr>
      </w:pPr>
      <w:r w:rsidRPr="00F30DBF">
        <w:rPr>
          <w:rFonts w:ascii="Times New Roman" w:hAnsi="Times New Roman"/>
          <w:b w:val="0"/>
          <w:spacing w:val="8"/>
          <w:kern w:val="2"/>
        </w:rPr>
        <w:t>考</w:t>
      </w:r>
      <w:r w:rsidRPr="00AC7E96">
        <w:rPr>
          <w:rFonts w:ascii="Times New Roman" w:hAnsi="Times New Roman"/>
          <w:b w:val="0"/>
          <w:spacing w:val="3"/>
          <w:kern w:val="2"/>
        </w:rPr>
        <w:t>虑到粮农组织人力和财政资源有限，分委会再次强调必须对工作进行战略性</w:t>
      </w:r>
      <w:r w:rsidRPr="00F30DBF">
        <w:rPr>
          <w:rFonts w:ascii="Times New Roman" w:hAnsi="Times New Roman"/>
          <w:b w:val="0"/>
          <w:spacing w:val="8"/>
          <w:kern w:val="2"/>
        </w:rPr>
        <w:t>优先排序。分委会认识到，在突出全球性重点问题的同时，战略优先排序工作应</w:t>
      </w:r>
      <w:r w:rsidRPr="00AC7E96">
        <w:rPr>
          <w:rFonts w:ascii="Times New Roman" w:hAnsi="Times New Roman"/>
          <w:b w:val="0"/>
          <w:spacing w:val="6"/>
          <w:kern w:val="2"/>
        </w:rPr>
        <w:t>顾及各区域在援助需求和预期投入方面的差异</w:t>
      </w:r>
      <w:r w:rsidRPr="00AC7E96">
        <w:rPr>
          <w:rFonts w:ascii="Times New Roman" w:hAnsi="Times New Roman" w:hint="eastAsia"/>
          <w:b w:val="0"/>
          <w:spacing w:val="6"/>
          <w:kern w:val="2"/>
        </w:rPr>
        <w:t>、</w:t>
      </w:r>
      <w:r w:rsidRPr="00AC7E96">
        <w:rPr>
          <w:rFonts w:ascii="Times New Roman" w:hAnsi="Times New Roman"/>
          <w:b w:val="0"/>
          <w:spacing w:val="6"/>
          <w:kern w:val="2"/>
        </w:rPr>
        <w:t>粮食安全和营养方面的因素，以及各种发展</w:t>
      </w:r>
      <w:r w:rsidRPr="00AC7E96">
        <w:rPr>
          <w:rFonts w:ascii="Times New Roman" w:hAnsi="Times New Roman" w:hint="eastAsia"/>
          <w:b w:val="0"/>
          <w:spacing w:val="6"/>
          <w:kern w:val="2"/>
        </w:rPr>
        <w:t>模式</w:t>
      </w:r>
      <w:r w:rsidRPr="00AC7E96">
        <w:rPr>
          <w:rFonts w:ascii="Times New Roman" w:hAnsi="Times New Roman"/>
          <w:b w:val="0"/>
          <w:spacing w:val="6"/>
          <w:kern w:val="2"/>
        </w:rPr>
        <w:t>。随后，分委会鼓励秘书处编写一份战略文件草案，在分委会第七届</w:t>
      </w:r>
      <w:r w:rsidRPr="00F30DBF">
        <w:rPr>
          <w:rFonts w:ascii="Times New Roman" w:hAnsi="Times New Roman"/>
          <w:b w:val="0"/>
          <w:spacing w:val="8"/>
          <w:kern w:val="2"/>
        </w:rPr>
        <w:t>会议上进一步讨论。</w:t>
      </w:r>
    </w:p>
    <w:p w:rsidR="00F30DBF" w:rsidRPr="00F30DBF" w:rsidRDefault="00F30DBF" w:rsidP="00B415DD">
      <w:pPr>
        <w:pStyle w:val="NewPara"/>
        <w:widowControl w:val="0"/>
        <w:numPr>
          <w:ilvl w:val="0"/>
          <w:numId w:val="8"/>
        </w:numPr>
        <w:tabs>
          <w:tab w:val="clear" w:pos="709"/>
        </w:tabs>
        <w:spacing w:before="60" w:after="120" w:line="380" w:lineRule="exact"/>
        <w:ind w:left="0" w:firstLine="0"/>
        <w:jc w:val="both"/>
        <w:rPr>
          <w:rFonts w:ascii="Times New Roman" w:hAnsi="Times New Roman"/>
          <w:b w:val="0"/>
          <w:spacing w:val="8"/>
          <w:kern w:val="2"/>
        </w:rPr>
      </w:pPr>
      <w:r w:rsidRPr="00F30DBF">
        <w:rPr>
          <w:rFonts w:ascii="Times New Roman" w:hAnsi="Times New Roman"/>
          <w:b w:val="0"/>
          <w:spacing w:val="8"/>
          <w:kern w:val="2"/>
        </w:rPr>
        <w:t>在</w:t>
      </w:r>
      <w:r w:rsidRPr="00AC7E96">
        <w:rPr>
          <w:rFonts w:ascii="Times New Roman" w:hAnsi="Times New Roman"/>
          <w:b w:val="0"/>
          <w:spacing w:val="4"/>
          <w:kern w:val="2"/>
        </w:rPr>
        <w:t>2013</w:t>
      </w:r>
      <w:r w:rsidRPr="00AC7E96">
        <w:rPr>
          <w:rFonts w:ascii="Times New Roman" w:hAnsi="Times New Roman"/>
          <w:b w:val="0"/>
          <w:spacing w:val="4"/>
          <w:kern w:val="2"/>
        </w:rPr>
        <w:t>年召开的分委会第七届会议上，围绕加强分委会在推动水产养殖发展</w:t>
      </w:r>
      <w:r w:rsidRPr="00F30DBF">
        <w:rPr>
          <w:rFonts w:ascii="Times New Roman" w:hAnsi="Times New Roman"/>
          <w:b w:val="0"/>
          <w:spacing w:val="8"/>
          <w:kern w:val="2"/>
        </w:rPr>
        <w:t>方面作用的战略框架草案提出如下建议：</w:t>
      </w:r>
    </w:p>
    <w:p w:rsidR="00F30DBF" w:rsidRPr="00F235A7" w:rsidRDefault="004C45D1" w:rsidP="00B415DD">
      <w:pPr>
        <w:pStyle w:val="NewPara"/>
        <w:widowControl w:val="0"/>
        <w:numPr>
          <w:ilvl w:val="0"/>
          <w:numId w:val="8"/>
        </w:numPr>
        <w:tabs>
          <w:tab w:val="clear" w:pos="709"/>
        </w:tabs>
        <w:spacing w:before="60" w:after="120" w:line="380" w:lineRule="exact"/>
        <w:ind w:left="0" w:firstLine="0"/>
        <w:jc w:val="both"/>
        <w:rPr>
          <w:rFonts w:ascii="Times New Roman" w:eastAsia="楷体_GB2312" w:hAnsi="Times New Roman"/>
          <w:b w:val="0"/>
          <w:spacing w:val="8"/>
          <w:kern w:val="2"/>
        </w:rPr>
      </w:pPr>
      <w:r w:rsidRPr="00F235A7">
        <w:rPr>
          <w:rFonts w:ascii="Times New Roman" w:eastAsia="楷体_GB2312" w:hAnsi="Times New Roman" w:hint="eastAsia"/>
          <w:b w:val="0"/>
          <w:spacing w:val="8"/>
          <w:kern w:val="2"/>
        </w:rPr>
        <w:t>“</w:t>
      </w:r>
      <w:r w:rsidR="00F30DBF" w:rsidRPr="00AC7E96">
        <w:rPr>
          <w:rFonts w:ascii="Times New Roman" w:eastAsia="楷体_GB2312" w:hAnsi="Times New Roman"/>
          <w:b w:val="0"/>
          <w:spacing w:val="6"/>
          <w:kern w:val="2"/>
        </w:rPr>
        <w:t>为支持《战略框架》，分委会同意确认跨学科及其他首要全球优先重点，</w:t>
      </w:r>
      <w:r w:rsidR="00F30DBF" w:rsidRPr="00F235A7">
        <w:rPr>
          <w:rFonts w:ascii="Times New Roman" w:eastAsia="楷体_GB2312" w:hAnsi="Times New Roman"/>
          <w:b w:val="0"/>
          <w:spacing w:val="8"/>
          <w:kern w:val="2"/>
        </w:rPr>
        <w:t>并提出下列顺序：</w:t>
      </w:r>
    </w:p>
    <w:p w:rsidR="00F30DBF" w:rsidRPr="005B7F9F" w:rsidRDefault="00F30DBF" w:rsidP="00B415DD">
      <w:pPr>
        <w:pStyle w:val="ae"/>
        <w:numPr>
          <w:ilvl w:val="0"/>
          <w:numId w:val="11"/>
        </w:numPr>
        <w:spacing w:before="0" w:after="0" w:line="380" w:lineRule="exact"/>
        <w:ind w:left="721" w:hanging="437"/>
        <w:rPr>
          <w:rFonts w:ascii="Times New Roman" w:eastAsia="楷体_GB2312"/>
        </w:rPr>
      </w:pPr>
      <w:r w:rsidRPr="005B7F9F">
        <w:rPr>
          <w:rFonts w:ascii="Times New Roman" w:eastAsia="楷体_GB2312"/>
        </w:rPr>
        <w:t>通</w:t>
      </w:r>
      <w:r w:rsidRPr="00E951A9">
        <w:rPr>
          <w:rFonts w:ascii="Times New Roman" w:eastAsia="楷体_GB2312"/>
          <w:spacing w:val="6"/>
        </w:rPr>
        <w:t>过区域研讨会、网络和</w:t>
      </w:r>
      <w:r w:rsidRPr="00E951A9">
        <w:rPr>
          <w:rFonts w:ascii="Times New Roman" w:eastAsia="楷体_GB2312"/>
          <w:spacing w:val="6"/>
        </w:rPr>
        <w:t>/</w:t>
      </w:r>
      <w:r w:rsidRPr="00E951A9">
        <w:rPr>
          <w:rFonts w:ascii="Times New Roman" w:eastAsia="楷体_GB2312"/>
          <w:spacing w:val="6"/>
        </w:rPr>
        <w:t>或其他机制</w:t>
      </w:r>
      <w:r w:rsidRPr="00E951A9">
        <w:rPr>
          <w:rFonts w:ascii="Times New Roman" w:eastAsia="楷体_GB2312" w:hint="eastAsia"/>
          <w:spacing w:val="6"/>
        </w:rPr>
        <w:t>（</w:t>
      </w:r>
      <w:r w:rsidRPr="00E951A9">
        <w:rPr>
          <w:rFonts w:ascii="Times New Roman" w:eastAsia="楷体_GB2312"/>
          <w:spacing w:val="6"/>
        </w:rPr>
        <w:t>如评估来自以前优先重点排序</w:t>
      </w:r>
      <w:r w:rsidRPr="00E951A9">
        <w:rPr>
          <w:rFonts w:ascii="Times New Roman" w:eastAsia="楷体_GB2312" w:hint="eastAsia"/>
          <w:spacing w:val="6"/>
        </w:rPr>
        <w:t>活动</w:t>
      </w:r>
      <w:r w:rsidRPr="00E951A9">
        <w:rPr>
          <w:rFonts w:ascii="Times New Roman" w:eastAsia="楷体_GB2312"/>
          <w:spacing w:val="6"/>
        </w:rPr>
        <w:t>的</w:t>
      </w:r>
      <w:r w:rsidRPr="005B7F9F">
        <w:rPr>
          <w:rFonts w:ascii="Times New Roman" w:eastAsia="楷体_GB2312"/>
        </w:rPr>
        <w:t>原有知识</w:t>
      </w:r>
      <w:r w:rsidRPr="005B7F9F">
        <w:rPr>
          <w:rFonts w:ascii="Times New Roman" w:eastAsia="楷体_GB2312" w:hint="eastAsia"/>
        </w:rPr>
        <w:t>）</w:t>
      </w:r>
      <w:r w:rsidRPr="005B7F9F">
        <w:rPr>
          <w:rFonts w:ascii="Times New Roman" w:eastAsia="楷体_GB2312"/>
        </w:rPr>
        <w:t>开展磋商，以便为分委会工作确定与粮农组织战略目标相关的区域优先重点；</w:t>
      </w:r>
    </w:p>
    <w:p w:rsidR="00F30DBF" w:rsidRPr="005B7F9F" w:rsidRDefault="00F30DBF" w:rsidP="00B415DD">
      <w:pPr>
        <w:pStyle w:val="ae"/>
        <w:numPr>
          <w:ilvl w:val="0"/>
          <w:numId w:val="11"/>
        </w:numPr>
        <w:spacing w:before="0" w:line="380" w:lineRule="exact"/>
        <w:ind w:left="721" w:hanging="437"/>
        <w:rPr>
          <w:rFonts w:ascii="Times New Roman"/>
        </w:rPr>
      </w:pPr>
      <w:r w:rsidRPr="005B7F9F">
        <w:rPr>
          <w:rFonts w:ascii="Times New Roman" w:eastAsia="楷体_GB2312"/>
        </w:rPr>
        <w:t>秘</w:t>
      </w:r>
      <w:r w:rsidRPr="00E951A9">
        <w:rPr>
          <w:rFonts w:ascii="Times New Roman" w:eastAsia="楷体_GB2312"/>
          <w:spacing w:val="6"/>
        </w:rPr>
        <w:t>书处应分析和综合区域磋商成果，且至少在下一届分委会会议召开</w:t>
      </w:r>
      <w:r w:rsidRPr="00E951A9">
        <w:rPr>
          <w:rFonts w:ascii="Times New Roman" w:eastAsia="楷体_GB2312"/>
          <w:spacing w:val="6"/>
        </w:rPr>
        <w:t>6</w:t>
      </w:r>
      <w:r w:rsidRPr="00E951A9">
        <w:rPr>
          <w:rFonts w:ascii="Times New Roman" w:eastAsia="楷体_GB2312"/>
          <w:spacing w:val="6"/>
        </w:rPr>
        <w:t>个月</w:t>
      </w:r>
      <w:r w:rsidRPr="005B7F9F">
        <w:rPr>
          <w:rFonts w:ascii="Times New Roman" w:eastAsia="楷体_GB2312"/>
        </w:rPr>
        <w:t>前将结果与成员共享讨论</w:t>
      </w:r>
      <w:r w:rsidR="004C45D1" w:rsidRPr="005B7F9F">
        <w:rPr>
          <w:rFonts w:ascii="Times New Roman" w:eastAsia="楷体_GB2312" w:hint="eastAsia"/>
        </w:rPr>
        <w:t>”</w:t>
      </w:r>
      <w:r w:rsidRPr="005B7F9F">
        <w:rPr>
          <w:rFonts w:ascii="Times New Roman" w:eastAsia="楷体_GB2312"/>
        </w:rPr>
        <w:t>。</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本</w:t>
      </w:r>
      <w:r w:rsidRPr="00E951A9">
        <w:rPr>
          <w:rFonts w:ascii="Times New Roman" w:hAnsi="Times New Roman"/>
          <w:b w:val="0"/>
          <w:spacing w:val="4"/>
          <w:kern w:val="2"/>
        </w:rPr>
        <w:t>文件（渔委：</w:t>
      </w:r>
      <w:r w:rsidRPr="00E951A9">
        <w:rPr>
          <w:rFonts w:ascii="Times New Roman" w:hAnsi="Times New Roman"/>
          <w:b w:val="0"/>
          <w:spacing w:val="4"/>
          <w:kern w:val="2"/>
        </w:rPr>
        <w:t>AQ/VIII/2015/5</w:t>
      </w:r>
      <w:r w:rsidRPr="00E951A9">
        <w:rPr>
          <w:rFonts w:ascii="Times New Roman" w:hAnsi="Times New Roman"/>
          <w:b w:val="0"/>
          <w:spacing w:val="4"/>
          <w:kern w:val="2"/>
        </w:rPr>
        <w:t>）介绍了秘书处整理的区域水产养殖重点领域</w:t>
      </w:r>
      <w:r w:rsidRPr="00F30DBF">
        <w:rPr>
          <w:rFonts w:ascii="Times New Roman" w:hAnsi="Times New Roman"/>
          <w:b w:val="0"/>
          <w:spacing w:val="8"/>
          <w:kern w:val="2"/>
        </w:rPr>
        <w:t>分析与</w:t>
      </w:r>
      <w:r w:rsidRPr="00F30DBF">
        <w:rPr>
          <w:rFonts w:ascii="Times New Roman" w:hAnsi="Times New Roman" w:hint="eastAsia"/>
          <w:b w:val="0"/>
          <w:spacing w:val="8"/>
          <w:kern w:val="2"/>
        </w:rPr>
        <w:t>综述</w:t>
      </w:r>
      <w:r w:rsidRPr="00F30DBF">
        <w:rPr>
          <w:rFonts w:ascii="Times New Roman" w:hAnsi="Times New Roman"/>
          <w:b w:val="0"/>
          <w:spacing w:val="8"/>
          <w:kern w:val="2"/>
        </w:rPr>
        <w:t>草案。应分委会要求，文件提前与各成员共享以便审阅，并在</w:t>
      </w:r>
      <w:r w:rsidRPr="00F30DBF">
        <w:rPr>
          <w:rFonts w:ascii="Times New Roman" w:hAnsi="Times New Roman"/>
          <w:b w:val="0"/>
          <w:spacing w:val="8"/>
          <w:kern w:val="2"/>
        </w:rPr>
        <w:t>2015</w:t>
      </w:r>
      <w:r w:rsidRPr="00F30DBF">
        <w:rPr>
          <w:rFonts w:ascii="Times New Roman" w:hAnsi="Times New Roman"/>
          <w:b w:val="0"/>
          <w:spacing w:val="8"/>
          <w:kern w:val="2"/>
        </w:rPr>
        <w:t>年</w:t>
      </w:r>
      <w:r w:rsidRPr="00F30DBF">
        <w:rPr>
          <w:rFonts w:ascii="Times New Roman" w:hAnsi="Times New Roman"/>
          <w:b w:val="0"/>
          <w:spacing w:val="8"/>
          <w:kern w:val="2"/>
        </w:rPr>
        <w:t>10</w:t>
      </w:r>
      <w:r w:rsidRPr="00F30DBF">
        <w:rPr>
          <w:rFonts w:ascii="Times New Roman" w:hAnsi="Times New Roman"/>
          <w:b w:val="0"/>
          <w:spacing w:val="8"/>
          <w:kern w:val="2"/>
        </w:rPr>
        <w:t>月</w:t>
      </w:r>
      <w:r w:rsidRPr="00F30DBF">
        <w:rPr>
          <w:rFonts w:ascii="Times New Roman" w:hAnsi="Times New Roman"/>
          <w:b w:val="0"/>
          <w:spacing w:val="8"/>
          <w:kern w:val="2"/>
        </w:rPr>
        <w:t>5</w:t>
      </w:r>
      <w:r w:rsidR="005B147E">
        <w:rPr>
          <w:rFonts w:ascii="Times New Roman" w:hAnsi="Times New Roman"/>
          <w:b w:val="0"/>
          <w:spacing w:val="8"/>
          <w:kern w:val="2"/>
        </w:rPr>
        <w:t>－</w:t>
      </w:r>
      <w:r w:rsidRPr="00F30DBF">
        <w:rPr>
          <w:rFonts w:ascii="Times New Roman" w:hAnsi="Times New Roman"/>
          <w:b w:val="0"/>
          <w:spacing w:val="8"/>
          <w:kern w:val="2"/>
        </w:rPr>
        <w:t>9</w:t>
      </w:r>
      <w:r w:rsidRPr="00F30DBF">
        <w:rPr>
          <w:rFonts w:ascii="Times New Roman" w:hAnsi="Times New Roman"/>
          <w:b w:val="0"/>
          <w:spacing w:val="8"/>
          <w:kern w:val="2"/>
        </w:rPr>
        <w:t>日于巴西巴西利亚召开的分委会第八届会议上进行最终讨论。预计本文件将有助于确立旨在加强分委会在推动水产养殖发展方面作用的战略框架。</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本文件的编写采用了以下进程和程序：</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秘</w:t>
      </w:r>
      <w:r w:rsidRPr="008937D6">
        <w:rPr>
          <w:rFonts w:ascii="Times New Roman" w:hAnsi="Times New Roman"/>
          <w:b w:val="0"/>
          <w:spacing w:val="6"/>
          <w:kern w:val="2"/>
        </w:rPr>
        <w:t>书处按以下区域将成员分组；即亚太（</w:t>
      </w:r>
      <w:r w:rsidRPr="008937D6">
        <w:rPr>
          <w:rFonts w:ascii="Times New Roman" w:hAnsi="Times New Roman"/>
          <w:b w:val="0"/>
          <w:spacing w:val="6"/>
          <w:kern w:val="2"/>
        </w:rPr>
        <w:t>RAP</w:t>
      </w:r>
      <w:r w:rsidRPr="008937D6">
        <w:rPr>
          <w:rFonts w:ascii="Times New Roman" w:hAnsi="Times New Roman"/>
          <w:b w:val="0"/>
          <w:spacing w:val="6"/>
          <w:kern w:val="2"/>
        </w:rPr>
        <w:t>）、欧洲（</w:t>
      </w:r>
      <w:r w:rsidRPr="008937D6">
        <w:rPr>
          <w:rFonts w:ascii="Times New Roman" w:hAnsi="Times New Roman"/>
          <w:b w:val="0"/>
          <w:spacing w:val="6"/>
          <w:kern w:val="2"/>
        </w:rPr>
        <w:t>EUR</w:t>
      </w:r>
      <w:r w:rsidRPr="008937D6">
        <w:rPr>
          <w:rFonts w:ascii="Times New Roman" w:hAnsi="Times New Roman"/>
          <w:b w:val="0"/>
          <w:spacing w:val="6"/>
          <w:kern w:val="2"/>
        </w:rPr>
        <w:t>）、拉丁美洲</w:t>
      </w:r>
      <w:r w:rsidRPr="00F30DBF">
        <w:rPr>
          <w:rFonts w:ascii="Times New Roman" w:hAnsi="Times New Roman"/>
          <w:b w:val="0"/>
          <w:spacing w:val="8"/>
          <w:kern w:val="2"/>
        </w:rPr>
        <w:t>及加勒比（</w:t>
      </w:r>
      <w:r w:rsidRPr="00F30DBF">
        <w:rPr>
          <w:rFonts w:ascii="Times New Roman" w:hAnsi="Times New Roman"/>
          <w:b w:val="0"/>
          <w:spacing w:val="8"/>
          <w:kern w:val="2"/>
        </w:rPr>
        <w:t>LAC</w:t>
      </w:r>
      <w:r w:rsidRPr="00F30DBF">
        <w:rPr>
          <w:rFonts w:ascii="Times New Roman" w:hAnsi="Times New Roman"/>
          <w:b w:val="0"/>
          <w:spacing w:val="8"/>
          <w:kern w:val="2"/>
        </w:rPr>
        <w:t>）、近东及北非（</w:t>
      </w:r>
      <w:r w:rsidRPr="00F30DBF">
        <w:rPr>
          <w:rFonts w:ascii="Times New Roman" w:hAnsi="Times New Roman"/>
          <w:b w:val="0"/>
          <w:spacing w:val="8"/>
          <w:kern w:val="2"/>
        </w:rPr>
        <w:t>NENA</w:t>
      </w:r>
      <w:r w:rsidRPr="00F30DBF">
        <w:rPr>
          <w:rFonts w:ascii="Times New Roman" w:hAnsi="Times New Roman"/>
          <w:b w:val="0"/>
          <w:spacing w:val="8"/>
          <w:kern w:val="2"/>
        </w:rPr>
        <w:t>）、北美（</w:t>
      </w:r>
      <w:r w:rsidRPr="00F30DBF">
        <w:rPr>
          <w:rFonts w:ascii="Times New Roman" w:hAnsi="Times New Roman"/>
          <w:b w:val="0"/>
          <w:spacing w:val="8"/>
          <w:kern w:val="2"/>
        </w:rPr>
        <w:t>NV</w:t>
      </w:r>
      <w:r w:rsidRPr="00F30DBF">
        <w:rPr>
          <w:rFonts w:ascii="Times New Roman" w:hAnsi="Times New Roman"/>
          <w:b w:val="0"/>
          <w:spacing w:val="8"/>
          <w:kern w:val="2"/>
        </w:rPr>
        <w:t>）和撒哈拉以南非洲地区（</w:t>
      </w:r>
      <w:r w:rsidRPr="00F30DBF">
        <w:rPr>
          <w:rFonts w:ascii="Times New Roman" w:hAnsi="Times New Roman"/>
          <w:b w:val="0"/>
          <w:spacing w:val="8"/>
          <w:kern w:val="2"/>
        </w:rPr>
        <w:t>SSA</w:t>
      </w:r>
      <w:r w:rsidRPr="00F30DBF">
        <w:rPr>
          <w:rFonts w:ascii="Times New Roman" w:hAnsi="Times New Roman"/>
          <w:b w:val="0"/>
          <w:spacing w:val="8"/>
          <w:kern w:val="2"/>
        </w:rPr>
        <w:t>）。针对每个区域，分委会都审查了过去</w:t>
      </w:r>
      <w:r w:rsidRPr="00F30DBF">
        <w:rPr>
          <w:rFonts w:ascii="Times New Roman" w:hAnsi="Times New Roman"/>
          <w:b w:val="0"/>
          <w:spacing w:val="8"/>
          <w:kern w:val="2"/>
        </w:rPr>
        <w:t>5</w:t>
      </w:r>
      <w:r w:rsidR="005B147E">
        <w:rPr>
          <w:rFonts w:ascii="Times New Roman" w:hAnsi="Times New Roman"/>
          <w:b w:val="0"/>
          <w:spacing w:val="8"/>
          <w:kern w:val="2"/>
        </w:rPr>
        <w:t>－</w:t>
      </w:r>
      <w:r w:rsidRPr="00F30DBF">
        <w:rPr>
          <w:rFonts w:ascii="Times New Roman" w:hAnsi="Times New Roman"/>
          <w:b w:val="0"/>
          <w:spacing w:val="8"/>
          <w:kern w:val="2"/>
        </w:rPr>
        <w:t>10</w:t>
      </w:r>
      <w:r w:rsidRPr="00F30DBF">
        <w:rPr>
          <w:rFonts w:ascii="Times New Roman" w:hAnsi="Times New Roman"/>
          <w:b w:val="0"/>
          <w:spacing w:val="8"/>
          <w:kern w:val="2"/>
        </w:rPr>
        <w:t>年中涉及水产养殖发展问题</w:t>
      </w:r>
      <w:r w:rsidRPr="00F30DBF">
        <w:rPr>
          <w:rFonts w:ascii="Times New Roman" w:hAnsi="Times New Roman" w:hint="eastAsia"/>
          <w:b w:val="0"/>
          <w:spacing w:val="8"/>
          <w:kern w:val="2"/>
        </w:rPr>
        <w:t>的</w:t>
      </w:r>
      <w:r w:rsidRPr="00F30DBF">
        <w:rPr>
          <w:rFonts w:ascii="Times New Roman" w:hAnsi="Times New Roman"/>
          <w:b w:val="0"/>
          <w:spacing w:val="8"/>
          <w:kern w:val="2"/>
        </w:rPr>
        <w:t>主要决定、建议、协定和优先重点确定做法，以及技术、战略和政策目标的相关文件，并特别关注了由区域组织（政府间组织和国际非政府组织）基于政府和其他利益相关方的意见提出的优先重点。另外还将提出的跨领域和全球性优先重点与粮农组织修订后战略框架下的战略目标进行了对应（表</w:t>
      </w:r>
      <w:r w:rsidRPr="00F30DBF">
        <w:rPr>
          <w:rFonts w:ascii="Times New Roman" w:hAnsi="Times New Roman"/>
          <w:b w:val="0"/>
          <w:spacing w:val="8"/>
          <w:kern w:val="2"/>
        </w:rPr>
        <w:t>1</w:t>
      </w:r>
      <w:r w:rsidRPr="00F30DBF">
        <w:rPr>
          <w:rFonts w:ascii="Times New Roman" w:hAnsi="Times New Roman"/>
          <w:b w:val="0"/>
          <w:spacing w:val="8"/>
          <w:kern w:val="2"/>
        </w:rPr>
        <w:t>）。区域优先重点及其综述详见下文。</w:t>
      </w:r>
    </w:p>
    <w:p w:rsidR="00F30DBF" w:rsidRPr="00F30DBF" w:rsidRDefault="00F30DBF" w:rsidP="002759AB">
      <w:pPr>
        <w:pStyle w:val="1"/>
      </w:pPr>
      <w:r w:rsidRPr="00F30DBF">
        <w:t>亚洲及太平洋</w:t>
      </w:r>
    </w:p>
    <w:p w:rsidR="00F30DBF" w:rsidRPr="00F30DBF" w:rsidRDefault="00F30DBF" w:rsidP="001557A1">
      <w:pPr>
        <w:pStyle w:val="NewPara"/>
        <w:widowControl w:val="0"/>
        <w:numPr>
          <w:ilvl w:val="0"/>
          <w:numId w:val="8"/>
        </w:numPr>
        <w:tabs>
          <w:tab w:val="clear" w:pos="709"/>
        </w:tabs>
        <w:spacing w:before="60" w:after="120" w:line="380" w:lineRule="exact"/>
        <w:ind w:left="0" w:firstLine="0"/>
        <w:jc w:val="both"/>
        <w:rPr>
          <w:rFonts w:ascii="Times New Roman" w:hAnsi="Times New Roman"/>
          <w:b w:val="0"/>
          <w:spacing w:val="8"/>
          <w:kern w:val="2"/>
        </w:rPr>
      </w:pPr>
      <w:r w:rsidRPr="00F30DBF">
        <w:rPr>
          <w:rFonts w:ascii="Times New Roman" w:hAnsi="Times New Roman"/>
          <w:b w:val="0"/>
          <w:spacing w:val="8"/>
          <w:kern w:val="2"/>
        </w:rPr>
        <w:t>亚</w:t>
      </w:r>
      <w:r w:rsidRPr="007A60E6">
        <w:rPr>
          <w:rFonts w:ascii="Times New Roman" w:hAnsi="Times New Roman"/>
          <w:b w:val="0"/>
          <w:spacing w:val="6"/>
          <w:kern w:val="2"/>
        </w:rPr>
        <w:t>太区域重点是从分区域会议记录、优先排序活动以及全球宣传活动的结果</w:t>
      </w:r>
      <w:r w:rsidRPr="00F30DBF">
        <w:rPr>
          <w:rFonts w:ascii="Times New Roman" w:hAnsi="Times New Roman"/>
          <w:b w:val="0"/>
          <w:spacing w:val="8"/>
          <w:kern w:val="2"/>
        </w:rPr>
        <w:t>中整理形成。作为全球主要生产区，亚洲在水产养殖方面远远领先于其他地区；</w:t>
      </w:r>
      <w:r w:rsidRPr="00F30DBF">
        <w:rPr>
          <w:rFonts w:ascii="Times New Roman" w:hAnsi="Times New Roman" w:hint="eastAsia"/>
          <w:b w:val="0"/>
          <w:spacing w:val="8"/>
          <w:kern w:val="2"/>
        </w:rPr>
        <w:t>该区域</w:t>
      </w:r>
      <w:r w:rsidRPr="00F30DBF">
        <w:rPr>
          <w:rFonts w:ascii="Times New Roman" w:hAnsi="Times New Roman"/>
          <w:b w:val="0"/>
          <w:spacing w:val="8"/>
          <w:kern w:val="2"/>
        </w:rPr>
        <w:t>提出的一个主要区域挑战是要提高未来几十年中水产养殖业的环境和社会绩效，同时考虑到区域内人口的预测和预计增长情况。优先重点确定过程中讨论的主要问题包括水产养殖管理能力、管理和开发的科学技术支持、更加完善的治理和管理做法、加强生物安保、推动小规模水产养殖者有效打开销路、推动负责任生产、使用优质饲料和</w:t>
      </w:r>
      <w:r w:rsidRPr="00F30DBF">
        <w:rPr>
          <w:rFonts w:ascii="Times New Roman" w:hAnsi="Times New Roman" w:hint="eastAsia"/>
          <w:b w:val="0"/>
          <w:spacing w:val="8"/>
          <w:kern w:val="2"/>
        </w:rPr>
        <w:t>鱼苗</w:t>
      </w:r>
      <w:r w:rsidRPr="00F30DBF">
        <w:rPr>
          <w:rFonts w:ascii="Times New Roman" w:hAnsi="Times New Roman"/>
          <w:b w:val="0"/>
          <w:spacing w:val="8"/>
          <w:kern w:val="2"/>
        </w:rPr>
        <w:t>、增强养殖者在应对气候变化和其他风险方面的抵御能力，以及增加投资。主要的优先重点如下：</w:t>
      </w:r>
    </w:p>
    <w:p w:rsidR="00F30DBF" w:rsidRPr="0023473D" w:rsidRDefault="00F30DBF" w:rsidP="001557A1">
      <w:pPr>
        <w:pStyle w:val="ae"/>
        <w:numPr>
          <w:ilvl w:val="0"/>
          <w:numId w:val="11"/>
        </w:numPr>
        <w:spacing w:before="0" w:after="0" w:line="380" w:lineRule="exact"/>
        <w:ind w:left="721" w:hanging="437"/>
        <w:rPr>
          <w:rFonts w:ascii="Times New Roman"/>
        </w:rPr>
      </w:pPr>
      <w:r w:rsidRPr="0023473D">
        <w:rPr>
          <w:rFonts w:ascii="Times New Roman"/>
        </w:rPr>
        <w:t>一般性优先重点：</w:t>
      </w:r>
      <w:r w:rsidRPr="0023473D">
        <w:rPr>
          <w:rFonts w:ascii="Times New Roman" w:hint="eastAsia"/>
        </w:rPr>
        <w:t>(</w:t>
      </w:r>
      <w:r w:rsidRPr="0023473D">
        <w:rPr>
          <w:rFonts w:ascii="Times New Roman"/>
        </w:rPr>
        <w:t>a</w:t>
      </w:r>
      <w:r w:rsidRPr="0023473D">
        <w:rPr>
          <w:rFonts w:ascii="Times New Roman" w:hint="eastAsia"/>
        </w:rPr>
        <w:t xml:space="preserve">) </w:t>
      </w:r>
      <w:r w:rsidRPr="0023473D">
        <w:rPr>
          <w:rFonts w:ascii="Times New Roman"/>
        </w:rPr>
        <w:t>整个区域的治理能力要进一步加强</w:t>
      </w:r>
      <w:r w:rsidRPr="0023473D">
        <w:rPr>
          <w:rFonts w:ascii="Times New Roman" w:hint="eastAsia"/>
        </w:rPr>
        <w:t>，</w:t>
      </w:r>
      <w:r w:rsidRPr="0023473D">
        <w:rPr>
          <w:rFonts w:ascii="Times New Roman"/>
        </w:rPr>
        <w:t>特别是基于市场的治理以及自愿管理</w:t>
      </w:r>
      <w:r w:rsidRPr="0023473D">
        <w:rPr>
          <w:rFonts w:ascii="Times New Roman" w:hint="eastAsia"/>
        </w:rPr>
        <w:t>能力</w:t>
      </w:r>
      <w:r w:rsidRPr="0023473D">
        <w:rPr>
          <w:rFonts w:ascii="Times New Roman"/>
        </w:rPr>
        <w:t>；</w:t>
      </w:r>
      <w:r w:rsidRPr="0023473D">
        <w:rPr>
          <w:rFonts w:ascii="Times New Roman" w:hint="eastAsia"/>
        </w:rPr>
        <w:t>(</w:t>
      </w:r>
      <w:r w:rsidRPr="0023473D">
        <w:rPr>
          <w:rFonts w:ascii="Times New Roman"/>
        </w:rPr>
        <w:t>b</w:t>
      </w:r>
      <w:r w:rsidRPr="0023473D">
        <w:rPr>
          <w:rFonts w:ascii="Times New Roman" w:hint="eastAsia"/>
        </w:rPr>
        <w:t xml:space="preserve">) </w:t>
      </w:r>
      <w:r w:rsidRPr="0023473D">
        <w:rPr>
          <w:rFonts w:ascii="Times New Roman"/>
        </w:rPr>
        <w:t>为养殖者、推广技术人员、养殖场管理者以及科学技术人员提供培训仍将是所有国家的重中之重。</w:t>
      </w:r>
    </w:p>
    <w:p w:rsidR="00F30DBF" w:rsidRPr="0023473D" w:rsidRDefault="00F30DBF" w:rsidP="001557A1">
      <w:pPr>
        <w:pStyle w:val="ae"/>
        <w:numPr>
          <w:ilvl w:val="0"/>
          <w:numId w:val="11"/>
        </w:numPr>
        <w:spacing w:before="0" w:after="0" w:line="380" w:lineRule="exact"/>
        <w:ind w:left="721" w:hanging="437"/>
        <w:rPr>
          <w:rFonts w:ascii="Times New Roman"/>
        </w:rPr>
      </w:pPr>
      <w:r w:rsidRPr="0023473D">
        <w:rPr>
          <w:rFonts w:ascii="Times New Roman"/>
        </w:rPr>
        <w:t>政策：</w:t>
      </w:r>
      <w:r w:rsidRPr="0023473D">
        <w:rPr>
          <w:rFonts w:ascii="Times New Roman" w:hint="eastAsia"/>
        </w:rPr>
        <w:t>(</w:t>
      </w:r>
      <w:r w:rsidRPr="0023473D">
        <w:rPr>
          <w:rFonts w:ascii="Times New Roman"/>
        </w:rPr>
        <w:t>a</w:t>
      </w:r>
      <w:r w:rsidRPr="0023473D">
        <w:rPr>
          <w:rFonts w:ascii="Times New Roman" w:hint="eastAsia"/>
        </w:rPr>
        <w:t xml:space="preserve">) </w:t>
      </w:r>
      <w:r w:rsidRPr="0023473D">
        <w:rPr>
          <w:rFonts w:ascii="Times New Roman"/>
        </w:rPr>
        <w:t>改进整个价值链上以及性别之间的利益分享公平性需要强有力的政策支持；这些政策尚未在整个区域得到广泛实施；</w:t>
      </w:r>
      <w:r w:rsidRPr="0023473D">
        <w:rPr>
          <w:rFonts w:ascii="Times New Roman" w:hint="eastAsia"/>
        </w:rPr>
        <w:t>(</w:t>
      </w:r>
      <w:r w:rsidRPr="0023473D">
        <w:rPr>
          <w:rFonts w:ascii="Times New Roman"/>
        </w:rPr>
        <w:t>b</w:t>
      </w:r>
      <w:r w:rsidRPr="0023473D">
        <w:rPr>
          <w:rFonts w:ascii="Times New Roman" w:hint="eastAsia"/>
        </w:rPr>
        <w:t xml:space="preserve">) </w:t>
      </w:r>
      <w:r w:rsidRPr="0023473D">
        <w:rPr>
          <w:rFonts w:ascii="Times New Roman"/>
        </w:rPr>
        <w:t>通过更加完善的政策和可以落实的规定进一步加强生物安保措施</w:t>
      </w:r>
      <w:r w:rsidRPr="0023473D">
        <w:rPr>
          <w:rFonts w:ascii="Times New Roman" w:hint="eastAsia"/>
        </w:rPr>
        <w:t>。</w:t>
      </w:r>
    </w:p>
    <w:p w:rsidR="00F30DBF" w:rsidRPr="007A60E6" w:rsidRDefault="00F30DBF" w:rsidP="001557A1">
      <w:pPr>
        <w:pStyle w:val="ae"/>
        <w:numPr>
          <w:ilvl w:val="0"/>
          <w:numId w:val="11"/>
        </w:numPr>
        <w:spacing w:before="0" w:line="380" w:lineRule="exact"/>
        <w:ind w:left="721" w:hanging="437"/>
        <w:rPr>
          <w:rFonts w:ascii="Times New Roman"/>
        </w:rPr>
      </w:pPr>
      <w:r w:rsidRPr="0023473D">
        <w:rPr>
          <w:rFonts w:ascii="Times New Roman"/>
        </w:rPr>
        <w:t>科</w:t>
      </w:r>
      <w:r w:rsidRPr="007A60E6">
        <w:rPr>
          <w:rFonts w:ascii="Times New Roman"/>
          <w:spacing w:val="4"/>
        </w:rPr>
        <w:t>学和技术：</w:t>
      </w:r>
      <w:r w:rsidRPr="007A60E6">
        <w:rPr>
          <w:rFonts w:ascii="Times New Roman" w:hint="eastAsia"/>
          <w:spacing w:val="4"/>
        </w:rPr>
        <w:t>(</w:t>
      </w:r>
      <w:r w:rsidRPr="007A60E6">
        <w:rPr>
          <w:rFonts w:ascii="Times New Roman"/>
          <w:spacing w:val="4"/>
        </w:rPr>
        <w:t>a</w:t>
      </w:r>
      <w:r w:rsidRPr="007A60E6">
        <w:rPr>
          <w:rFonts w:ascii="Times New Roman" w:hint="eastAsia"/>
          <w:spacing w:val="4"/>
        </w:rPr>
        <w:t xml:space="preserve">) </w:t>
      </w:r>
      <w:r w:rsidRPr="007A60E6">
        <w:rPr>
          <w:rFonts w:ascii="Times New Roman"/>
          <w:spacing w:val="4"/>
        </w:rPr>
        <w:t>尽管环境管理方面的科学技术支持已经非常成熟，但区域内多数地区的环境影响管理能力仍然薄弱。具体关注领域包括区划和开展能力</w:t>
      </w:r>
      <w:r w:rsidRPr="007A60E6">
        <w:rPr>
          <w:rFonts w:ascii="Times New Roman"/>
          <w:spacing w:val="2"/>
        </w:rPr>
        <w:t>评估</w:t>
      </w:r>
      <w:r w:rsidRPr="007A60E6">
        <w:rPr>
          <w:rFonts w:ascii="Times New Roman"/>
          <w:spacing w:val="-20"/>
        </w:rPr>
        <w:t>，</w:t>
      </w:r>
      <w:r w:rsidRPr="007A60E6">
        <w:rPr>
          <w:rFonts w:ascii="Times New Roman"/>
          <w:spacing w:val="2"/>
        </w:rPr>
        <w:t>另外还有污染治理以及评估和减缓环境影响</w:t>
      </w:r>
      <w:r w:rsidRPr="007A60E6">
        <w:rPr>
          <w:rFonts w:ascii="Times New Roman"/>
          <w:spacing w:val="-20"/>
        </w:rPr>
        <w:t>。</w:t>
      </w:r>
      <w:r w:rsidRPr="007A60E6">
        <w:rPr>
          <w:rFonts w:ascii="Times New Roman" w:hint="eastAsia"/>
          <w:spacing w:val="2"/>
        </w:rPr>
        <w:t>(</w:t>
      </w:r>
      <w:r w:rsidRPr="007A60E6">
        <w:rPr>
          <w:rFonts w:ascii="Times New Roman"/>
          <w:spacing w:val="2"/>
        </w:rPr>
        <w:t>b</w:t>
      </w:r>
      <w:r w:rsidRPr="007A60E6">
        <w:rPr>
          <w:rFonts w:ascii="Times New Roman" w:hint="eastAsia"/>
          <w:spacing w:val="2"/>
        </w:rPr>
        <w:t xml:space="preserve">) </w:t>
      </w:r>
      <w:r w:rsidRPr="007A60E6">
        <w:rPr>
          <w:rFonts w:ascii="Times New Roman"/>
          <w:spacing w:val="2"/>
        </w:rPr>
        <w:t>气候变化抵御和适应</w:t>
      </w:r>
      <w:r w:rsidRPr="007A60E6">
        <w:rPr>
          <w:rFonts w:ascii="Times New Roman"/>
          <w:spacing w:val="-20"/>
        </w:rPr>
        <w:t>、</w:t>
      </w:r>
      <w:r w:rsidRPr="007A60E6">
        <w:rPr>
          <w:rFonts w:ascii="Times New Roman"/>
          <w:spacing w:val="6"/>
        </w:rPr>
        <w:t>产品开发和认证方面的科学技术支持仍然较为薄弱，不能支持小规模生产者</w:t>
      </w:r>
      <w:r w:rsidRPr="007A60E6">
        <w:rPr>
          <w:rFonts w:ascii="Times New Roman"/>
        </w:rPr>
        <w:t>更好地进行销售；另外，疫病暴发</w:t>
      </w:r>
      <w:proofErr w:type="gramStart"/>
      <w:r w:rsidRPr="007A60E6">
        <w:rPr>
          <w:rFonts w:ascii="Times New Roman"/>
        </w:rPr>
        <w:t>紧急响应</w:t>
      </w:r>
      <w:proofErr w:type="gramEnd"/>
      <w:r w:rsidRPr="007A60E6">
        <w:rPr>
          <w:rFonts w:ascii="Times New Roman"/>
        </w:rPr>
        <w:t>的能力也有待提高，</w:t>
      </w:r>
      <w:r w:rsidR="00446A81" w:rsidRPr="007A60E6">
        <w:rPr>
          <w:rFonts w:ascii="Times New Roman" w:hint="eastAsia"/>
        </w:rPr>
        <w:t>尽管</w:t>
      </w:r>
      <w:r w:rsidRPr="007A60E6">
        <w:rPr>
          <w:rFonts w:ascii="Times New Roman"/>
        </w:rPr>
        <w:t>这些</w:t>
      </w:r>
      <w:r w:rsidRPr="007A60E6">
        <w:rPr>
          <w:rFonts w:ascii="Times New Roman"/>
          <w:spacing w:val="4"/>
        </w:rPr>
        <w:t>措施已在整个区域全面推开。</w:t>
      </w:r>
      <w:r w:rsidRPr="007A60E6">
        <w:rPr>
          <w:rFonts w:ascii="Times New Roman" w:hint="eastAsia"/>
          <w:spacing w:val="4"/>
        </w:rPr>
        <w:t>(</w:t>
      </w:r>
      <w:r w:rsidRPr="007A60E6">
        <w:rPr>
          <w:rFonts w:ascii="Times New Roman"/>
          <w:spacing w:val="4"/>
        </w:rPr>
        <w:t>c</w:t>
      </w:r>
      <w:r w:rsidRPr="007A60E6">
        <w:rPr>
          <w:rFonts w:ascii="Times New Roman" w:hint="eastAsia"/>
          <w:spacing w:val="4"/>
        </w:rPr>
        <w:t xml:space="preserve">) </w:t>
      </w:r>
      <w:r w:rsidRPr="007A60E6">
        <w:rPr>
          <w:rFonts w:ascii="Times New Roman"/>
          <w:spacing w:val="4"/>
        </w:rPr>
        <w:t>饲料和营养以及品种和种子质量改进方面的</w:t>
      </w:r>
      <w:r w:rsidRPr="007A60E6">
        <w:rPr>
          <w:rFonts w:ascii="Times New Roman"/>
        </w:rPr>
        <w:t>科学技术支持在不同地区的情况不一而同，某些国家较强，但大多数国家都需要增加投资，特别是南亚国家。分区域的特殊优先重点包括：</w:t>
      </w:r>
      <w:r w:rsidRPr="007A60E6">
        <w:rPr>
          <w:rFonts w:ascii="Times New Roman" w:hint="eastAsia"/>
        </w:rPr>
        <w:t>(</w:t>
      </w:r>
      <w:proofErr w:type="spellStart"/>
      <w:r w:rsidRPr="007A60E6">
        <w:rPr>
          <w:rFonts w:ascii="Times New Roman"/>
        </w:rPr>
        <w:t>i</w:t>
      </w:r>
      <w:proofErr w:type="spellEnd"/>
      <w:r w:rsidRPr="007A60E6">
        <w:rPr>
          <w:rFonts w:ascii="Times New Roman" w:hint="eastAsia"/>
        </w:rPr>
        <w:t xml:space="preserve">) </w:t>
      </w:r>
      <w:r w:rsidRPr="007A60E6">
        <w:rPr>
          <w:rFonts w:ascii="Times New Roman"/>
        </w:rPr>
        <w:t>推广鱼菜共生复合养殖，建立太平洋区域政府间水产养殖组织网络；</w:t>
      </w:r>
      <w:r w:rsidRPr="007A60E6">
        <w:rPr>
          <w:rFonts w:ascii="Times New Roman" w:hint="eastAsia"/>
        </w:rPr>
        <w:t>(</w:t>
      </w:r>
      <w:r w:rsidRPr="007A60E6">
        <w:rPr>
          <w:rFonts w:ascii="Times New Roman"/>
        </w:rPr>
        <w:t>ii</w:t>
      </w:r>
      <w:r w:rsidRPr="007A60E6">
        <w:rPr>
          <w:rFonts w:ascii="Times New Roman" w:hint="eastAsia"/>
        </w:rPr>
        <w:t xml:space="preserve">) </w:t>
      </w:r>
      <w:r w:rsidRPr="007A60E6">
        <w:rPr>
          <w:rFonts w:ascii="Times New Roman"/>
        </w:rPr>
        <w:t>在中国</w:t>
      </w:r>
      <w:r w:rsidRPr="007A60E6">
        <w:rPr>
          <w:rFonts w:ascii="Times New Roman"/>
          <w:spacing w:val="3"/>
        </w:rPr>
        <w:t>开展近海网箱养殖，运用稻田和土质欠佳的边际土地开展水产养殖；</w:t>
      </w:r>
      <w:r w:rsidRPr="007A60E6">
        <w:rPr>
          <w:rFonts w:ascii="Times New Roman" w:hint="eastAsia"/>
          <w:spacing w:val="3"/>
        </w:rPr>
        <w:t>(</w:t>
      </w:r>
      <w:r w:rsidRPr="007A60E6">
        <w:rPr>
          <w:rFonts w:ascii="Times New Roman"/>
          <w:spacing w:val="3"/>
        </w:rPr>
        <w:t>iii</w:t>
      </w:r>
      <w:r w:rsidRPr="007A60E6">
        <w:rPr>
          <w:rFonts w:ascii="Times New Roman" w:hint="eastAsia"/>
          <w:spacing w:val="3"/>
        </w:rPr>
        <w:t xml:space="preserve">) </w:t>
      </w:r>
      <w:r w:rsidRPr="007A60E6">
        <w:rPr>
          <w:rFonts w:ascii="Times New Roman"/>
          <w:spacing w:val="3"/>
        </w:rPr>
        <w:t>调查</w:t>
      </w:r>
      <w:r w:rsidRPr="007A60E6">
        <w:rPr>
          <w:rFonts w:ascii="Times New Roman"/>
        </w:rPr>
        <w:t>南亚的水产养殖资源和这些资源的使用者权利；</w:t>
      </w:r>
      <w:r w:rsidRPr="007A60E6">
        <w:rPr>
          <w:rFonts w:ascii="Times New Roman" w:hint="eastAsia"/>
        </w:rPr>
        <w:t>(</w:t>
      </w:r>
      <w:r w:rsidRPr="007A60E6">
        <w:rPr>
          <w:rFonts w:ascii="Times New Roman"/>
        </w:rPr>
        <w:t>iv</w:t>
      </w:r>
      <w:r w:rsidRPr="007A60E6">
        <w:rPr>
          <w:rFonts w:ascii="Times New Roman" w:hint="eastAsia"/>
        </w:rPr>
        <w:t xml:space="preserve">) </w:t>
      </w:r>
      <w:r w:rsidRPr="007A60E6">
        <w:rPr>
          <w:rFonts w:ascii="Times New Roman"/>
        </w:rPr>
        <w:t>减少鱼类废物，将其转化为有益的副产品或水产养殖加工品的增值产品，提高其对东南亚地区的营养价值。</w:t>
      </w:r>
    </w:p>
    <w:p w:rsidR="00F30DBF" w:rsidRPr="00BE1FDF" w:rsidRDefault="00F30DBF" w:rsidP="001557A1">
      <w:pPr>
        <w:pStyle w:val="NewPara"/>
        <w:widowControl w:val="0"/>
        <w:numPr>
          <w:ilvl w:val="0"/>
          <w:numId w:val="8"/>
        </w:numPr>
        <w:tabs>
          <w:tab w:val="clear" w:pos="709"/>
        </w:tabs>
        <w:spacing w:before="60" w:after="120" w:line="380" w:lineRule="exact"/>
        <w:ind w:left="0" w:firstLine="0"/>
        <w:jc w:val="left"/>
        <w:rPr>
          <w:rFonts w:ascii="Times New Roman" w:hAnsi="Times New Roman"/>
          <w:b w:val="0"/>
          <w:spacing w:val="8"/>
          <w:kern w:val="2"/>
        </w:rPr>
      </w:pPr>
      <w:r w:rsidRPr="00BE1FDF">
        <w:rPr>
          <w:rFonts w:ascii="Times New Roman" w:hAnsi="Times New Roman"/>
          <w:b w:val="0"/>
          <w:spacing w:val="8"/>
          <w:kern w:val="2"/>
        </w:rPr>
        <w:t>部分区域活动和计划反映了前述优先重点，并由粮农组织和国家主管部门在粮农组织新的</w:t>
      </w:r>
      <w:r w:rsidR="005A5EB8" w:rsidRPr="00BE1FDF">
        <w:rPr>
          <w:rFonts w:ascii="Times New Roman" w:hAnsi="Times New Roman" w:hint="eastAsia"/>
          <w:b w:val="0"/>
          <w:spacing w:val="8"/>
          <w:kern w:val="2"/>
        </w:rPr>
        <w:t>“</w:t>
      </w:r>
      <w:r w:rsidRPr="00BE1FDF">
        <w:rPr>
          <w:rFonts w:ascii="Times New Roman" w:hAnsi="Times New Roman"/>
          <w:b w:val="0"/>
          <w:spacing w:val="8"/>
          <w:kern w:val="2"/>
        </w:rPr>
        <w:t>蓝色增长倡议</w:t>
      </w:r>
      <w:r w:rsidR="005A5EB8" w:rsidRPr="00BE1FDF">
        <w:rPr>
          <w:rFonts w:ascii="Times New Roman" w:hAnsi="Times New Roman" w:hint="eastAsia"/>
          <w:b w:val="0"/>
          <w:spacing w:val="8"/>
          <w:kern w:val="2"/>
        </w:rPr>
        <w:t>”</w:t>
      </w:r>
      <w:r w:rsidRPr="00BE1FDF">
        <w:rPr>
          <w:rFonts w:ascii="Times New Roman" w:hAnsi="Times New Roman" w:hint="eastAsia"/>
          <w:b w:val="0"/>
          <w:spacing w:val="8"/>
          <w:kern w:val="2"/>
        </w:rPr>
        <w:t>中</w:t>
      </w:r>
      <w:r w:rsidRPr="00BE1FDF">
        <w:rPr>
          <w:rFonts w:ascii="Times New Roman" w:hAnsi="Times New Roman"/>
          <w:b w:val="0"/>
          <w:spacing w:val="8"/>
          <w:kern w:val="2"/>
        </w:rPr>
        <w:t>加以实施。这些活动和计划可见第</w:t>
      </w:r>
      <w:r w:rsidRPr="00BE1FDF">
        <w:rPr>
          <w:rFonts w:ascii="Times New Roman" w:hAnsi="Times New Roman"/>
          <w:b w:val="0"/>
          <w:spacing w:val="8"/>
          <w:kern w:val="2"/>
        </w:rPr>
        <w:t>COFI:AQ/VIII/2015/7</w:t>
      </w:r>
      <w:r w:rsidRPr="00BE1FDF">
        <w:rPr>
          <w:rFonts w:ascii="Times New Roman" w:hAnsi="Times New Roman"/>
          <w:b w:val="0"/>
          <w:spacing w:val="8"/>
          <w:kern w:val="2"/>
        </w:rPr>
        <w:t>号工作文件。</w:t>
      </w:r>
    </w:p>
    <w:p w:rsidR="00F30DBF" w:rsidRPr="00F30DBF" w:rsidRDefault="00F30DBF" w:rsidP="002759AB">
      <w:pPr>
        <w:pStyle w:val="1"/>
      </w:pPr>
      <w:r w:rsidRPr="00F30DBF">
        <w:t>欧洲</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水</w:t>
      </w:r>
      <w:r w:rsidRPr="00797080">
        <w:rPr>
          <w:rFonts w:ascii="Times New Roman" w:hAnsi="Times New Roman"/>
          <w:b w:val="0"/>
          <w:spacing w:val="6"/>
          <w:kern w:val="2"/>
        </w:rPr>
        <w:t>产养殖在政治上被认可为有潜力推动欧盟沿海和内陆地区的增长与就业，</w:t>
      </w:r>
      <w:r w:rsidRPr="00F30DBF">
        <w:rPr>
          <w:rFonts w:ascii="Times New Roman" w:hAnsi="Times New Roman"/>
          <w:b w:val="0"/>
          <w:spacing w:val="8"/>
          <w:kern w:val="2"/>
        </w:rPr>
        <w:t>多项欧洲的重点政策都将水产养殖视作实现全球层面经济增长和竞争力的重要内容。这些政策包括总体的</w:t>
      </w:r>
      <w:r w:rsidR="00F24A28">
        <w:rPr>
          <w:rFonts w:ascii="Times New Roman" w:hAnsi="Times New Roman" w:hint="eastAsia"/>
          <w:b w:val="0"/>
          <w:spacing w:val="8"/>
          <w:kern w:val="2"/>
        </w:rPr>
        <w:t>“</w:t>
      </w:r>
      <w:r w:rsidRPr="00F30DBF">
        <w:rPr>
          <w:rFonts w:ascii="Times New Roman" w:hAnsi="Times New Roman"/>
          <w:b w:val="0"/>
          <w:spacing w:val="8"/>
          <w:kern w:val="2"/>
        </w:rPr>
        <w:t>蓝色增长</w:t>
      </w:r>
      <w:r w:rsidR="00F24A28">
        <w:rPr>
          <w:rFonts w:ascii="Times New Roman" w:hAnsi="Times New Roman" w:hint="eastAsia"/>
          <w:b w:val="0"/>
          <w:spacing w:val="8"/>
          <w:kern w:val="2"/>
        </w:rPr>
        <w:t>”</w:t>
      </w:r>
      <w:r w:rsidRPr="00F30DBF">
        <w:rPr>
          <w:rFonts w:ascii="Times New Roman" w:hAnsi="Times New Roman"/>
          <w:b w:val="0"/>
          <w:spacing w:val="8"/>
          <w:kern w:val="2"/>
        </w:rPr>
        <w:t>战略、改革后的《共同渔业政策》、海盆战略（如《波罗的海区域战略》）等等。但水产养殖业的增长面临着重大调整，</w:t>
      </w:r>
      <w:r w:rsidRPr="00797080">
        <w:rPr>
          <w:rFonts w:ascii="Times New Roman" w:hAnsi="Times New Roman"/>
          <w:b w:val="0"/>
          <w:spacing w:val="6"/>
          <w:kern w:val="2"/>
        </w:rPr>
        <w:t>如目前在欧盟有</w:t>
      </w:r>
      <w:r w:rsidRPr="00797080">
        <w:rPr>
          <w:rFonts w:ascii="Times New Roman" w:hAnsi="Times New Roman"/>
          <w:b w:val="0"/>
          <w:spacing w:val="6"/>
          <w:kern w:val="2"/>
        </w:rPr>
        <w:t>200</w:t>
      </w:r>
      <w:r w:rsidRPr="00797080">
        <w:rPr>
          <w:rFonts w:ascii="Times New Roman" w:hAnsi="Times New Roman"/>
          <w:b w:val="0"/>
          <w:spacing w:val="6"/>
          <w:kern w:val="2"/>
        </w:rPr>
        <w:t>多项法令、法规或其他法律直接影响着海洋环境政策和管理，</w:t>
      </w:r>
      <w:r w:rsidRPr="00F30DBF">
        <w:rPr>
          <w:rFonts w:ascii="Times New Roman" w:hAnsi="Times New Roman"/>
          <w:b w:val="0"/>
          <w:spacing w:val="8"/>
          <w:kern w:val="2"/>
        </w:rPr>
        <w:t>很多欧洲国家还没有形成统一的国家水产养殖政策。</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w:t>
      </w:r>
      <w:r w:rsidRPr="00797080">
        <w:rPr>
          <w:rFonts w:ascii="Times New Roman" w:hAnsi="Times New Roman"/>
          <w:b w:val="0"/>
          <w:spacing w:val="6"/>
          <w:kern w:val="2"/>
        </w:rPr>
        <w:t>共同渔业政策》改革期望通过所谓的</w:t>
      </w:r>
      <w:r w:rsidR="00511B25" w:rsidRPr="00797080">
        <w:rPr>
          <w:rFonts w:ascii="Times New Roman" w:hAnsi="Times New Roman" w:hint="eastAsia"/>
          <w:b w:val="0"/>
          <w:spacing w:val="6"/>
          <w:kern w:val="2"/>
        </w:rPr>
        <w:t>“</w:t>
      </w:r>
      <w:r w:rsidRPr="00797080">
        <w:rPr>
          <w:rFonts w:ascii="Times New Roman" w:hAnsi="Times New Roman"/>
          <w:b w:val="0"/>
          <w:spacing w:val="6"/>
          <w:kern w:val="2"/>
        </w:rPr>
        <w:t>开放协作方法</w:t>
      </w:r>
      <w:r w:rsidR="00511B25" w:rsidRPr="00797080">
        <w:rPr>
          <w:rFonts w:ascii="Times New Roman" w:hAnsi="Times New Roman" w:hint="eastAsia"/>
          <w:b w:val="0"/>
          <w:spacing w:val="6"/>
          <w:kern w:val="2"/>
        </w:rPr>
        <w:t>”</w:t>
      </w:r>
      <w:r w:rsidRPr="00797080">
        <w:rPr>
          <w:rFonts w:ascii="Times New Roman" w:hAnsi="Times New Roman"/>
          <w:b w:val="0"/>
          <w:spacing w:val="6"/>
          <w:kern w:val="2"/>
        </w:rPr>
        <w:t>（基于成员国编制</w:t>
      </w:r>
      <w:r w:rsidRPr="00F30DBF">
        <w:rPr>
          <w:rFonts w:ascii="Times New Roman" w:hAnsi="Times New Roman"/>
          <w:b w:val="0"/>
          <w:spacing w:val="8"/>
          <w:kern w:val="2"/>
        </w:rPr>
        <w:t>的战略准则、多年国家计划）以及旨在推动交流最佳做法的相关机制发展和推动欧盟的水产养殖业。</w:t>
      </w:r>
      <w:r w:rsidRPr="00F30DBF">
        <w:rPr>
          <w:rFonts w:ascii="Times New Roman" w:hAnsi="Times New Roman"/>
          <w:b w:val="0"/>
          <w:spacing w:val="8"/>
          <w:kern w:val="2"/>
        </w:rPr>
        <w:t>2013</w:t>
      </w:r>
      <w:r w:rsidRPr="00F30DBF">
        <w:rPr>
          <w:rFonts w:ascii="Times New Roman" w:hAnsi="Times New Roman"/>
          <w:b w:val="0"/>
          <w:spacing w:val="8"/>
          <w:kern w:val="2"/>
        </w:rPr>
        <w:t>年，欧洲委员会出版了《欧盟水产养殖可持续发展战略</w:t>
      </w:r>
      <w:r w:rsidRPr="00797080">
        <w:rPr>
          <w:rFonts w:ascii="Times New Roman" w:hAnsi="Times New Roman"/>
          <w:b w:val="0"/>
          <w:spacing w:val="3"/>
          <w:kern w:val="2"/>
        </w:rPr>
        <w:t>准则》，旨在协助欧盟成员国结合各自的起始状况、国情和制度安排确定国家目标</w:t>
      </w:r>
      <w:r w:rsidRPr="00F30DBF">
        <w:rPr>
          <w:rFonts w:ascii="Times New Roman" w:hAnsi="Times New Roman"/>
          <w:b w:val="0"/>
          <w:spacing w:val="8"/>
          <w:kern w:val="2"/>
        </w:rPr>
        <w:t>。</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欧</w:t>
      </w:r>
      <w:r w:rsidRPr="00797080">
        <w:rPr>
          <w:rFonts w:ascii="Times New Roman" w:hAnsi="Times New Roman"/>
          <w:b w:val="0"/>
          <w:spacing w:val="4"/>
          <w:kern w:val="2"/>
        </w:rPr>
        <w:t>洲（欧盟成员国和非成员国）的共同重点领域是从</w:t>
      </w:r>
      <w:r w:rsidRPr="00797080">
        <w:rPr>
          <w:rFonts w:ascii="Times New Roman" w:hAnsi="Times New Roman"/>
          <w:b w:val="0"/>
          <w:spacing w:val="4"/>
          <w:kern w:val="2"/>
        </w:rPr>
        <w:t>90</w:t>
      </w:r>
      <w:r w:rsidRPr="00797080">
        <w:rPr>
          <w:rFonts w:ascii="Times New Roman" w:hAnsi="Times New Roman"/>
          <w:b w:val="0"/>
          <w:spacing w:val="4"/>
          <w:kern w:val="2"/>
        </w:rPr>
        <w:t>多份重点报告，以及</w:t>
      </w:r>
      <w:r w:rsidRPr="00F30DBF">
        <w:rPr>
          <w:rFonts w:ascii="Times New Roman" w:hAnsi="Times New Roman"/>
          <w:b w:val="0"/>
          <w:spacing w:val="8"/>
          <w:kern w:val="2"/>
        </w:rPr>
        <w:t>政府间组织、国家政府和其他利益相关方的活动和文献资料中整理出来的，包括展望活动、需求的先后排序、对主要挑战的建议或认识，以及与欧洲水产养殖业</w:t>
      </w:r>
      <w:r w:rsidRPr="00797080">
        <w:rPr>
          <w:rFonts w:ascii="Times New Roman" w:hAnsi="Times New Roman"/>
          <w:b w:val="0"/>
          <w:spacing w:val="4"/>
          <w:kern w:val="2"/>
        </w:rPr>
        <w:t>相关的问题和</w:t>
      </w:r>
      <w:r w:rsidRPr="00797080">
        <w:rPr>
          <w:rFonts w:ascii="Times New Roman" w:hAnsi="Times New Roman"/>
          <w:b w:val="0"/>
          <w:spacing w:val="4"/>
          <w:kern w:val="2"/>
        </w:rPr>
        <w:t>/</w:t>
      </w:r>
      <w:r w:rsidRPr="00797080">
        <w:rPr>
          <w:rFonts w:ascii="Times New Roman" w:hAnsi="Times New Roman"/>
          <w:b w:val="0"/>
          <w:spacing w:val="4"/>
          <w:kern w:val="2"/>
        </w:rPr>
        <w:t>或局限。为对优先重点领域有个总体把握并</w:t>
      </w:r>
      <w:r w:rsidRPr="00797080">
        <w:rPr>
          <w:rFonts w:ascii="Times New Roman" w:hAnsi="Times New Roman" w:hint="eastAsia"/>
          <w:b w:val="0"/>
          <w:spacing w:val="4"/>
          <w:kern w:val="2"/>
        </w:rPr>
        <w:t>明确</w:t>
      </w:r>
      <w:r w:rsidRPr="00797080">
        <w:rPr>
          <w:rFonts w:ascii="Times New Roman" w:hAnsi="Times New Roman"/>
          <w:b w:val="0"/>
          <w:spacing w:val="4"/>
          <w:kern w:val="2"/>
        </w:rPr>
        <w:t>主要</w:t>
      </w:r>
      <w:r w:rsidRPr="00797080">
        <w:rPr>
          <w:rFonts w:ascii="Times New Roman" w:hAnsi="Times New Roman" w:hint="eastAsia"/>
          <w:b w:val="0"/>
          <w:spacing w:val="4"/>
          <w:kern w:val="2"/>
        </w:rPr>
        <w:t>挑战</w:t>
      </w:r>
      <w:r w:rsidRPr="00797080">
        <w:rPr>
          <w:rFonts w:ascii="Times New Roman" w:hAnsi="Times New Roman"/>
          <w:b w:val="0"/>
          <w:spacing w:val="4"/>
          <w:kern w:val="2"/>
        </w:rPr>
        <w:t>、问题和</w:t>
      </w:r>
      <w:r w:rsidRPr="00797080">
        <w:rPr>
          <w:rFonts w:ascii="Times New Roman" w:hAnsi="Times New Roman"/>
          <w:b w:val="0"/>
          <w:spacing w:val="4"/>
          <w:kern w:val="2"/>
        </w:rPr>
        <w:t>/</w:t>
      </w:r>
      <w:r w:rsidRPr="00797080">
        <w:rPr>
          <w:rFonts w:ascii="Times New Roman" w:hAnsi="Times New Roman"/>
          <w:b w:val="0"/>
          <w:spacing w:val="4"/>
          <w:kern w:val="2"/>
        </w:rPr>
        <w:t>或</w:t>
      </w:r>
      <w:r w:rsidRPr="00797080">
        <w:rPr>
          <w:rFonts w:ascii="Times New Roman" w:hAnsi="Times New Roman"/>
          <w:b w:val="0"/>
          <w:spacing w:val="2"/>
          <w:kern w:val="2"/>
        </w:rPr>
        <w:t>局限</w:t>
      </w:r>
      <w:r w:rsidRPr="00797080">
        <w:rPr>
          <w:rFonts w:ascii="Times New Roman" w:hAnsi="Times New Roman"/>
          <w:b w:val="0"/>
          <w:spacing w:val="-20"/>
          <w:kern w:val="2"/>
        </w:rPr>
        <w:t>，</w:t>
      </w:r>
      <w:r w:rsidRPr="00797080">
        <w:rPr>
          <w:rFonts w:ascii="Times New Roman" w:hAnsi="Times New Roman"/>
          <w:b w:val="0"/>
          <w:spacing w:val="2"/>
          <w:kern w:val="2"/>
        </w:rPr>
        <w:t>研究使用</w:t>
      </w:r>
      <w:r w:rsidRPr="00797080">
        <w:rPr>
          <w:rFonts w:ascii="Times New Roman" w:hAnsi="Times New Roman"/>
          <w:b w:val="0"/>
          <w:spacing w:val="-20"/>
          <w:kern w:val="2"/>
        </w:rPr>
        <w:t>了</w:t>
      </w:r>
      <w:r w:rsidRPr="00797080">
        <w:rPr>
          <w:rFonts w:ascii="Times New Roman" w:hAnsi="Times New Roman"/>
          <w:b w:val="0"/>
          <w:spacing w:val="-20"/>
          <w:kern w:val="2"/>
        </w:rPr>
        <w:t>5</w:t>
      </w:r>
      <w:r w:rsidRPr="00797080">
        <w:rPr>
          <w:rFonts w:ascii="Times New Roman" w:hAnsi="Times New Roman"/>
          <w:b w:val="0"/>
          <w:spacing w:val="2"/>
          <w:kern w:val="2"/>
        </w:rPr>
        <w:t>个总体分类</w:t>
      </w:r>
      <w:r w:rsidRPr="00797080">
        <w:rPr>
          <w:rFonts w:ascii="Times New Roman" w:hAnsi="Times New Roman"/>
          <w:b w:val="0"/>
          <w:spacing w:val="-20"/>
          <w:kern w:val="2"/>
        </w:rPr>
        <w:t>：</w:t>
      </w:r>
      <w:r w:rsidRPr="00797080">
        <w:rPr>
          <w:rFonts w:ascii="Times New Roman" w:hAnsi="Times New Roman" w:hint="eastAsia"/>
          <w:b w:val="0"/>
          <w:spacing w:val="2"/>
          <w:kern w:val="2"/>
        </w:rPr>
        <w:t>(</w:t>
      </w:r>
      <w:r w:rsidRPr="00797080">
        <w:rPr>
          <w:rFonts w:ascii="Times New Roman" w:hAnsi="Times New Roman"/>
          <w:b w:val="0"/>
          <w:spacing w:val="2"/>
          <w:kern w:val="2"/>
        </w:rPr>
        <w:t>a</w:t>
      </w:r>
      <w:r w:rsidRPr="00797080">
        <w:rPr>
          <w:rFonts w:ascii="Times New Roman" w:hAnsi="Times New Roman" w:hint="eastAsia"/>
          <w:b w:val="0"/>
          <w:spacing w:val="2"/>
          <w:kern w:val="2"/>
        </w:rPr>
        <w:t xml:space="preserve">) </w:t>
      </w:r>
      <w:r w:rsidRPr="00797080">
        <w:rPr>
          <w:rFonts w:ascii="Times New Roman" w:hAnsi="Times New Roman"/>
          <w:b w:val="0"/>
          <w:spacing w:val="2"/>
          <w:kern w:val="2"/>
        </w:rPr>
        <w:t>战略</w:t>
      </w:r>
      <w:r w:rsidRPr="00797080">
        <w:rPr>
          <w:rFonts w:ascii="Times New Roman" w:hAnsi="Times New Roman"/>
          <w:b w:val="0"/>
          <w:spacing w:val="-20"/>
          <w:kern w:val="2"/>
        </w:rPr>
        <w:t>；</w:t>
      </w:r>
      <w:r w:rsidRPr="00797080">
        <w:rPr>
          <w:rFonts w:ascii="Times New Roman" w:hAnsi="Times New Roman" w:hint="eastAsia"/>
          <w:b w:val="0"/>
          <w:spacing w:val="2"/>
          <w:kern w:val="2"/>
        </w:rPr>
        <w:t>(</w:t>
      </w:r>
      <w:r w:rsidRPr="00797080">
        <w:rPr>
          <w:rFonts w:ascii="Times New Roman" w:hAnsi="Times New Roman"/>
          <w:b w:val="0"/>
          <w:spacing w:val="2"/>
          <w:kern w:val="2"/>
        </w:rPr>
        <w:t>b</w:t>
      </w:r>
      <w:r w:rsidRPr="00797080">
        <w:rPr>
          <w:rFonts w:ascii="Times New Roman" w:hAnsi="Times New Roman" w:hint="eastAsia"/>
          <w:b w:val="0"/>
          <w:spacing w:val="2"/>
          <w:kern w:val="2"/>
        </w:rPr>
        <w:t xml:space="preserve">) </w:t>
      </w:r>
      <w:r w:rsidRPr="00797080">
        <w:rPr>
          <w:rFonts w:ascii="Times New Roman" w:hAnsi="Times New Roman"/>
          <w:b w:val="0"/>
          <w:spacing w:val="2"/>
          <w:kern w:val="2"/>
        </w:rPr>
        <w:t>管理</w:t>
      </w:r>
      <w:r w:rsidRPr="00797080">
        <w:rPr>
          <w:rFonts w:ascii="Times New Roman" w:hAnsi="Times New Roman"/>
          <w:b w:val="0"/>
          <w:spacing w:val="-20"/>
          <w:kern w:val="2"/>
        </w:rPr>
        <w:t>；</w:t>
      </w:r>
      <w:r w:rsidRPr="00797080">
        <w:rPr>
          <w:rFonts w:ascii="Times New Roman" w:hAnsi="Times New Roman" w:hint="eastAsia"/>
          <w:b w:val="0"/>
          <w:spacing w:val="2"/>
          <w:kern w:val="2"/>
        </w:rPr>
        <w:t>(</w:t>
      </w:r>
      <w:r w:rsidRPr="00797080">
        <w:rPr>
          <w:rFonts w:ascii="Times New Roman" w:hAnsi="Times New Roman"/>
          <w:b w:val="0"/>
          <w:spacing w:val="2"/>
          <w:kern w:val="2"/>
        </w:rPr>
        <w:t>c</w:t>
      </w:r>
      <w:r w:rsidRPr="00797080">
        <w:rPr>
          <w:rFonts w:ascii="Times New Roman" w:hAnsi="Times New Roman" w:hint="eastAsia"/>
          <w:b w:val="0"/>
          <w:spacing w:val="2"/>
          <w:kern w:val="2"/>
        </w:rPr>
        <w:t xml:space="preserve">) </w:t>
      </w:r>
      <w:r w:rsidRPr="00797080">
        <w:rPr>
          <w:rFonts w:ascii="Times New Roman" w:hAnsi="Times New Roman"/>
          <w:b w:val="0"/>
          <w:spacing w:val="2"/>
          <w:kern w:val="2"/>
        </w:rPr>
        <w:t>技术</w:t>
      </w:r>
      <w:r w:rsidRPr="00797080">
        <w:rPr>
          <w:rFonts w:ascii="Times New Roman" w:hAnsi="Times New Roman"/>
          <w:b w:val="0"/>
          <w:spacing w:val="-20"/>
          <w:kern w:val="2"/>
        </w:rPr>
        <w:t>；</w:t>
      </w:r>
      <w:r w:rsidRPr="00797080">
        <w:rPr>
          <w:rFonts w:ascii="Times New Roman" w:hAnsi="Times New Roman" w:hint="eastAsia"/>
          <w:b w:val="0"/>
          <w:spacing w:val="2"/>
          <w:kern w:val="2"/>
        </w:rPr>
        <w:t>(</w:t>
      </w:r>
      <w:r w:rsidRPr="00797080">
        <w:rPr>
          <w:rFonts w:ascii="Times New Roman" w:hAnsi="Times New Roman"/>
          <w:b w:val="0"/>
          <w:spacing w:val="2"/>
          <w:kern w:val="2"/>
        </w:rPr>
        <w:t>d</w:t>
      </w:r>
      <w:r w:rsidRPr="00797080">
        <w:rPr>
          <w:rFonts w:ascii="Times New Roman" w:hAnsi="Times New Roman" w:hint="eastAsia"/>
          <w:b w:val="0"/>
          <w:spacing w:val="2"/>
          <w:kern w:val="2"/>
        </w:rPr>
        <w:t xml:space="preserve">) </w:t>
      </w:r>
      <w:r w:rsidRPr="00797080">
        <w:rPr>
          <w:rFonts w:ascii="Times New Roman" w:hAnsi="Times New Roman"/>
          <w:b w:val="0"/>
          <w:spacing w:val="2"/>
          <w:kern w:val="2"/>
        </w:rPr>
        <w:t>业务</w:t>
      </w:r>
      <w:r w:rsidRPr="00797080">
        <w:rPr>
          <w:rFonts w:ascii="Times New Roman" w:hAnsi="Times New Roman"/>
          <w:b w:val="0"/>
          <w:spacing w:val="-20"/>
          <w:kern w:val="2"/>
        </w:rPr>
        <w:t>；</w:t>
      </w:r>
      <w:r w:rsidRPr="00797080">
        <w:rPr>
          <w:rFonts w:ascii="Times New Roman" w:hAnsi="Times New Roman" w:hint="eastAsia"/>
          <w:b w:val="0"/>
          <w:spacing w:val="2"/>
          <w:kern w:val="2"/>
        </w:rPr>
        <w:t>(</w:t>
      </w:r>
      <w:r w:rsidRPr="00797080">
        <w:rPr>
          <w:rFonts w:ascii="Times New Roman" w:hAnsi="Times New Roman"/>
          <w:b w:val="0"/>
          <w:spacing w:val="2"/>
          <w:kern w:val="2"/>
        </w:rPr>
        <w:t>e</w:t>
      </w:r>
      <w:r w:rsidRPr="00797080">
        <w:rPr>
          <w:rFonts w:ascii="Times New Roman" w:hAnsi="Times New Roman" w:hint="eastAsia"/>
          <w:b w:val="0"/>
          <w:spacing w:val="2"/>
          <w:kern w:val="2"/>
        </w:rPr>
        <w:t xml:space="preserve">) </w:t>
      </w:r>
      <w:r w:rsidRPr="00797080">
        <w:rPr>
          <w:rFonts w:ascii="Times New Roman" w:hAnsi="Times New Roman"/>
          <w:b w:val="0"/>
          <w:spacing w:val="2"/>
          <w:kern w:val="2"/>
        </w:rPr>
        <w:t>其他</w:t>
      </w:r>
      <w:r w:rsidRPr="00F30DBF">
        <w:rPr>
          <w:rFonts w:ascii="Times New Roman" w:hAnsi="Times New Roman"/>
          <w:b w:val="0"/>
          <w:spacing w:val="8"/>
          <w:kern w:val="2"/>
        </w:rPr>
        <w:t>。</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这些总体分类是基于对所有报告共性内容的初步梳理选定。总体分类下还进行了细分类，以期将具体挑战进一步归类，并对内容进行了比较，以期了解这些内容在各个报告中的相同和不同之处。这种方法分析了优先重点领域三个不同</w:t>
      </w:r>
      <w:r w:rsidRPr="00F30DBF">
        <w:rPr>
          <w:rFonts w:ascii="Times New Roman" w:hAnsi="Times New Roman" w:hint="eastAsia"/>
          <w:b w:val="0"/>
          <w:spacing w:val="8"/>
          <w:kern w:val="2"/>
        </w:rPr>
        <w:t>组别</w:t>
      </w:r>
      <w:r w:rsidRPr="00F30DBF">
        <w:rPr>
          <w:rFonts w:ascii="Times New Roman" w:hAnsi="Times New Roman"/>
          <w:b w:val="0"/>
          <w:spacing w:val="8"/>
          <w:kern w:val="2"/>
        </w:rPr>
        <w:t>的趋势：</w:t>
      </w:r>
      <w:r w:rsidRPr="00F30DBF">
        <w:rPr>
          <w:rFonts w:ascii="Times New Roman" w:hAnsi="Times New Roman"/>
          <w:b w:val="0"/>
          <w:spacing w:val="8"/>
          <w:kern w:val="2"/>
        </w:rPr>
        <w:t>a</w:t>
      </w:r>
      <w:r w:rsidRPr="00F30DBF">
        <w:rPr>
          <w:rFonts w:ascii="Times New Roman" w:hAnsi="Times New Roman" w:hint="eastAsia"/>
          <w:b w:val="0"/>
          <w:spacing w:val="8"/>
          <w:kern w:val="2"/>
        </w:rPr>
        <w:t xml:space="preserve">) </w:t>
      </w:r>
      <w:r w:rsidRPr="00F30DBF">
        <w:rPr>
          <w:rFonts w:ascii="Times New Roman" w:hAnsi="Times New Roman"/>
          <w:b w:val="0"/>
          <w:spacing w:val="8"/>
          <w:kern w:val="2"/>
        </w:rPr>
        <w:t>政府间；</w:t>
      </w:r>
      <w:r w:rsidRPr="00F30DBF">
        <w:rPr>
          <w:rFonts w:ascii="Times New Roman" w:hAnsi="Times New Roman"/>
          <w:b w:val="0"/>
          <w:spacing w:val="8"/>
          <w:kern w:val="2"/>
        </w:rPr>
        <w:t>b</w:t>
      </w:r>
      <w:r w:rsidRPr="00F30DBF">
        <w:rPr>
          <w:rFonts w:ascii="Times New Roman" w:hAnsi="Times New Roman" w:hint="eastAsia"/>
          <w:b w:val="0"/>
          <w:spacing w:val="8"/>
          <w:kern w:val="2"/>
        </w:rPr>
        <w:t xml:space="preserve">) </w:t>
      </w:r>
      <w:r w:rsidRPr="00F30DBF">
        <w:rPr>
          <w:rFonts w:ascii="Times New Roman" w:hAnsi="Times New Roman"/>
          <w:b w:val="0"/>
          <w:spacing w:val="8"/>
          <w:kern w:val="2"/>
        </w:rPr>
        <w:t>国家政府管理部门；</w:t>
      </w:r>
      <w:r w:rsidRPr="00F30DBF">
        <w:rPr>
          <w:rFonts w:ascii="Times New Roman" w:hAnsi="Times New Roman"/>
          <w:b w:val="0"/>
          <w:spacing w:val="8"/>
          <w:kern w:val="2"/>
        </w:rPr>
        <w:t>c</w:t>
      </w:r>
      <w:r w:rsidRPr="00F30DBF">
        <w:rPr>
          <w:rFonts w:ascii="Times New Roman" w:hAnsi="Times New Roman" w:hint="eastAsia"/>
          <w:b w:val="0"/>
          <w:spacing w:val="8"/>
          <w:kern w:val="2"/>
        </w:rPr>
        <w:t xml:space="preserve">) </w:t>
      </w:r>
      <w:r w:rsidRPr="00F30DBF">
        <w:rPr>
          <w:rFonts w:ascii="Times New Roman" w:hAnsi="Times New Roman"/>
          <w:b w:val="0"/>
          <w:spacing w:val="8"/>
          <w:kern w:val="2"/>
        </w:rPr>
        <w:t>利益相关方。研究提出了一个欧洲重点领域列表，并重点介绍了不同欧洲国家战略规划和实施的某些相同和不同之处。</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主</w:t>
      </w:r>
      <w:r w:rsidRPr="00AE709A">
        <w:rPr>
          <w:rFonts w:ascii="Times New Roman" w:hAnsi="Times New Roman"/>
          <w:b w:val="0"/>
          <w:spacing w:val="6"/>
          <w:kern w:val="2"/>
        </w:rPr>
        <w:t>要结果：研究根据着重提出某个优先领域的报告数量（括号内数字所示）</w:t>
      </w:r>
      <w:r w:rsidRPr="00F30DBF">
        <w:rPr>
          <w:rFonts w:ascii="Times New Roman" w:hAnsi="Times New Roman"/>
          <w:b w:val="0"/>
          <w:spacing w:val="8"/>
          <w:kern w:val="2"/>
        </w:rPr>
        <w:t>确定了以下</w:t>
      </w:r>
      <w:r w:rsidRPr="00F30DBF">
        <w:rPr>
          <w:rFonts w:ascii="Times New Roman" w:hAnsi="Times New Roman"/>
          <w:b w:val="0"/>
          <w:spacing w:val="8"/>
          <w:kern w:val="2"/>
        </w:rPr>
        <w:t>12</w:t>
      </w:r>
      <w:r w:rsidRPr="00F30DBF">
        <w:rPr>
          <w:rFonts w:ascii="Times New Roman" w:hAnsi="Times New Roman"/>
          <w:b w:val="0"/>
          <w:spacing w:val="8"/>
          <w:kern w:val="2"/>
        </w:rPr>
        <w:t>个重点领域。</w:t>
      </w:r>
    </w:p>
    <w:p w:rsidR="00F30DBF" w:rsidRPr="00497BDF" w:rsidRDefault="00F30DBF" w:rsidP="00497BDF">
      <w:pPr>
        <w:pStyle w:val="ae"/>
        <w:numPr>
          <w:ilvl w:val="0"/>
          <w:numId w:val="11"/>
        </w:numPr>
        <w:spacing w:before="0" w:after="0"/>
        <w:ind w:left="721" w:hanging="437"/>
        <w:rPr>
          <w:rFonts w:ascii="Times New Roman"/>
        </w:rPr>
      </w:pPr>
      <w:r w:rsidRPr="00497BDF">
        <w:rPr>
          <w:rFonts w:ascii="Times New Roman"/>
        </w:rPr>
        <w:t>简化行政程序（</w:t>
      </w:r>
      <w:r w:rsidRPr="00497BDF">
        <w:rPr>
          <w:rFonts w:ascii="Times New Roman"/>
        </w:rPr>
        <w:t>18</w:t>
      </w:r>
      <w:r w:rsidRPr="00497BDF">
        <w:rPr>
          <w:rFonts w:ascii="Times New Roman"/>
        </w:rPr>
        <w:t>）</w:t>
      </w:r>
    </w:p>
    <w:p w:rsidR="00F30DBF" w:rsidRPr="00497BDF" w:rsidRDefault="00F30DBF" w:rsidP="00497BDF">
      <w:pPr>
        <w:pStyle w:val="ae"/>
        <w:numPr>
          <w:ilvl w:val="0"/>
          <w:numId w:val="11"/>
        </w:numPr>
        <w:spacing w:before="0" w:after="0"/>
        <w:ind w:left="721" w:hanging="437"/>
        <w:rPr>
          <w:rFonts w:ascii="Times New Roman"/>
        </w:rPr>
      </w:pPr>
      <w:r w:rsidRPr="00497BDF">
        <w:rPr>
          <w:rFonts w:ascii="Times New Roman"/>
        </w:rPr>
        <w:t>通过协调一致的空间规划确保水产养殖业的可持续发展和增长（</w:t>
      </w:r>
      <w:r w:rsidRPr="00497BDF">
        <w:rPr>
          <w:rFonts w:ascii="Times New Roman"/>
        </w:rPr>
        <w:t>18</w:t>
      </w:r>
      <w:r w:rsidRPr="00497BDF">
        <w:rPr>
          <w:rFonts w:ascii="Times New Roman"/>
        </w:rPr>
        <w:t>）</w:t>
      </w:r>
    </w:p>
    <w:p w:rsidR="00F30DBF" w:rsidRPr="00497BDF" w:rsidRDefault="00F30DBF" w:rsidP="00497BDF">
      <w:pPr>
        <w:pStyle w:val="ae"/>
        <w:numPr>
          <w:ilvl w:val="0"/>
          <w:numId w:val="11"/>
        </w:numPr>
        <w:spacing w:before="0" w:after="0"/>
        <w:ind w:left="721" w:hanging="437"/>
        <w:rPr>
          <w:rFonts w:ascii="Times New Roman"/>
        </w:rPr>
      </w:pPr>
      <w:r w:rsidRPr="00497BDF">
        <w:rPr>
          <w:rFonts w:ascii="Times New Roman"/>
        </w:rPr>
        <w:t>加强欧洲水产养殖业的竞争力（</w:t>
      </w:r>
      <w:r w:rsidRPr="00497BDF">
        <w:rPr>
          <w:rFonts w:ascii="Times New Roman"/>
        </w:rPr>
        <w:t>17</w:t>
      </w:r>
      <w:r w:rsidRPr="00497BDF">
        <w:rPr>
          <w:rFonts w:ascii="Times New Roman"/>
        </w:rPr>
        <w:t>）</w:t>
      </w:r>
    </w:p>
    <w:p w:rsidR="00F30DBF" w:rsidRPr="00497BDF" w:rsidRDefault="00F30DBF" w:rsidP="00497BDF">
      <w:pPr>
        <w:pStyle w:val="ae"/>
        <w:numPr>
          <w:ilvl w:val="0"/>
          <w:numId w:val="11"/>
        </w:numPr>
        <w:spacing w:before="0" w:after="0"/>
        <w:ind w:left="721" w:hanging="437"/>
        <w:rPr>
          <w:rFonts w:ascii="Times New Roman"/>
        </w:rPr>
      </w:pPr>
      <w:r w:rsidRPr="00497BDF">
        <w:rPr>
          <w:rFonts w:ascii="Times New Roman"/>
        </w:rPr>
        <w:t>鱼类健康和福利（</w:t>
      </w:r>
      <w:r w:rsidRPr="00497BDF">
        <w:rPr>
          <w:rFonts w:ascii="Times New Roman"/>
        </w:rPr>
        <w:t>15</w:t>
      </w:r>
      <w:r w:rsidRPr="00497BDF">
        <w:rPr>
          <w:rFonts w:ascii="Times New Roman"/>
        </w:rPr>
        <w:t>）</w:t>
      </w:r>
    </w:p>
    <w:p w:rsidR="00F30DBF" w:rsidRPr="00497BDF" w:rsidRDefault="00F30DBF" w:rsidP="00497BDF">
      <w:pPr>
        <w:pStyle w:val="ae"/>
        <w:numPr>
          <w:ilvl w:val="0"/>
          <w:numId w:val="11"/>
        </w:numPr>
        <w:spacing w:before="0" w:after="0"/>
        <w:ind w:left="721" w:hanging="437"/>
        <w:rPr>
          <w:rFonts w:ascii="Times New Roman"/>
        </w:rPr>
      </w:pPr>
      <w:r w:rsidRPr="00497BDF">
        <w:rPr>
          <w:rFonts w:ascii="Times New Roman"/>
        </w:rPr>
        <w:t>发挥比较优势，推动建立欧盟从业者的公平竞争环境（</w:t>
      </w:r>
      <w:r w:rsidRPr="00497BDF">
        <w:rPr>
          <w:rFonts w:ascii="Times New Roman"/>
        </w:rPr>
        <w:t>14</w:t>
      </w:r>
      <w:r w:rsidRPr="00497BDF">
        <w:rPr>
          <w:rFonts w:ascii="Times New Roman"/>
        </w:rPr>
        <w:t>）</w:t>
      </w:r>
    </w:p>
    <w:p w:rsidR="00F30DBF" w:rsidRPr="00497BDF" w:rsidRDefault="00F30DBF" w:rsidP="00497BDF">
      <w:pPr>
        <w:pStyle w:val="ae"/>
        <w:numPr>
          <w:ilvl w:val="0"/>
          <w:numId w:val="11"/>
        </w:numPr>
        <w:spacing w:before="0" w:after="0"/>
        <w:ind w:left="721" w:hanging="437"/>
        <w:rPr>
          <w:rFonts w:ascii="Times New Roman"/>
        </w:rPr>
      </w:pPr>
      <w:r w:rsidRPr="00497BDF">
        <w:rPr>
          <w:rFonts w:ascii="Times New Roman"/>
        </w:rPr>
        <w:t>优先发展水产养殖业（</w:t>
      </w:r>
      <w:r w:rsidRPr="00497BDF">
        <w:rPr>
          <w:rFonts w:ascii="Times New Roman"/>
        </w:rPr>
        <w:t>13</w:t>
      </w:r>
      <w:r w:rsidRPr="00497BDF">
        <w:rPr>
          <w:rFonts w:ascii="Times New Roman"/>
        </w:rPr>
        <w:t>）</w:t>
      </w:r>
    </w:p>
    <w:p w:rsidR="00F30DBF" w:rsidRPr="00497BDF" w:rsidRDefault="00F30DBF" w:rsidP="00497BDF">
      <w:pPr>
        <w:pStyle w:val="ae"/>
        <w:numPr>
          <w:ilvl w:val="0"/>
          <w:numId w:val="11"/>
        </w:numPr>
        <w:spacing w:before="0" w:after="0"/>
        <w:ind w:left="721" w:hanging="437"/>
        <w:rPr>
          <w:rFonts w:ascii="Times New Roman"/>
        </w:rPr>
      </w:pPr>
      <w:r w:rsidRPr="00497BDF">
        <w:rPr>
          <w:rFonts w:ascii="Times New Roman" w:hint="eastAsia"/>
        </w:rPr>
        <w:t>监管</w:t>
      </w:r>
      <w:r w:rsidRPr="00497BDF">
        <w:rPr>
          <w:rFonts w:ascii="Times New Roman"/>
        </w:rPr>
        <w:t>与环境（</w:t>
      </w:r>
      <w:r w:rsidRPr="00497BDF">
        <w:rPr>
          <w:rFonts w:ascii="Times New Roman"/>
        </w:rPr>
        <w:t>13</w:t>
      </w:r>
      <w:r w:rsidRPr="00497BDF">
        <w:rPr>
          <w:rFonts w:ascii="Times New Roman"/>
        </w:rPr>
        <w:t>）</w:t>
      </w:r>
    </w:p>
    <w:p w:rsidR="00F30DBF" w:rsidRPr="00497BDF" w:rsidRDefault="00F30DBF" w:rsidP="00497BDF">
      <w:pPr>
        <w:pStyle w:val="ae"/>
        <w:numPr>
          <w:ilvl w:val="0"/>
          <w:numId w:val="11"/>
        </w:numPr>
        <w:spacing w:before="0" w:after="0"/>
        <w:ind w:left="721" w:hanging="437"/>
        <w:rPr>
          <w:rFonts w:ascii="Times New Roman"/>
        </w:rPr>
      </w:pPr>
      <w:r w:rsidRPr="00497BDF">
        <w:rPr>
          <w:rFonts w:ascii="Times New Roman"/>
        </w:rPr>
        <w:t>公众认识（</w:t>
      </w:r>
      <w:r w:rsidRPr="00497BDF">
        <w:rPr>
          <w:rFonts w:ascii="Times New Roman"/>
        </w:rPr>
        <w:t>13</w:t>
      </w:r>
      <w:r w:rsidRPr="00497BDF">
        <w:rPr>
          <w:rFonts w:ascii="Times New Roman"/>
        </w:rPr>
        <w:t>）</w:t>
      </w:r>
    </w:p>
    <w:p w:rsidR="00F30DBF" w:rsidRPr="00497BDF" w:rsidRDefault="00F30DBF" w:rsidP="00497BDF">
      <w:pPr>
        <w:pStyle w:val="ae"/>
        <w:numPr>
          <w:ilvl w:val="0"/>
          <w:numId w:val="11"/>
        </w:numPr>
        <w:spacing w:before="0" w:after="0"/>
        <w:ind w:left="721" w:hanging="437"/>
        <w:rPr>
          <w:rFonts w:ascii="Times New Roman"/>
        </w:rPr>
      </w:pPr>
      <w:r w:rsidRPr="00497BDF">
        <w:rPr>
          <w:rFonts w:ascii="Times New Roman"/>
        </w:rPr>
        <w:t>许可（</w:t>
      </w:r>
      <w:r w:rsidRPr="00497BDF">
        <w:rPr>
          <w:rFonts w:ascii="Times New Roman"/>
        </w:rPr>
        <w:t>12</w:t>
      </w:r>
      <w:r w:rsidRPr="00497BDF">
        <w:rPr>
          <w:rFonts w:ascii="Times New Roman"/>
        </w:rPr>
        <w:t>）</w:t>
      </w:r>
    </w:p>
    <w:p w:rsidR="00F30DBF" w:rsidRPr="00497BDF" w:rsidRDefault="00F30DBF" w:rsidP="00497BDF">
      <w:pPr>
        <w:pStyle w:val="ae"/>
        <w:numPr>
          <w:ilvl w:val="0"/>
          <w:numId w:val="11"/>
        </w:numPr>
        <w:spacing w:before="0" w:after="0"/>
        <w:ind w:left="721" w:hanging="437"/>
        <w:rPr>
          <w:rFonts w:ascii="Times New Roman"/>
        </w:rPr>
      </w:pPr>
      <w:r w:rsidRPr="00497BDF">
        <w:rPr>
          <w:rFonts w:ascii="Times New Roman"/>
        </w:rPr>
        <w:t>技术创新（</w:t>
      </w:r>
      <w:r w:rsidRPr="00497BDF">
        <w:rPr>
          <w:rFonts w:ascii="Times New Roman"/>
        </w:rPr>
        <w:t>12</w:t>
      </w:r>
      <w:r w:rsidRPr="00497BDF">
        <w:rPr>
          <w:rFonts w:ascii="Times New Roman"/>
        </w:rPr>
        <w:t>）</w:t>
      </w:r>
    </w:p>
    <w:p w:rsidR="00F30DBF" w:rsidRPr="00497BDF" w:rsidRDefault="00F30DBF" w:rsidP="00497BDF">
      <w:pPr>
        <w:pStyle w:val="ae"/>
        <w:numPr>
          <w:ilvl w:val="0"/>
          <w:numId w:val="11"/>
        </w:numPr>
        <w:spacing w:before="0" w:after="0"/>
        <w:ind w:left="721" w:hanging="437"/>
        <w:rPr>
          <w:rFonts w:ascii="Times New Roman"/>
        </w:rPr>
      </w:pPr>
      <w:r w:rsidRPr="00497BDF">
        <w:rPr>
          <w:rFonts w:ascii="Times New Roman"/>
        </w:rPr>
        <w:t>由研究界向产业界的技术转让（</w:t>
      </w:r>
      <w:r w:rsidRPr="00497BDF">
        <w:rPr>
          <w:rFonts w:ascii="Times New Roman"/>
        </w:rPr>
        <w:t>12</w:t>
      </w:r>
      <w:r w:rsidRPr="00497BDF">
        <w:rPr>
          <w:rFonts w:ascii="Times New Roman"/>
        </w:rPr>
        <w:t>）</w:t>
      </w:r>
    </w:p>
    <w:p w:rsidR="00F30DBF" w:rsidRPr="00497BDF" w:rsidRDefault="00F30DBF" w:rsidP="00497BDF">
      <w:pPr>
        <w:pStyle w:val="ae"/>
        <w:numPr>
          <w:ilvl w:val="0"/>
          <w:numId w:val="11"/>
        </w:numPr>
        <w:spacing w:before="0"/>
        <w:ind w:left="721" w:hanging="437"/>
        <w:rPr>
          <w:rFonts w:ascii="Times New Roman"/>
        </w:rPr>
      </w:pPr>
      <w:r w:rsidRPr="00497BDF">
        <w:rPr>
          <w:rFonts w:ascii="Times New Roman"/>
        </w:rPr>
        <w:t>可持续水产养殖战略（</w:t>
      </w:r>
      <w:r w:rsidRPr="00497BDF">
        <w:rPr>
          <w:rFonts w:ascii="Times New Roman"/>
        </w:rPr>
        <w:t>12</w:t>
      </w:r>
      <w:r w:rsidRPr="00497BDF">
        <w:rPr>
          <w:rFonts w:ascii="Times New Roman"/>
        </w:rPr>
        <w:t>）</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对于结果更加具体的评估可见以下五个分类下面的分组评估意见：</w:t>
      </w:r>
    </w:p>
    <w:p w:rsidR="00F30DBF" w:rsidRPr="005160FD" w:rsidRDefault="00F30DBF" w:rsidP="005160FD">
      <w:pPr>
        <w:pStyle w:val="ae"/>
        <w:numPr>
          <w:ilvl w:val="0"/>
          <w:numId w:val="11"/>
        </w:numPr>
        <w:spacing w:before="0" w:after="0"/>
        <w:ind w:left="721" w:hanging="437"/>
        <w:rPr>
          <w:rFonts w:ascii="Times New Roman"/>
        </w:rPr>
      </w:pPr>
      <w:r w:rsidRPr="005160FD">
        <w:rPr>
          <w:rFonts w:ascii="Times New Roman"/>
        </w:rPr>
        <w:t>战略重点领域：在战略类别下，</w:t>
      </w:r>
      <w:r w:rsidRPr="005160FD">
        <w:rPr>
          <w:rFonts w:ascii="Times New Roman" w:hint="eastAsia"/>
        </w:rPr>
        <w:t>各</w:t>
      </w:r>
      <w:r w:rsidRPr="005160FD">
        <w:rPr>
          <w:rFonts w:ascii="Times New Roman"/>
        </w:rPr>
        <w:t>利益相关</w:t>
      </w:r>
      <w:r w:rsidRPr="005160FD">
        <w:rPr>
          <w:rFonts w:ascii="Times New Roman" w:hint="eastAsia"/>
        </w:rPr>
        <w:t>方</w:t>
      </w:r>
      <w:r w:rsidRPr="005160FD">
        <w:rPr>
          <w:rFonts w:ascii="Times New Roman"/>
        </w:rPr>
        <w:t>提出的两个最重要问题是</w:t>
      </w:r>
      <w:r w:rsidR="005160FD">
        <w:rPr>
          <w:rFonts w:ascii="Times New Roman" w:hint="eastAsia"/>
        </w:rPr>
        <w:t>“</w:t>
      </w:r>
      <w:r w:rsidRPr="005160FD">
        <w:rPr>
          <w:rFonts w:ascii="Times New Roman"/>
        </w:rPr>
        <w:t>公平竞争环境</w:t>
      </w:r>
      <w:r w:rsidR="005160FD">
        <w:rPr>
          <w:rFonts w:ascii="Times New Roman" w:hint="eastAsia"/>
        </w:rPr>
        <w:t>”</w:t>
      </w:r>
      <w:r w:rsidRPr="005160FD">
        <w:rPr>
          <w:rFonts w:ascii="Times New Roman"/>
        </w:rPr>
        <w:t>（欧委会战略指南</w:t>
      </w:r>
      <w:r w:rsidRPr="005160FD">
        <w:rPr>
          <w:rFonts w:ascii="Times New Roman"/>
        </w:rPr>
        <w:t>4</w:t>
      </w:r>
      <w:r w:rsidRPr="005160FD">
        <w:rPr>
          <w:rFonts w:ascii="Times New Roman"/>
        </w:rPr>
        <w:t>号优先重点）和</w:t>
      </w:r>
      <w:r w:rsidR="005160FD">
        <w:rPr>
          <w:rFonts w:ascii="Times New Roman" w:hint="eastAsia"/>
        </w:rPr>
        <w:t>“</w:t>
      </w:r>
      <w:r w:rsidRPr="005160FD">
        <w:rPr>
          <w:rFonts w:ascii="Times New Roman"/>
        </w:rPr>
        <w:t>竞争力</w:t>
      </w:r>
      <w:r w:rsidR="005160FD">
        <w:rPr>
          <w:rFonts w:ascii="Times New Roman" w:hint="eastAsia"/>
        </w:rPr>
        <w:t>”</w:t>
      </w:r>
      <w:r w:rsidRPr="005160FD">
        <w:rPr>
          <w:rFonts w:ascii="Times New Roman"/>
        </w:rPr>
        <w:t>（欧委会战略指南</w:t>
      </w:r>
      <w:r w:rsidRPr="005160FD">
        <w:rPr>
          <w:rFonts w:ascii="Times New Roman"/>
        </w:rPr>
        <w:t>3</w:t>
      </w:r>
      <w:r w:rsidRPr="005160FD">
        <w:rPr>
          <w:rFonts w:ascii="Times New Roman"/>
        </w:rPr>
        <w:t>号优先重点），之后便是</w:t>
      </w:r>
      <w:r w:rsidR="005160FD">
        <w:rPr>
          <w:rFonts w:ascii="Times New Roman" w:hint="eastAsia"/>
        </w:rPr>
        <w:t>“</w:t>
      </w:r>
      <w:r w:rsidRPr="005160FD">
        <w:rPr>
          <w:rFonts w:ascii="Times New Roman"/>
        </w:rPr>
        <w:t>优先发展水产养殖业</w:t>
      </w:r>
      <w:r w:rsidR="005160FD">
        <w:rPr>
          <w:rFonts w:ascii="Times New Roman" w:hint="eastAsia"/>
        </w:rPr>
        <w:t>”</w:t>
      </w:r>
      <w:r w:rsidRPr="005160FD">
        <w:rPr>
          <w:rFonts w:ascii="Times New Roman"/>
        </w:rPr>
        <w:t>。特别是政府间和多利益相关方</w:t>
      </w:r>
      <w:r w:rsidRPr="005160FD">
        <w:rPr>
          <w:rFonts w:ascii="Times New Roman" w:hint="eastAsia"/>
        </w:rPr>
        <w:t>组别</w:t>
      </w:r>
      <w:r w:rsidRPr="005160FD">
        <w:rPr>
          <w:rFonts w:ascii="Times New Roman"/>
        </w:rPr>
        <w:t>都着重强调了这些领域的重要性，多个利益相关</w:t>
      </w:r>
      <w:r w:rsidRPr="005160FD">
        <w:rPr>
          <w:rFonts w:ascii="Times New Roman" w:hint="eastAsia"/>
        </w:rPr>
        <w:t>方</w:t>
      </w:r>
      <w:r w:rsidRPr="005160FD">
        <w:rPr>
          <w:rFonts w:ascii="Times New Roman"/>
        </w:rPr>
        <w:t>还特别提出要制定行业发展远景。研究审查的希腊、西班牙和英国国家报告中涵盖了与欧委会战略指南相符的战略内容。有意思的是，挪威在</w:t>
      </w:r>
      <w:r w:rsidR="005160FD">
        <w:rPr>
          <w:rFonts w:ascii="Times New Roman" w:hint="eastAsia"/>
        </w:rPr>
        <w:t>“</w:t>
      </w:r>
      <w:r w:rsidRPr="005160FD">
        <w:rPr>
          <w:rFonts w:ascii="Times New Roman"/>
        </w:rPr>
        <w:t>战略</w:t>
      </w:r>
      <w:r w:rsidR="005160FD">
        <w:rPr>
          <w:rFonts w:ascii="Times New Roman" w:hint="eastAsia"/>
        </w:rPr>
        <w:t>”</w:t>
      </w:r>
      <w:r w:rsidRPr="005160FD">
        <w:rPr>
          <w:rFonts w:ascii="Times New Roman"/>
        </w:rPr>
        <w:t>类别中并未体现任何问题</w:t>
      </w:r>
      <w:r w:rsidRPr="005160FD">
        <w:rPr>
          <w:rFonts w:ascii="Times New Roman"/>
        </w:rPr>
        <w:t>/</w:t>
      </w:r>
      <w:r w:rsidRPr="005160FD">
        <w:rPr>
          <w:rFonts w:ascii="Times New Roman"/>
        </w:rPr>
        <w:t>优先重点，而俄罗斯和乌克兰的文献资料中提及了</w:t>
      </w:r>
      <w:r w:rsidR="005160FD">
        <w:rPr>
          <w:rFonts w:ascii="Times New Roman" w:hint="eastAsia"/>
        </w:rPr>
        <w:t>“</w:t>
      </w:r>
      <w:r w:rsidRPr="005160FD">
        <w:rPr>
          <w:rFonts w:ascii="Times New Roman"/>
        </w:rPr>
        <w:t>竞争力</w:t>
      </w:r>
      <w:r w:rsidR="005160FD">
        <w:rPr>
          <w:rFonts w:ascii="Times New Roman" w:hint="eastAsia"/>
        </w:rPr>
        <w:t>”</w:t>
      </w:r>
      <w:r w:rsidRPr="005160FD">
        <w:rPr>
          <w:rFonts w:ascii="Times New Roman"/>
        </w:rPr>
        <w:t>和为生产者创造有利条件。</w:t>
      </w:r>
    </w:p>
    <w:p w:rsidR="00F30DBF" w:rsidRPr="005160FD" w:rsidRDefault="00F30DBF" w:rsidP="005160FD">
      <w:pPr>
        <w:pStyle w:val="ae"/>
        <w:numPr>
          <w:ilvl w:val="0"/>
          <w:numId w:val="11"/>
        </w:numPr>
        <w:spacing w:before="0" w:after="0"/>
        <w:ind w:left="721" w:hanging="437"/>
        <w:rPr>
          <w:rFonts w:ascii="Times New Roman"/>
        </w:rPr>
      </w:pPr>
      <w:r w:rsidRPr="005160FD">
        <w:rPr>
          <w:rFonts w:ascii="Times New Roman"/>
        </w:rPr>
        <w:t>管理重点领域：在管理类别下，各组别提出的两个最重要挑战也与欧委会</w:t>
      </w:r>
      <w:r w:rsidRPr="00246799">
        <w:rPr>
          <w:rFonts w:ascii="Times New Roman"/>
          <w:spacing w:val="6"/>
        </w:rPr>
        <w:t>战略指南的优先重点相吻合，分别是</w:t>
      </w:r>
      <w:r w:rsidR="005160FD" w:rsidRPr="00246799">
        <w:rPr>
          <w:rFonts w:ascii="Times New Roman" w:hint="eastAsia"/>
          <w:spacing w:val="6"/>
        </w:rPr>
        <w:t>“</w:t>
      </w:r>
      <w:r w:rsidRPr="00246799">
        <w:rPr>
          <w:rFonts w:ascii="Times New Roman"/>
          <w:spacing w:val="6"/>
        </w:rPr>
        <w:t>治理和行政管理</w:t>
      </w:r>
      <w:r w:rsidR="005160FD" w:rsidRPr="00246799">
        <w:rPr>
          <w:rFonts w:ascii="Times New Roman" w:hint="eastAsia"/>
          <w:spacing w:val="6"/>
        </w:rPr>
        <w:t>”</w:t>
      </w:r>
      <w:r w:rsidRPr="00246799">
        <w:rPr>
          <w:rFonts w:ascii="Times New Roman"/>
          <w:spacing w:val="6"/>
        </w:rPr>
        <w:t>（欧委会战略指南</w:t>
      </w:r>
      <w:r w:rsidRPr="00246799">
        <w:rPr>
          <w:rFonts w:ascii="Times New Roman"/>
          <w:spacing w:val="4"/>
        </w:rPr>
        <w:t>1</w:t>
      </w:r>
      <w:r w:rsidRPr="00246799">
        <w:rPr>
          <w:rFonts w:ascii="Times New Roman"/>
          <w:spacing w:val="4"/>
        </w:rPr>
        <w:t>号优先重点）和</w:t>
      </w:r>
      <w:r w:rsidR="005160FD" w:rsidRPr="00246799">
        <w:rPr>
          <w:rFonts w:ascii="Times New Roman" w:hint="eastAsia"/>
          <w:spacing w:val="4"/>
        </w:rPr>
        <w:t>“</w:t>
      </w:r>
      <w:r w:rsidRPr="00246799">
        <w:rPr>
          <w:rFonts w:ascii="Times New Roman"/>
          <w:spacing w:val="4"/>
        </w:rPr>
        <w:t>海洋空间规划</w:t>
      </w:r>
      <w:r w:rsidR="005160FD" w:rsidRPr="00246799">
        <w:rPr>
          <w:rFonts w:ascii="Times New Roman" w:hint="eastAsia"/>
          <w:spacing w:val="4"/>
        </w:rPr>
        <w:t>”</w:t>
      </w:r>
      <w:r w:rsidRPr="00246799">
        <w:rPr>
          <w:rFonts w:ascii="Times New Roman"/>
          <w:spacing w:val="4"/>
        </w:rPr>
        <w:t>（欧委会战略指南</w:t>
      </w:r>
      <w:r w:rsidRPr="00246799">
        <w:rPr>
          <w:rFonts w:ascii="Times New Roman"/>
          <w:spacing w:val="4"/>
        </w:rPr>
        <w:t>2</w:t>
      </w:r>
      <w:r w:rsidRPr="00246799">
        <w:rPr>
          <w:rFonts w:ascii="Times New Roman"/>
          <w:spacing w:val="4"/>
        </w:rPr>
        <w:t>号优先重点）。其他</w:t>
      </w:r>
      <w:r w:rsidRPr="005160FD">
        <w:rPr>
          <w:rFonts w:ascii="Times New Roman"/>
        </w:rPr>
        <w:t>优先重点还包括</w:t>
      </w:r>
      <w:r w:rsidR="005160FD">
        <w:rPr>
          <w:rFonts w:ascii="Times New Roman" w:hint="eastAsia"/>
        </w:rPr>
        <w:t>“</w:t>
      </w:r>
      <w:r w:rsidRPr="005160FD">
        <w:rPr>
          <w:rFonts w:ascii="Times New Roman" w:hint="eastAsia"/>
        </w:rPr>
        <w:t>监管</w:t>
      </w:r>
      <w:r w:rsidRPr="005160FD">
        <w:rPr>
          <w:rFonts w:ascii="Times New Roman"/>
        </w:rPr>
        <w:t>与环境保护</w:t>
      </w:r>
      <w:r w:rsidR="005160FD">
        <w:rPr>
          <w:rFonts w:ascii="Times New Roman" w:hint="eastAsia"/>
        </w:rPr>
        <w:t>”</w:t>
      </w:r>
      <w:r w:rsidRPr="005160FD">
        <w:rPr>
          <w:rFonts w:ascii="Times New Roman"/>
        </w:rPr>
        <w:t>以及许可。在审议非欧盟成员国案例研究中的国家报告时，研究发现挪威着重强调了</w:t>
      </w:r>
      <w:r w:rsidR="005160FD">
        <w:rPr>
          <w:rFonts w:ascii="Times New Roman" w:hint="eastAsia"/>
        </w:rPr>
        <w:t>“</w:t>
      </w:r>
      <w:r w:rsidRPr="005160FD">
        <w:rPr>
          <w:rFonts w:ascii="Times New Roman"/>
        </w:rPr>
        <w:t>良好水产养殖治理</w:t>
      </w:r>
      <w:r w:rsidR="005160FD">
        <w:rPr>
          <w:rFonts w:ascii="Times New Roman" w:hint="eastAsia"/>
        </w:rPr>
        <w:t>”</w:t>
      </w:r>
      <w:r w:rsidRPr="005160FD">
        <w:rPr>
          <w:rFonts w:ascii="Times New Roman"/>
        </w:rPr>
        <w:t>，</w:t>
      </w:r>
      <w:r w:rsidRPr="00246799">
        <w:rPr>
          <w:rFonts w:ascii="Times New Roman"/>
          <w:spacing w:val="6"/>
        </w:rPr>
        <w:t>而俄罗斯联邦在一定程度上承认面临着行政管理方面的挑战（水库选址）。</w:t>
      </w:r>
      <w:r w:rsidR="005160FD">
        <w:rPr>
          <w:rFonts w:ascii="Times New Roman" w:hint="eastAsia"/>
        </w:rPr>
        <w:t>“</w:t>
      </w:r>
      <w:r w:rsidRPr="005160FD">
        <w:rPr>
          <w:rFonts w:ascii="Times New Roman"/>
        </w:rPr>
        <w:t>治理的公共参与</w:t>
      </w:r>
      <w:r w:rsidR="005160FD">
        <w:rPr>
          <w:rFonts w:ascii="Times New Roman" w:hint="eastAsia"/>
        </w:rPr>
        <w:t>”</w:t>
      </w:r>
      <w:r w:rsidRPr="005160FD">
        <w:rPr>
          <w:rFonts w:ascii="Times New Roman"/>
        </w:rPr>
        <w:t>和</w:t>
      </w:r>
      <w:r w:rsidR="005160FD">
        <w:rPr>
          <w:rFonts w:ascii="Times New Roman" w:hint="eastAsia"/>
        </w:rPr>
        <w:t>“</w:t>
      </w:r>
      <w:r w:rsidRPr="005160FD">
        <w:rPr>
          <w:rFonts w:ascii="Times New Roman"/>
        </w:rPr>
        <w:t>适当的公共投资</w:t>
      </w:r>
      <w:r w:rsidR="005160FD">
        <w:rPr>
          <w:rFonts w:ascii="Times New Roman" w:hint="eastAsia"/>
        </w:rPr>
        <w:t>”</w:t>
      </w:r>
      <w:r w:rsidRPr="005160FD">
        <w:rPr>
          <w:rFonts w:ascii="Times New Roman"/>
        </w:rPr>
        <w:t>仅在少数文件中被重点提及，主要是在多利益相关</w:t>
      </w:r>
      <w:r w:rsidRPr="005160FD">
        <w:rPr>
          <w:rFonts w:ascii="Times New Roman" w:hint="eastAsia"/>
        </w:rPr>
        <w:t>方</w:t>
      </w:r>
      <w:r w:rsidRPr="005160FD">
        <w:rPr>
          <w:rFonts w:ascii="Times New Roman"/>
        </w:rPr>
        <w:t>组别中。</w:t>
      </w:r>
    </w:p>
    <w:p w:rsidR="00F30DBF" w:rsidRPr="005160FD" w:rsidRDefault="00F30DBF" w:rsidP="005160FD">
      <w:pPr>
        <w:pStyle w:val="ae"/>
        <w:numPr>
          <w:ilvl w:val="0"/>
          <w:numId w:val="11"/>
        </w:numPr>
        <w:spacing w:before="0" w:after="0"/>
        <w:ind w:left="721" w:hanging="437"/>
        <w:rPr>
          <w:rFonts w:ascii="Times New Roman"/>
        </w:rPr>
      </w:pPr>
      <w:r w:rsidRPr="005160FD">
        <w:rPr>
          <w:rFonts w:ascii="Times New Roman"/>
        </w:rPr>
        <w:t>技术重点领域：评估的文件中提出的三个最重要技术问题是</w:t>
      </w:r>
      <w:r w:rsidR="005160FD">
        <w:rPr>
          <w:rFonts w:ascii="Times New Roman" w:hint="eastAsia"/>
        </w:rPr>
        <w:t>“</w:t>
      </w:r>
      <w:r w:rsidRPr="005160FD">
        <w:rPr>
          <w:rFonts w:ascii="Times New Roman"/>
        </w:rPr>
        <w:t>鱼类健康和</w:t>
      </w:r>
      <w:r w:rsidRPr="008E3C13">
        <w:rPr>
          <w:rFonts w:ascii="Times New Roman"/>
          <w:spacing w:val="2"/>
        </w:rPr>
        <w:t>福利</w:t>
      </w:r>
      <w:r w:rsidR="005160FD" w:rsidRPr="008E3C13">
        <w:rPr>
          <w:rFonts w:ascii="Times New Roman" w:hint="eastAsia"/>
          <w:spacing w:val="-20"/>
        </w:rPr>
        <w:t>”</w:t>
      </w:r>
      <w:r w:rsidRPr="008E3C13">
        <w:rPr>
          <w:rFonts w:ascii="Times New Roman"/>
          <w:spacing w:val="-20"/>
        </w:rPr>
        <w:t>、</w:t>
      </w:r>
      <w:r w:rsidR="005160FD" w:rsidRPr="008E3C13">
        <w:rPr>
          <w:rFonts w:ascii="Times New Roman" w:hint="eastAsia"/>
          <w:spacing w:val="2"/>
        </w:rPr>
        <w:t>“</w:t>
      </w:r>
      <w:r w:rsidRPr="008E3C13">
        <w:rPr>
          <w:rFonts w:ascii="Times New Roman"/>
          <w:spacing w:val="2"/>
        </w:rPr>
        <w:t>技术创新</w:t>
      </w:r>
      <w:r w:rsidR="005160FD" w:rsidRPr="008E3C13">
        <w:rPr>
          <w:rFonts w:ascii="Times New Roman" w:hint="eastAsia"/>
          <w:spacing w:val="-20"/>
        </w:rPr>
        <w:t>”</w:t>
      </w:r>
      <w:r w:rsidRPr="008E3C13">
        <w:rPr>
          <w:rFonts w:ascii="Times New Roman"/>
          <w:spacing w:val="2"/>
        </w:rPr>
        <w:t>以</w:t>
      </w:r>
      <w:r w:rsidRPr="008E3C13">
        <w:rPr>
          <w:rFonts w:ascii="Times New Roman"/>
          <w:spacing w:val="-20"/>
        </w:rPr>
        <w:t>及</w:t>
      </w:r>
      <w:r w:rsidR="005160FD" w:rsidRPr="008E3C13">
        <w:rPr>
          <w:rFonts w:ascii="Times New Roman" w:hint="eastAsia"/>
          <w:spacing w:val="2"/>
        </w:rPr>
        <w:t>“</w:t>
      </w:r>
      <w:r w:rsidRPr="008E3C13">
        <w:rPr>
          <w:rFonts w:ascii="Times New Roman"/>
          <w:spacing w:val="2"/>
        </w:rPr>
        <w:t>由研究界向产业界的技术转让</w:t>
      </w:r>
      <w:r w:rsidR="005160FD" w:rsidRPr="008E3C13">
        <w:rPr>
          <w:rFonts w:ascii="Times New Roman" w:hint="eastAsia"/>
          <w:spacing w:val="-20"/>
        </w:rPr>
        <w:t>”</w:t>
      </w:r>
      <w:r w:rsidRPr="008E3C13">
        <w:rPr>
          <w:rFonts w:ascii="Times New Roman"/>
          <w:spacing w:val="-20"/>
        </w:rPr>
        <w:t>。</w:t>
      </w:r>
      <w:r w:rsidRPr="008E3C13">
        <w:rPr>
          <w:rFonts w:ascii="Times New Roman"/>
          <w:spacing w:val="2"/>
        </w:rPr>
        <w:t>必须说明的是</w:t>
      </w:r>
      <w:r w:rsidRPr="008E3C13">
        <w:rPr>
          <w:rFonts w:ascii="Times New Roman"/>
          <w:spacing w:val="-20"/>
        </w:rPr>
        <w:t>，</w:t>
      </w:r>
      <w:r w:rsidRPr="008E3C13">
        <w:rPr>
          <w:rFonts w:ascii="Times New Roman"/>
          <w:spacing w:val="6"/>
        </w:rPr>
        <w:t>各类利益相关方对所有这些问题都非常重视，但多利益相关</w:t>
      </w:r>
      <w:r w:rsidRPr="008E3C13">
        <w:rPr>
          <w:rFonts w:ascii="Times New Roman" w:hint="eastAsia"/>
          <w:spacing w:val="6"/>
        </w:rPr>
        <w:t>方</w:t>
      </w:r>
      <w:r w:rsidRPr="008E3C13">
        <w:rPr>
          <w:rFonts w:ascii="Times New Roman"/>
          <w:spacing w:val="6"/>
        </w:rPr>
        <w:t>组别更希望将更多的技术问题纳入优先考虑。唯一的分歧</w:t>
      </w:r>
      <w:r w:rsidRPr="008E3C13">
        <w:rPr>
          <w:rFonts w:ascii="Times New Roman" w:hint="eastAsia"/>
          <w:spacing w:val="6"/>
        </w:rPr>
        <w:t>是</w:t>
      </w:r>
      <w:r w:rsidR="005160FD" w:rsidRPr="008E3C13">
        <w:rPr>
          <w:rFonts w:ascii="Times New Roman" w:hint="eastAsia"/>
          <w:spacing w:val="6"/>
        </w:rPr>
        <w:t>“</w:t>
      </w:r>
      <w:r w:rsidRPr="008E3C13">
        <w:rPr>
          <w:rFonts w:ascii="Times New Roman"/>
          <w:spacing w:val="6"/>
        </w:rPr>
        <w:t>可追溯性</w:t>
      </w:r>
      <w:r w:rsidR="005160FD" w:rsidRPr="008E3C13">
        <w:rPr>
          <w:rFonts w:ascii="Times New Roman" w:hint="eastAsia"/>
          <w:spacing w:val="6"/>
        </w:rPr>
        <w:t>”</w:t>
      </w:r>
      <w:r w:rsidRPr="008E3C13">
        <w:rPr>
          <w:rFonts w:ascii="Times New Roman"/>
          <w:spacing w:val="6"/>
        </w:rPr>
        <w:t>，在优先排序中排位最末，仅有一个国家政府和一个多利益相关方群体将其视作优先重点</w:t>
      </w:r>
      <w:r w:rsidRPr="005160FD">
        <w:rPr>
          <w:rFonts w:ascii="Times New Roman"/>
        </w:rPr>
        <w:t>。</w:t>
      </w:r>
    </w:p>
    <w:p w:rsidR="00F30DBF" w:rsidRPr="005160FD" w:rsidRDefault="00F30DBF" w:rsidP="005160FD">
      <w:pPr>
        <w:pStyle w:val="ae"/>
        <w:numPr>
          <w:ilvl w:val="0"/>
          <w:numId w:val="11"/>
        </w:numPr>
        <w:spacing w:before="0" w:after="0"/>
        <w:ind w:left="721" w:hanging="437"/>
        <w:rPr>
          <w:rFonts w:ascii="Times New Roman"/>
        </w:rPr>
      </w:pPr>
      <w:r w:rsidRPr="005160FD">
        <w:rPr>
          <w:rFonts w:ascii="Times New Roman"/>
        </w:rPr>
        <w:t>业务重点领域：业务类别下提出的问题与</w:t>
      </w:r>
      <w:r w:rsidR="005160FD">
        <w:rPr>
          <w:rFonts w:ascii="Times New Roman" w:hint="eastAsia"/>
        </w:rPr>
        <w:t>“</w:t>
      </w:r>
      <w:r w:rsidRPr="005160FD">
        <w:rPr>
          <w:rFonts w:ascii="Times New Roman"/>
        </w:rPr>
        <w:t>战略和行政管理</w:t>
      </w:r>
      <w:r w:rsidR="005160FD">
        <w:rPr>
          <w:rFonts w:ascii="Times New Roman" w:hint="eastAsia"/>
        </w:rPr>
        <w:t>”</w:t>
      </w:r>
      <w:r w:rsidRPr="005160FD">
        <w:rPr>
          <w:rFonts w:ascii="Times New Roman"/>
        </w:rPr>
        <w:t>问题相比排序并不靠前。其中</w:t>
      </w:r>
      <w:r w:rsidR="005160FD">
        <w:rPr>
          <w:rFonts w:ascii="Times New Roman" w:hint="eastAsia"/>
        </w:rPr>
        <w:t>“</w:t>
      </w:r>
      <w:r w:rsidRPr="005160FD">
        <w:rPr>
          <w:rFonts w:ascii="Times New Roman"/>
        </w:rPr>
        <w:t>支持中小企业</w:t>
      </w:r>
      <w:r w:rsidR="005160FD">
        <w:rPr>
          <w:rFonts w:ascii="Times New Roman" w:hint="eastAsia"/>
        </w:rPr>
        <w:t>”</w:t>
      </w:r>
      <w:r w:rsidRPr="005160FD">
        <w:rPr>
          <w:rFonts w:ascii="Times New Roman"/>
        </w:rPr>
        <w:t>优先级别最高，随后是</w:t>
      </w:r>
      <w:r w:rsidR="005160FD">
        <w:rPr>
          <w:rFonts w:ascii="Times New Roman" w:hint="eastAsia"/>
        </w:rPr>
        <w:t>“</w:t>
      </w:r>
      <w:r w:rsidRPr="005160FD">
        <w:rPr>
          <w:rFonts w:ascii="Times New Roman"/>
        </w:rPr>
        <w:t>获得资本和</w:t>
      </w:r>
      <w:r w:rsidRPr="0076118E">
        <w:rPr>
          <w:rFonts w:ascii="Times New Roman"/>
          <w:spacing w:val="6"/>
        </w:rPr>
        <w:t>投资</w:t>
      </w:r>
      <w:r w:rsidR="005160FD" w:rsidRPr="0076118E">
        <w:rPr>
          <w:rFonts w:ascii="Times New Roman" w:hint="eastAsia"/>
          <w:spacing w:val="6"/>
        </w:rPr>
        <w:t>”</w:t>
      </w:r>
      <w:r w:rsidRPr="0076118E">
        <w:rPr>
          <w:rFonts w:ascii="Times New Roman"/>
          <w:spacing w:val="6"/>
        </w:rPr>
        <w:t>。就国家报告而言，希腊、西班牙和英国提出的业务优先重点较少。</w:t>
      </w:r>
      <w:r w:rsidRPr="005160FD">
        <w:rPr>
          <w:rFonts w:ascii="Times New Roman"/>
        </w:rPr>
        <w:t>三个国家的报告中都重点提到</w:t>
      </w:r>
      <w:r w:rsidR="005160FD">
        <w:rPr>
          <w:rFonts w:ascii="Times New Roman" w:hint="eastAsia"/>
        </w:rPr>
        <w:t>“</w:t>
      </w:r>
      <w:r w:rsidRPr="005160FD">
        <w:rPr>
          <w:rFonts w:ascii="Times New Roman"/>
        </w:rPr>
        <w:t>支持中小企业</w:t>
      </w:r>
      <w:r w:rsidR="005160FD">
        <w:rPr>
          <w:rFonts w:ascii="Times New Roman" w:hint="eastAsia"/>
        </w:rPr>
        <w:t>”</w:t>
      </w:r>
      <w:r w:rsidRPr="005160FD">
        <w:rPr>
          <w:rFonts w:ascii="Times New Roman"/>
        </w:rPr>
        <w:t>，西班牙还强调了</w:t>
      </w:r>
      <w:r w:rsidR="005160FD">
        <w:rPr>
          <w:rFonts w:ascii="Times New Roman" w:hint="eastAsia"/>
        </w:rPr>
        <w:t>“</w:t>
      </w:r>
      <w:r w:rsidRPr="005160FD">
        <w:rPr>
          <w:rFonts w:ascii="Times New Roman"/>
        </w:rPr>
        <w:t>资本获得</w:t>
      </w:r>
      <w:r w:rsidR="005160FD">
        <w:rPr>
          <w:rFonts w:ascii="Times New Roman" w:hint="eastAsia"/>
        </w:rPr>
        <w:t>”</w:t>
      </w:r>
      <w:r w:rsidRPr="005160FD">
        <w:rPr>
          <w:rFonts w:ascii="Times New Roman"/>
        </w:rPr>
        <w:t>，希腊强调了能源成本。挪威、俄罗斯联邦和乌克兰并未着重强调任何业务优先重点。总的来看，这些商业问题在政府间报告中也未给与优先考虑，但在几乎所有的多利益相关方报告的结论中都有出现。</w:t>
      </w:r>
    </w:p>
    <w:p w:rsidR="00F30DBF" w:rsidRPr="005160FD" w:rsidRDefault="00F30DBF" w:rsidP="005160FD">
      <w:pPr>
        <w:pStyle w:val="ae"/>
        <w:numPr>
          <w:ilvl w:val="0"/>
          <w:numId w:val="11"/>
        </w:numPr>
        <w:spacing w:before="0"/>
        <w:ind w:left="721" w:hanging="437"/>
        <w:rPr>
          <w:rFonts w:ascii="Times New Roman"/>
        </w:rPr>
      </w:pPr>
      <w:r w:rsidRPr="005160FD">
        <w:rPr>
          <w:rFonts w:ascii="Times New Roman"/>
        </w:rPr>
        <w:t>其他重点领域：在</w:t>
      </w:r>
      <w:r w:rsidR="005160FD">
        <w:rPr>
          <w:rFonts w:ascii="Times New Roman" w:hint="eastAsia"/>
        </w:rPr>
        <w:t>“</w:t>
      </w:r>
      <w:r w:rsidRPr="005160FD">
        <w:rPr>
          <w:rFonts w:ascii="Times New Roman"/>
        </w:rPr>
        <w:t>其他</w:t>
      </w:r>
      <w:r w:rsidR="005160FD">
        <w:rPr>
          <w:rFonts w:ascii="Times New Roman" w:hint="eastAsia"/>
        </w:rPr>
        <w:t>”</w:t>
      </w:r>
      <w:r w:rsidRPr="005160FD">
        <w:rPr>
          <w:rFonts w:ascii="Times New Roman"/>
        </w:rPr>
        <w:t>类别下，研究提出的两个最重要问题分别为</w:t>
      </w:r>
      <w:r w:rsidR="005160FD">
        <w:rPr>
          <w:rFonts w:ascii="Times New Roman" w:hint="eastAsia"/>
        </w:rPr>
        <w:t>“</w:t>
      </w:r>
      <w:r w:rsidRPr="005160FD">
        <w:rPr>
          <w:rFonts w:ascii="Times New Roman"/>
        </w:rPr>
        <w:t>公众看法</w:t>
      </w:r>
      <w:r w:rsidR="005160FD">
        <w:rPr>
          <w:rFonts w:ascii="Times New Roman" w:hint="eastAsia"/>
        </w:rPr>
        <w:t>”</w:t>
      </w:r>
      <w:r w:rsidRPr="005160FD">
        <w:rPr>
          <w:rFonts w:ascii="Times New Roman"/>
        </w:rPr>
        <w:t>和</w:t>
      </w:r>
      <w:r w:rsidR="005160FD">
        <w:rPr>
          <w:rFonts w:ascii="Times New Roman" w:hint="eastAsia"/>
        </w:rPr>
        <w:t>“</w:t>
      </w:r>
      <w:r w:rsidRPr="005160FD">
        <w:rPr>
          <w:rFonts w:ascii="Times New Roman"/>
        </w:rPr>
        <w:t>可持续战略</w:t>
      </w:r>
      <w:r w:rsidR="005160FD">
        <w:rPr>
          <w:rFonts w:ascii="Times New Roman" w:hint="eastAsia"/>
        </w:rPr>
        <w:t>”</w:t>
      </w:r>
      <w:r w:rsidRPr="005160FD">
        <w:rPr>
          <w:rFonts w:ascii="Times New Roman"/>
        </w:rPr>
        <w:t>，随后便是</w:t>
      </w:r>
      <w:r w:rsidR="005160FD">
        <w:rPr>
          <w:rFonts w:ascii="Times New Roman" w:hint="eastAsia"/>
        </w:rPr>
        <w:t>“</w:t>
      </w:r>
      <w:r w:rsidRPr="005160FD">
        <w:rPr>
          <w:rFonts w:ascii="Times New Roman"/>
        </w:rPr>
        <w:t>推广、人员能力、行业顺利</w:t>
      </w:r>
      <w:r w:rsidRPr="0076118E">
        <w:rPr>
          <w:rFonts w:ascii="Times New Roman"/>
          <w:spacing w:val="6"/>
        </w:rPr>
        <w:t>发展</w:t>
      </w:r>
      <w:r w:rsidR="005160FD" w:rsidRPr="0076118E">
        <w:rPr>
          <w:rFonts w:ascii="Times New Roman" w:hint="eastAsia"/>
          <w:spacing w:val="6"/>
        </w:rPr>
        <w:t>”</w:t>
      </w:r>
      <w:r w:rsidRPr="0076118E">
        <w:rPr>
          <w:rFonts w:ascii="Times New Roman"/>
          <w:spacing w:val="6"/>
        </w:rPr>
        <w:t>（特别是在多利益相关方组别中）以及</w:t>
      </w:r>
      <w:r w:rsidR="005160FD" w:rsidRPr="0076118E">
        <w:rPr>
          <w:rFonts w:ascii="Times New Roman" w:hint="eastAsia"/>
          <w:spacing w:val="6"/>
        </w:rPr>
        <w:t>“</w:t>
      </w:r>
      <w:r w:rsidRPr="0076118E">
        <w:rPr>
          <w:rFonts w:ascii="Times New Roman"/>
          <w:spacing w:val="6"/>
        </w:rPr>
        <w:t>减少活动产生的环境影响</w:t>
      </w:r>
      <w:r w:rsidR="005160FD" w:rsidRPr="0076118E">
        <w:rPr>
          <w:rFonts w:ascii="Times New Roman" w:hint="eastAsia"/>
          <w:spacing w:val="6"/>
        </w:rPr>
        <w:t>”</w:t>
      </w:r>
      <w:r w:rsidRPr="005160FD">
        <w:rPr>
          <w:rFonts w:ascii="Times New Roman"/>
        </w:rPr>
        <w:t>（特别是在国家政府文件中）。排位最末的问题包括</w:t>
      </w:r>
      <w:r w:rsidR="005160FD">
        <w:rPr>
          <w:rFonts w:ascii="Times New Roman" w:hint="eastAsia"/>
        </w:rPr>
        <w:t>“</w:t>
      </w:r>
      <w:r w:rsidRPr="005160FD">
        <w:rPr>
          <w:rFonts w:ascii="Times New Roman"/>
        </w:rPr>
        <w:t>有机水产养殖</w:t>
      </w:r>
      <w:r w:rsidR="005160FD">
        <w:rPr>
          <w:rFonts w:ascii="Times New Roman" w:hint="eastAsia"/>
        </w:rPr>
        <w:t>”</w:t>
      </w:r>
      <w:r w:rsidRPr="005160FD">
        <w:rPr>
          <w:rFonts w:ascii="Times New Roman"/>
        </w:rPr>
        <w:t>（出现在两份国家报告和一份多利益相关方报告中）和</w:t>
      </w:r>
      <w:r w:rsidR="005160FD">
        <w:rPr>
          <w:rFonts w:ascii="Times New Roman" w:hint="eastAsia"/>
        </w:rPr>
        <w:t>“</w:t>
      </w:r>
      <w:r w:rsidRPr="005160FD">
        <w:rPr>
          <w:rFonts w:ascii="Times New Roman"/>
        </w:rPr>
        <w:t>零售商</w:t>
      </w:r>
      <w:r w:rsidR="005160FD">
        <w:rPr>
          <w:rFonts w:ascii="Times New Roman" w:hint="eastAsia"/>
        </w:rPr>
        <w:t>”</w:t>
      </w:r>
      <w:r w:rsidRPr="005160FD">
        <w:rPr>
          <w:rFonts w:ascii="Times New Roman"/>
        </w:rPr>
        <w:t>（出现在两项政府间建议和一个多利益相关方组别中）。</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总而言之，研究发现所分析的文件体现的优先重点契合欧委会战略指南中的四项主要优先重点。战略指南的目的是协助欧盟成员国确定各自的国家目标，采取措施应对水产养殖业面临的挑战。政府间议程更加关注战略和</w:t>
      </w:r>
      <w:r w:rsidRPr="00F30DBF">
        <w:rPr>
          <w:rFonts w:ascii="Times New Roman" w:hAnsi="Times New Roman" w:hint="eastAsia"/>
          <w:b w:val="0"/>
          <w:spacing w:val="8"/>
          <w:kern w:val="2"/>
        </w:rPr>
        <w:t>管理</w:t>
      </w:r>
      <w:r w:rsidRPr="00F30DBF">
        <w:rPr>
          <w:rFonts w:ascii="Times New Roman" w:hAnsi="Times New Roman"/>
          <w:b w:val="0"/>
          <w:spacing w:val="8"/>
          <w:kern w:val="2"/>
        </w:rPr>
        <w:t>问题，而多利益相关方组别更加注重技术和业务问题。</w:t>
      </w:r>
    </w:p>
    <w:p w:rsidR="00F30DBF" w:rsidRPr="00F30DBF" w:rsidRDefault="00F30DBF" w:rsidP="005160FD">
      <w:pPr>
        <w:pStyle w:val="1"/>
      </w:pPr>
      <w:r w:rsidRPr="00F30DBF">
        <w:t>拉丁美洲及加勒比</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拉丁美洲及加勒比地区的水产养殖业不断发展壮大，已经开始显现出替代当前进口满足鱼品需求的势头。</w:t>
      </w:r>
      <w:r w:rsidRPr="00F30DBF">
        <w:rPr>
          <w:rFonts w:ascii="Times New Roman" w:hAnsi="Times New Roman"/>
          <w:b w:val="0"/>
          <w:spacing w:val="8"/>
          <w:kern w:val="2"/>
        </w:rPr>
        <w:t>2012</w:t>
      </w:r>
      <w:r w:rsidRPr="00F30DBF">
        <w:rPr>
          <w:rFonts w:ascii="Times New Roman" w:hAnsi="Times New Roman"/>
          <w:b w:val="0"/>
          <w:spacing w:val="8"/>
          <w:kern w:val="2"/>
        </w:rPr>
        <w:t>年拉美加区域水产养殖量超过</w:t>
      </w:r>
      <w:r w:rsidRPr="00F30DBF">
        <w:rPr>
          <w:rFonts w:ascii="Times New Roman" w:hAnsi="Times New Roman"/>
          <w:b w:val="0"/>
          <w:spacing w:val="8"/>
          <w:kern w:val="2"/>
        </w:rPr>
        <w:t>260</w:t>
      </w:r>
      <w:r w:rsidRPr="00F30DBF">
        <w:rPr>
          <w:rFonts w:ascii="Times New Roman" w:hAnsi="Times New Roman"/>
          <w:b w:val="0"/>
          <w:spacing w:val="8"/>
          <w:kern w:val="2"/>
        </w:rPr>
        <w:t>万吨，占全球产量近</w:t>
      </w:r>
      <w:r w:rsidRPr="00F30DBF">
        <w:rPr>
          <w:rFonts w:ascii="Times New Roman" w:hAnsi="Times New Roman"/>
          <w:b w:val="0"/>
          <w:spacing w:val="8"/>
          <w:kern w:val="2"/>
        </w:rPr>
        <w:t>4%</w:t>
      </w:r>
      <w:r w:rsidRPr="00F30DBF">
        <w:rPr>
          <w:rFonts w:ascii="Times New Roman" w:hAnsi="Times New Roman"/>
          <w:b w:val="0"/>
          <w:spacing w:val="8"/>
          <w:kern w:val="2"/>
        </w:rPr>
        <w:t>，过去五年中平均持续增速为</w:t>
      </w:r>
      <w:r w:rsidRPr="00F30DBF">
        <w:rPr>
          <w:rFonts w:ascii="Times New Roman" w:hAnsi="Times New Roman"/>
          <w:b w:val="0"/>
          <w:spacing w:val="8"/>
          <w:kern w:val="2"/>
        </w:rPr>
        <w:t>9%</w:t>
      </w:r>
      <w:r w:rsidRPr="00F30DBF">
        <w:rPr>
          <w:rFonts w:ascii="Times New Roman" w:hAnsi="Times New Roman"/>
          <w:b w:val="0"/>
          <w:spacing w:val="8"/>
          <w:kern w:val="2"/>
        </w:rPr>
        <w:t>。</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区域发展非常不平衡，</w:t>
      </w:r>
      <w:r w:rsidRPr="00F30DBF">
        <w:rPr>
          <w:rFonts w:ascii="Times New Roman" w:hAnsi="Times New Roman"/>
          <w:b w:val="0"/>
          <w:spacing w:val="8"/>
          <w:kern w:val="2"/>
        </w:rPr>
        <w:t>4</w:t>
      </w:r>
      <w:r w:rsidRPr="00F30DBF">
        <w:rPr>
          <w:rFonts w:ascii="Times New Roman" w:hAnsi="Times New Roman"/>
          <w:b w:val="0"/>
          <w:spacing w:val="8"/>
          <w:kern w:val="2"/>
        </w:rPr>
        <w:t>个国家（智利、巴西、厄瓜多尔和墨西哥）的产量超过整个区域水产养殖业产量的</w:t>
      </w:r>
      <w:r w:rsidRPr="00F30DBF">
        <w:rPr>
          <w:rFonts w:ascii="Times New Roman" w:hAnsi="Times New Roman"/>
          <w:b w:val="0"/>
          <w:spacing w:val="8"/>
          <w:kern w:val="2"/>
        </w:rPr>
        <w:t>80%</w:t>
      </w:r>
      <w:r w:rsidRPr="00F30DBF">
        <w:rPr>
          <w:rFonts w:ascii="Times New Roman" w:hAnsi="Times New Roman"/>
          <w:b w:val="0"/>
          <w:spacing w:val="8"/>
          <w:kern w:val="2"/>
        </w:rPr>
        <w:t>以上。产品也主要围绕着</w:t>
      </w:r>
      <w:r w:rsidRPr="00F30DBF">
        <w:rPr>
          <w:rFonts w:ascii="Times New Roman" w:hAnsi="Times New Roman"/>
          <w:b w:val="0"/>
          <w:spacing w:val="8"/>
          <w:kern w:val="2"/>
        </w:rPr>
        <w:t>4</w:t>
      </w:r>
      <w:r w:rsidRPr="00F30DBF">
        <w:rPr>
          <w:rFonts w:ascii="Times New Roman" w:hAnsi="Times New Roman"/>
          <w:b w:val="0"/>
          <w:spacing w:val="8"/>
          <w:kern w:val="2"/>
        </w:rPr>
        <w:t>个品种。最为重要的养殖产品为鲑鱼和贻贝（智利）、罗非鱼（巴西、洪都拉斯等国）以及白对虾（厄瓜多尔、巴西、洪都拉斯、墨西哥、尼加拉瓜等国）。</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根</w:t>
      </w:r>
      <w:r w:rsidRPr="008B3620">
        <w:rPr>
          <w:rFonts w:ascii="Times New Roman" w:hAnsi="Times New Roman"/>
          <w:b w:val="0"/>
          <w:spacing w:val="6"/>
          <w:kern w:val="2"/>
        </w:rPr>
        <w:t>据对所有相关区域文件，包括区域评估、决策、协定和来自相关渔业机构</w:t>
      </w:r>
      <w:r w:rsidRPr="00F30DBF">
        <w:rPr>
          <w:rFonts w:ascii="Times New Roman" w:hAnsi="Times New Roman"/>
          <w:b w:val="0"/>
          <w:spacing w:val="8"/>
          <w:kern w:val="2"/>
        </w:rPr>
        <w:t>（拉丁美洲及加勒比内陆渔业和水产养殖委员会</w:t>
      </w:r>
      <w:r w:rsidRPr="00F30DBF">
        <w:rPr>
          <w:rFonts w:ascii="Times New Roman" w:hAnsi="Times New Roman" w:hint="eastAsia"/>
          <w:b w:val="0"/>
          <w:spacing w:val="8"/>
          <w:kern w:val="2"/>
        </w:rPr>
        <w:t>，</w:t>
      </w:r>
      <w:r w:rsidRPr="00F30DBF">
        <w:rPr>
          <w:rFonts w:ascii="Times New Roman" w:hAnsi="Times New Roman"/>
          <w:b w:val="0"/>
          <w:spacing w:val="8"/>
          <w:kern w:val="2"/>
        </w:rPr>
        <w:t>和西部中大西洋渔业委员会）和政府间组织（美洲水产养殖网络、中美洲国家渔业和水产养殖组织）的建议的</w:t>
      </w:r>
      <w:r w:rsidRPr="00F30DBF">
        <w:rPr>
          <w:rFonts w:ascii="Times New Roman" w:hAnsi="Times New Roman" w:hint="eastAsia"/>
          <w:b w:val="0"/>
          <w:spacing w:val="8"/>
          <w:kern w:val="2"/>
        </w:rPr>
        <w:t>收集</w:t>
      </w:r>
      <w:r w:rsidRPr="00F30DBF">
        <w:rPr>
          <w:rFonts w:ascii="Times New Roman" w:hAnsi="Times New Roman"/>
          <w:b w:val="0"/>
          <w:spacing w:val="8"/>
          <w:kern w:val="2"/>
        </w:rPr>
        <w:t>、分析和整理，研究发现该区域明确提出的目标是推动</w:t>
      </w:r>
      <w:r w:rsidR="004B4EC1">
        <w:rPr>
          <w:rFonts w:ascii="Times New Roman" w:hAnsi="Times New Roman" w:hint="eastAsia"/>
          <w:b w:val="0"/>
          <w:spacing w:val="8"/>
          <w:kern w:val="2"/>
        </w:rPr>
        <w:t>“</w:t>
      </w:r>
      <w:r w:rsidRPr="00F30DBF">
        <w:rPr>
          <w:rFonts w:ascii="Times New Roman" w:hAnsi="Times New Roman"/>
          <w:b w:val="0"/>
          <w:spacing w:val="8"/>
          <w:kern w:val="2"/>
        </w:rPr>
        <w:t>拉美加水产养殖业可持续发展和壮大，对减贫和粮食安全产生实质性的积极影响</w:t>
      </w:r>
      <w:r w:rsidR="004B4EC1">
        <w:rPr>
          <w:rFonts w:ascii="Times New Roman" w:hAnsi="Times New Roman" w:hint="eastAsia"/>
          <w:b w:val="0"/>
          <w:spacing w:val="8"/>
          <w:kern w:val="2"/>
        </w:rPr>
        <w:t>”</w:t>
      </w:r>
      <w:r w:rsidRPr="00F30DBF">
        <w:rPr>
          <w:rFonts w:ascii="Times New Roman" w:hAnsi="Times New Roman"/>
          <w:b w:val="0"/>
          <w:spacing w:val="8"/>
          <w:kern w:val="2"/>
        </w:rPr>
        <w:t>。</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结合上述区域目标，在明确主要威胁和阻碍并分析了收集到的信息之后，研究提出了一个区域优先重点清单。下文简要叙述了这些优先重点。</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增强水产养殖在粮食和营养安全方面的作用，特别是在脆弱人群中推广</w:t>
      </w:r>
      <w:r w:rsidRPr="00F30DBF">
        <w:rPr>
          <w:rFonts w:ascii="Times New Roman" w:hAnsi="Times New Roman" w:hint="eastAsia"/>
          <w:b w:val="0"/>
          <w:spacing w:val="8"/>
          <w:kern w:val="2"/>
        </w:rPr>
        <w:t>水产</w:t>
      </w:r>
      <w:r w:rsidRPr="00F30DBF">
        <w:rPr>
          <w:rFonts w:ascii="Times New Roman" w:hAnsi="Times New Roman"/>
          <w:b w:val="0"/>
          <w:spacing w:val="8"/>
          <w:kern w:val="2"/>
        </w:rPr>
        <w:t>养殖产品；加强推广和能力建设工作，为资源匮乏的养殖者提供支持；在</w:t>
      </w:r>
      <w:r w:rsidR="004B4EC1">
        <w:rPr>
          <w:rFonts w:ascii="Times New Roman" w:hAnsi="Times New Roman" w:hint="eastAsia"/>
          <w:b w:val="0"/>
          <w:spacing w:val="8"/>
          <w:kern w:val="2"/>
        </w:rPr>
        <w:t>“</w:t>
      </w:r>
      <w:r w:rsidRPr="00F30DBF">
        <w:rPr>
          <w:rFonts w:ascii="Times New Roman" w:hAnsi="Times New Roman"/>
          <w:b w:val="0"/>
          <w:spacing w:val="8"/>
          <w:kern w:val="2"/>
        </w:rPr>
        <w:t>蓝色增长</w:t>
      </w:r>
      <w:r w:rsidR="004B4EC1">
        <w:rPr>
          <w:rFonts w:ascii="Times New Roman" w:hAnsi="Times New Roman" w:hint="eastAsia"/>
          <w:b w:val="0"/>
          <w:spacing w:val="8"/>
          <w:kern w:val="2"/>
        </w:rPr>
        <w:t>”</w:t>
      </w:r>
      <w:r w:rsidRPr="00F30DBF">
        <w:rPr>
          <w:rFonts w:ascii="Times New Roman" w:hAnsi="Times New Roman"/>
          <w:b w:val="0"/>
          <w:spacing w:val="8"/>
          <w:kern w:val="2"/>
        </w:rPr>
        <w:t>的框架下并通过实施水产养殖生态系统方法实现水产养殖业可持续集约化发展。</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酌情推动水产养殖业多元发展，特别是通过推广本地品种的海洋养殖实现多元发展。推动与扩展地方品种本地生产相关领域的研究，特别是支持资源匮乏型养殖者，尤其是在饲料、营养和生物安保领域。</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通</w:t>
      </w:r>
      <w:r w:rsidRPr="00436F1E">
        <w:rPr>
          <w:rFonts w:ascii="Times New Roman" w:hAnsi="Times New Roman"/>
          <w:b w:val="0"/>
          <w:spacing w:val="6"/>
          <w:kern w:val="2"/>
        </w:rPr>
        <w:t>过性别敏感的体面就业和增强价值链公平性完善水产养殖业的社会贡献。</w:t>
      </w:r>
      <w:r w:rsidRPr="00F30DBF">
        <w:rPr>
          <w:rFonts w:ascii="Times New Roman" w:hAnsi="Times New Roman"/>
          <w:b w:val="0"/>
          <w:spacing w:val="8"/>
          <w:kern w:val="2"/>
        </w:rPr>
        <w:t>强化价值链，提高收货后质量，从而加强产品营销。</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增加水产养殖业投资，完善生物安保工作，增强所有水产养殖系统对气候变化的应备和适应。这就需要开展更多的研究，更好地认识气候变化带来的威胁和机遇，以便</w:t>
      </w:r>
      <w:r w:rsidRPr="00F30DBF">
        <w:rPr>
          <w:rFonts w:ascii="Times New Roman" w:hAnsi="Times New Roman" w:hint="eastAsia"/>
          <w:b w:val="0"/>
          <w:spacing w:val="8"/>
          <w:kern w:val="2"/>
        </w:rPr>
        <w:t>改进</w:t>
      </w:r>
      <w:r w:rsidRPr="00F30DBF">
        <w:rPr>
          <w:rFonts w:ascii="Times New Roman" w:hAnsi="Times New Roman"/>
          <w:b w:val="0"/>
          <w:spacing w:val="8"/>
          <w:kern w:val="2"/>
        </w:rPr>
        <w:t>减缓和适应工作。</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改</w:t>
      </w:r>
      <w:r w:rsidRPr="0066436C">
        <w:rPr>
          <w:rFonts w:ascii="Times New Roman" w:hAnsi="Times New Roman"/>
          <w:b w:val="0"/>
          <w:spacing w:val="3"/>
          <w:kern w:val="2"/>
        </w:rPr>
        <w:t>善水产养殖业治理，包括开发实施适当的法律制度框架；区域内各国都将此视为优先重点，特别是在增加对资源匮乏型养殖者的支持和推广水产养殖产品方面</w:t>
      </w:r>
      <w:r w:rsidRPr="00F30DBF">
        <w:rPr>
          <w:rFonts w:ascii="Times New Roman" w:hAnsi="Times New Roman"/>
          <w:b w:val="0"/>
          <w:spacing w:val="8"/>
          <w:kern w:val="2"/>
        </w:rPr>
        <w:t>。</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由于</w:t>
      </w:r>
      <w:r w:rsidRPr="00F30DBF">
        <w:rPr>
          <w:rFonts w:ascii="Times New Roman" w:hAnsi="Times New Roman" w:hint="eastAsia"/>
          <w:b w:val="0"/>
          <w:spacing w:val="8"/>
          <w:kern w:val="2"/>
        </w:rPr>
        <w:t>该</w:t>
      </w:r>
      <w:r w:rsidRPr="00F30DBF">
        <w:rPr>
          <w:rFonts w:ascii="Times New Roman" w:hAnsi="Times New Roman"/>
          <w:b w:val="0"/>
          <w:spacing w:val="8"/>
          <w:kern w:val="2"/>
        </w:rPr>
        <w:t>区域在水产养殖生产和发展方面</w:t>
      </w:r>
      <w:r w:rsidRPr="00F30DBF">
        <w:rPr>
          <w:rFonts w:ascii="Times New Roman" w:hAnsi="Times New Roman" w:hint="eastAsia"/>
          <w:b w:val="0"/>
          <w:spacing w:val="8"/>
          <w:kern w:val="2"/>
        </w:rPr>
        <w:t>进度不一</w:t>
      </w:r>
      <w:r w:rsidRPr="00F30DBF">
        <w:rPr>
          <w:rFonts w:ascii="Times New Roman" w:hAnsi="Times New Roman"/>
          <w:b w:val="0"/>
          <w:spacing w:val="8"/>
          <w:kern w:val="2"/>
        </w:rPr>
        <w:t>，因此提出的优先重点也有所差别。区域内水产养殖大国主要是中到大型工业化养殖模式，但支持小规模水产养殖对于区域内各国来说仍然非常重要。各国都很认可水产养殖对区域内人民社会福祉的贡献。</w:t>
      </w:r>
    </w:p>
    <w:p w:rsidR="00F30DBF" w:rsidRPr="00F30DBF" w:rsidRDefault="00F30DBF" w:rsidP="004B4EC1">
      <w:pPr>
        <w:pStyle w:val="1"/>
      </w:pPr>
      <w:r w:rsidRPr="00F30DBF">
        <w:t>近东和北非</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水产养殖业面临着各种发展机遇，但某些局限和挑战还是需要更好地加以应对。水产养殖业得到公立和私营部门越来越多的支持。公立和私营部门都认为水产养殖业有助于保障海产品供应，支持粮食安全行动，增加就业机会，改善农村地区的基础设施，减少贫困和营养不良，缩小进出口差距，增加年人均鱼类消费，满足国家和区域不断增长的鱼品需求。</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区域内各国都已就海洋捕捞渔业、内陆水资源和水产</w:t>
      </w:r>
      <w:r w:rsidR="002267D7">
        <w:rPr>
          <w:rFonts w:ascii="Times New Roman" w:hAnsi="Times New Roman" w:hint="eastAsia"/>
          <w:b w:val="0"/>
          <w:spacing w:val="8"/>
          <w:kern w:val="2"/>
        </w:rPr>
        <w:t>养殖</w:t>
      </w:r>
      <w:r w:rsidRPr="00F30DBF">
        <w:rPr>
          <w:rFonts w:ascii="Times New Roman" w:hAnsi="Times New Roman"/>
          <w:b w:val="0"/>
          <w:spacing w:val="8"/>
          <w:kern w:val="2"/>
        </w:rPr>
        <w:t>管理制定了具体的法律法规，形成了总体的国家渔业管理框架；但渔业法律框架发展不均衡，且总体而言较为薄弱。实施落实各项规定仍待改进，但过去几年中部分国家已在执法方面取得了长足的进展。</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近东和北非区域凸显了几个主要的优先重点领域。每个重点领域在各国的优先程度不一，具体取决于各国的实际情况、各重点领域获得的优先考虑程度以及与其他领域相比需要考虑的紧迫性，以期确保水产养殖业实现可持续发展。这些重点领域概述如下，但优先程度并无先后之分：</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治</w:t>
      </w:r>
      <w:r w:rsidRPr="000750BF">
        <w:rPr>
          <w:rFonts w:ascii="Times New Roman" w:hAnsi="Times New Roman"/>
          <w:b w:val="0"/>
          <w:spacing w:val="6"/>
          <w:kern w:val="2"/>
        </w:rPr>
        <w:t>理：制定实施水产养殖业</w:t>
      </w:r>
      <w:r w:rsidRPr="000750BF">
        <w:rPr>
          <w:rFonts w:ascii="Times New Roman" w:hAnsi="Times New Roman" w:hint="eastAsia"/>
          <w:b w:val="0"/>
          <w:spacing w:val="6"/>
          <w:kern w:val="2"/>
        </w:rPr>
        <w:t>改进</w:t>
      </w:r>
      <w:r w:rsidRPr="000750BF">
        <w:rPr>
          <w:rFonts w:ascii="Times New Roman" w:hAnsi="Times New Roman"/>
          <w:b w:val="0"/>
          <w:spacing w:val="6"/>
          <w:kern w:val="2"/>
        </w:rPr>
        <w:t>治理方面的法律是一个重点领域，因为当前</w:t>
      </w:r>
      <w:r w:rsidRPr="00F30DBF">
        <w:rPr>
          <w:rFonts w:ascii="Times New Roman" w:hAnsi="Times New Roman"/>
          <w:b w:val="0"/>
          <w:spacing w:val="8"/>
          <w:kern w:val="2"/>
        </w:rPr>
        <w:t>法律的规范对象通常是整个渔业。由于缺乏规范养殖生产活动的水产养殖法规，新建养殖场面临着很多行政审批障碍。主管水产养殖的各个机构和部委要进行制度协调，推动私营投资，将水产养殖业视作一个整体进行监测。另外，缺少有经验的养殖场管理者和治理者更是加剧了这些治理问题。综合的海洋空间规划以及水产养殖区划和选址也被认为对于减少资源使用冲突、确保区域内水产养殖业可持续增长具有重要意义。</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环境与气候变化：气候变化和波动情况引发了关于对水产养殖业可能影响的关切，特别是在水资源获得和水质方面的关切。减少水产养殖业的环境影响、改善其经济表现是一项区域重点工作。了解环境、社会和经济的互动，包括承载能力、对敏感栖息地的影响、监测程序评估以及监管程序协调统一，这些都是很多区域国家提出的优先重点。</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获得投入品和能力建设：优质的水资源、饲料和</w:t>
      </w:r>
      <w:r w:rsidRPr="00F30DBF">
        <w:rPr>
          <w:rFonts w:ascii="Times New Roman" w:hAnsi="Times New Roman" w:hint="eastAsia"/>
          <w:b w:val="0"/>
          <w:spacing w:val="8"/>
          <w:kern w:val="2"/>
        </w:rPr>
        <w:t>鱼苗</w:t>
      </w:r>
      <w:r w:rsidRPr="00F30DBF">
        <w:rPr>
          <w:rFonts w:ascii="Times New Roman" w:hAnsi="Times New Roman"/>
          <w:b w:val="0"/>
          <w:spacing w:val="8"/>
          <w:kern w:val="2"/>
        </w:rPr>
        <w:t>在区域内都是稀缺资源。提供投入品、适当的技术（包括管理健康和防控疾病的技术），以及具备良好科学背景的训练有素的专业人员也是一项优先重点。</w:t>
      </w:r>
    </w:p>
    <w:p w:rsidR="00F30DBF" w:rsidRPr="00F30DBF" w:rsidRDefault="00F30DBF" w:rsidP="007F0ADB">
      <w:pPr>
        <w:pStyle w:val="NewPara"/>
        <w:widowControl w:val="0"/>
        <w:numPr>
          <w:ilvl w:val="0"/>
          <w:numId w:val="8"/>
        </w:numPr>
        <w:tabs>
          <w:tab w:val="clear" w:pos="709"/>
        </w:tabs>
        <w:spacing w:before="60" w:after="120" w:line="380" w:lineRule="exact"/>
        <w:ind w:left="0" w:firstLine="0"/>
        <w:jc w:val="both"/>
        <w:rPr>
          <w:rFonts w:ascii="Times New Roman" w:hAnsi="Times New Roman"/>
          <w:b w:val="0"/>
          <w:spacing w:val="8"/>
          <w:kern w:val="2"/>
        </w:rPr>
      </w:pPr>
      <w:r w:rsidRPr="00F30DBF">
        <w:rPr>
          <w:rFonts w:ascii="Times New Roman" w:hAnsi="Times New Roman"/>
          <w:b w:val="0"/>
          <w:spacing w:val="8"/>
          <w:kern w:val="2"/>
        </w:rPr>
        <w:t>研究、开发和科学合作：需要开展更多研究，推动品种和生产多元发展，创造新市场。要建立相关机制，推动各国交流技术知识、信息和专长。加强专业化研究机构之间的合作与协调、知识和数据共享，以及国家能力建设对于建设更具响应性的水产养殖业非常重要。</w:t>
      </w:r>
    </w:p>
    <w:p w:rsidR="00F30DBF" w:rsidRPr="00F30DBF" w:rsidRDefault="00F30DBF" w:rsidP="007F0ADB">
      <w:pPr>
        <w:pStyle w:val="NewPara"/>
        <w:widowControl w:val="0"/>
        <w:numPr>
          <w:ilvl w:val="0"/>
          <w:numId w:val="8"/>
        </w:numPr>
        <w:tabs>
          <w:tab w:val="clear" w:pos="709"/>
        </w:tabs>
        <w:spacing w:before="60" w:after="120" w:line="380" w:lineRule="exact"/>
        <w:ind w:left="0" w:firstLine="0"/>
        <w:jc w:val="both"/>
        <w:rPr>
          <w:rFonts w:ascii="Times New Roman" w:hAnsi="Times New Roman"/>
          <w:b w:val="0"/>
          <w:spacing w:val="8"/>
          <w:kern w:val="2"/>
        </w:rPr>
      </w:pPr>
      <w:r w:rsidRPr="00F30DBF">
        <w:rPr>
          <w:rFonts w:ascii="Times New Roman" w:hAnsi="Times New Roman"/>
          <w:b w:val="0"/>
          <w:spacing w:val="8"/>
          <w:kern w:val="2"/>
        </w:rPr>
        <w:t>水产养殖业的性别问题：该区域的水产养殖业主要是由男性主导。女性往往都从事淡水养殖或养虾，以及鱼品贸易和销售，即收获前和收货后活动；但管理和市场相关决定鲜少征求女性的意见。改进水产养殖业的性别状况应帮助女性在水产养殖业寻找就业</w:t>
      </w:r>
      <w:r w:rsidRPr="00F30DBF">
        <w:rPr>
          <w:rFonts w:ascii="Times New Roman" w:hAnsi="Times New Roman" w:hint="eastAsia"/>
          <w:b w:val="0"/>
          <w:spacing w:val="8"/>
          <w:kern w:val="2"/>
        </w:rPr>
        <w:t>机会</w:t>
      </w:r>
      <w:r w:rsidRPr="00F30DBF">
        <w:rPr>
          <w:rFonts w:ascii="Times New Roman" w:hAnsi="Times New Roman"/>
          <w:b w:val="0"/>
          <w:spacing w:val="8"/>
          <w:kern w:val="2"/>
        </w:rPr>
        <w:t>，更多地参与决策，享受体面生计。</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资</w:t>
      </w:r>
      <w:r w:rsidRPr="009C1D34">
        <w:rPr>
          <w:rFonts w:ascii="Times New Roman" w:hAnsi="Times New Roman"/>
          <w:b w:val="0"/>
          <w:spacing w:val="6"/>
          <w:kern w:val="2"/>
        </w:rPr>
        <w:t>本和投资：这方面的问题包括初期资本投资和经营成本较高，缺少优惠的</w:t>
      </w:r>
      <w:r w:rsidRPr="00F30DBF">
        <w:rPr>
          <w:rFonts w:ascii="Times New Roman" w:hAnsi="Times New Roman"/>
          <w:b w:val="0"/>
          <w:spacing w:val="8"/>
          <w:kern w:val="2"/>
        </w:rPr>
        <w:t>信用融资，本地投入品提供方不足，以及缺少市场数据。这些问题的重要性在区域内不断凸显。减少投资者面对的行政审批</w:t>
      </w:r>
      <w:r w:rsidRPr="00F30DBF">
        <w:rPr>
          <w:rFonts w:ascii="Times New Roman" w:hAnsi="Times New Roman" w:hint="eastAsia"/>
          <w:b w:val="0"/>
          <w:spacing w:val="8"/>
          <w:kern w:val="2"/>
        </w:rPr>
        <w:t>障碍</w:t>
      </w:r>
      <w:r w:rsidRPr="00F30DBF">
        <w:rPr>
          <w:rFonts w:ascii="Times New Roman" w:hAnsi="Times New Roman"/>
          <w:b w:val="0"/>
          <w:spacing w:val="8"/>
          <w:kern w:val="2"/>
        </w:rPr>
        <w:t>非常必要，因为低效的政策机制仍是吸引本地或外国投资者的阻力。完善的营销策略，建立和实施可追溯系统，以及开发增值产品也被视作优先重点。</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销</w:t>
      </w:r>
      <w:r w:rsidRPr="009C1D34">
        <w:rPr>
          <w:rFonts w:ascii="Times New Roman" w:hAnsi="Times New Roman"/>
          <w:b w:val="0"/>
          <w:spacing w:val="6"/>
          <w:kern w:val="2"/>
        </w:rPr>
        <w:t>售：要及时提供海洋水产养殖业的数据和统计，以便评估和监督水产养殖</w:t>
      </w:r>
      <w:r w:rsidRPr="00F30DBF">
        <w:rPr>
          <w:rFonts w:ascii="Times New Roman" w:hAnsi="Times New Roman"/>
          <w:b w:val="0"/>
          <w:spacing w:val="8"/>
          <w:kern w:val="2"/>
        </w:rPr>
        <w:t>的生产和消费能力。鱼类消费水平、分销渠道、以及水产养殖产品的市场走势和贸易等战略性市场数据应提供给养殖者、政策制定者和其他重要的利益相关方。环境完整性、水产养殖产品食品质量和安全方面的消费者意识越来越成为近东和</w:t>
      </w:r>
      <w:r w:rsidRPr="009C1D34">
        <w:rPr>
          <w:rFonts w:ascii="Times New Roman" w:hAnsi="Times New Roman"/>
          <w:b w:val="0"/>
          <w:spacing w:val="6"/>
          <w:kern w:val="2"/>
        </w:rPr>
        <w:t>北非地区海产品接受度和消费量日益增长的前提条件。水产养殖产品的质量问题、</w:t>
      </w:r>
      <w:r w:rsidRPr="00F30DBF">
        <w:rPr>
          <w:rFonts w:ascii="Times New Roman" w:hAnsi="Times New Roman"/>
          <w:b w:val="0"/>
          <w:spacing w:val="8"/>
          <w:kern w:val="2"/>
        </w:rPr>
        <w:t>认证和可追溯性是提升产品形象、改善公众认识的先决条件。</w:t>
      </w:r>
    </w:p>
    <w:p w:rsidR="00F30DBF" w:rsidRPr="00F30DBF" w:rsidRDefault="00F30DBF" w:rsidP="00D22397">
      <w:pPr>
        <w:pStyle w:val="1"/>
      </w:pPr>
      <w:r w:rsidRPr="00F30DBF">
        <w:t>北美洲</w:t>
      </w:r>
    </w:p>
    <w:p w:rsidR="00F30DBF" w:rsidRPr="00F30DBF" w:rsidRDefault="00F30DBF" w:rsidP="007F0ADB">
      <w:pPr>
        <w:pStyle w:val="NewPara"/>
        <w:widowControl w:val="0"/>
        <w:numPr>
          <w:ilvl w:val="0"/>
          <w:numId w:val="8"/>
        </w:numPr>
        <w:tabs>
          <w:tab w:val="clear" w:pos="709"/>
        </w:tabs>
        <w:spacing w:before="60" w:after="120" w:line="380" w:lineRule="exact"/>
        <w:ind w:left="0" w:firstLine="0"/>
        <w:jc w:val="both"/>
        <w:rPr>
          <w:rFonts w:ascii="Times New Roman" w:hAnsi="Times New Roman"/>
          <w:b w:val="0"/>
          <w:spacing w:val="8"/>
          <w:kern w:val="2"/>
        </w:rPr>
      </w:pPr>
      <w:r w:rsidRPr="00F30DBF">
        <w:rPr>
          <w:rFonts w:ascii="Times New Roman" w:hAnsi="Times New Roman"/>
          <w:b w:val="0"/>
          <w:spacing w:val="8"/>
          <w:kern w:val="2"/>
        </w:rPr>
        <w:t>研究根据对加拿大和美国重点文件的分析提出了</w:t>
      </w:r>
      <w:r w:rsidRPr="00F30DBF">
        <w:rPr>
          <w:rFonts w:ascii="Times New Roman" w:hAnsi="Times New Roman"/>
          <w:b w:val="0"/>
          <w:spacing w:val="8"/>
          <w:kern w:val="2"/>
        </w:rPr>
        <w:t>5</w:t>
      </w:r>
      <w:r w:rsidRPr="00F30DBF">
        <w:rPr>
          <w:rFonts w:ascii="Times New Roman" w:hAnsi="Times New Roman"/>
          <w:b w:val="0"/>
          <w:spacing w:val="8"/>
          <w:kern w:val="2"/>
        </w:rPr>
        <w:t>个主要类别：</w:t>
      </w:r>
    </w:p>
    <w:p w:rsidR="00F30DBF" w:rsidRPr="00663C50" w:rsidRDefault="00F30DBF" w:rsidP="007F0ADB">
      <w:pPr>
        <w:pStyle w:val="ae"/>
        <w:numPr>
          <w:ilvl w:val="0"/>
          <w:numId w:val="11"/>
        </w:numPr>
        <w:spacing w:before="0" w:after="0" w:line="380" w:lineRule="exact"/>
        <w:ind w:left="721" w:hanging="437"/>
        <w:rPr>
          <w:rFonts w:ascii="Times New Roman"/>
        </w:rPr>
      </w:pPr>
      <w:r w:rsidRPr="00663C50">
        <w:rPr>
          <w:rFonts w:ascii="Times New Roman"/>
        </w:rPr>
        <w:t>研究与开发；</w:t>
      </w:r>
    </w:p>
    <w:p w:rsidR="00F30DBF" w:rsidRPr="00663C50" w:rsidRDefault="00F30DBF" w:rsidP="007F0ADB">
      <w:pPr>
        <w:pStyle w:val="ae"/>
        <w:numPr>
          <w:ilvl w:val="0"/>
          <w:numId w:val="11"/>
        </w:numPr>
        <w:spacing w:before="0" w:after="0" w:line="380" w:lineRule="exact"/>
        <w:ind w:left="721" w:hanging="437"/>
        <w:rPr>
          <w:rFonts w:ascii="Times New Roman"/>
        </w:rPr>
      </w:pPr>
      <w:r w:rsidRPr="00663C50">
        <w:rPr>
          <w:rFonts w:ascii="Times New Roman"/>
        </w:rPr>
        <w:t>管理框架；</w:t>
      </w:r>
    </w:p>
    <w:p w:rsidR="00F30DBF" w:rsidRPr="00663C50" w:rsidRDefault="00F30DBF" w:rsidP="007F0ADB">
      <w:pPr>
        <w:pStyle w:val="ae"/>
        <w:numPr>
          <w:ilvl w:val="0"/>
          <w:numId w:val="11"/>
        </w:numPr>
        <w:spacing w:before="0" w:after="0" w:line="380" w:lineRule="exact"/>
        <w:ind w:left="721" w:hanging="437"/>
        <w:rPr>
          <w:rFonts w:ascii="Times New Roman"/>
        </w:rPr>
      </w:pPr>
      <w:r w:rsidRPr="00663C50">
        <w:rPr>
          <w:rFonts w:ascii="Times New Roman"/>
        </w:rPr>
        <w:t>环境可持续型水产养殖业；</w:t>
      </w:r>
    </w:p>
    <w:p w:rsidR="00F30DBF" w:rsidRPr="00663C50" w:rsidRDefault="00F30DBF" w:rsidP="007F0ADB">
      <w:pPr>
        <w:pStyle w:val="ae"/>
        <w:numPr>
          <w:ilvl w:val="0"/>
          <w:numId w:val="11"/>
        </w:numPr>
        <w:spacing w:before="0" w:after="0" w:line="380" w:lineRule="exact"/>
        <w:ind w:left="721" w:hanging="437"/>
        <w:rPr>
          <w:rFonts w:ascii="Times New Roman"/>
        </w:rPr>
      </w:pPr>
      <w:r w:rsidRPr="00663C50">
        <w:rPr>
          <w:rFonts w:ascii="Times New Roman"/>
        </w:rPr>
        <w:t>经济发展；</w:t>
      </w:r>
    </w:p>
    <w:p w:rsidR="00F30DBF" w:rsidRPr="00663C50" w:rsidRDefault="00F30DBF" w:rsidP="007F0ADB">
      <w:pPr>
        <w:pStyle w:val="ae"/>
        <w:numPr>
          <w:ilvl w:val="0"/>
          <w:numId w:val="11"/>
        </w:numPr>
        <w:spacing w:before="0" w:line="380" w:lineRule="exact"/>
        <w:ind w:left="721" w:hanging="437"/>
        <w:rPr>
          <w:rFonts w:ascii="Times New Roman"/>
        </w:rPr>
      </w:pPr>
      <w:r w:rsidRPr="00663C50">
        <w:rPr>
          <w:rFonts w:ascii="Times New Roman"/>
        </w:rPr>
        <w:t>生物安保。</w:t>
      </w:r>
    </w:p>
    <w:p w:rsidR="00F30DBF" w:rsidRPr="00F30DBF" w:rsidRDefault="00F30DBF" w:rsidP="007F0ADB">
      <w:pPr>
        <w:pStyle w:val="NewPara"/>
        <w:widowControl w:val="0"/>
        <w:numPr>
          <w:ilvl w:val="0"/>
          <w:numId w:val="8"/>
        </w:numPr>
        <w:tabs>
          <w:tab w:val="clear" w:pos="709"/>
        </w:tabs>
        <w:spacing w:before="60" w:after="120" w:line="380" w:lineRule="exact"/>
        <w:ind w:left="0" w:firstLine="0"/>
        <w:jc w:val="both"/>
        <w:rPr>
          <w:rFonts w:ascii="Times New Roman" w:hAnsi="Times New Roman"/>
          <w:b w:val="0"/>
          <w:spacing w:val="8"/>
          <w:kern w:val="2"/>
        </w:rPr>
      </w:pPr>
      <w:r w:rsidRPr="00F30DBF">
        <w:rPr>
          <w:rFonts w:ascii="Times New Roman" w:hAnsi="Times New Roman"/>
          <w:b w:val="0"/>
          <w:spacing w:val="8"/>
          <w:kern w:val="2"/>
        </w:rPr>
        <w:t>某些问题在某个区域或分区域更加着重提出，但多数问题对于北美水产养殖业发展的重要性都比较一致。</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研究与开发；建立可持续的水产养殖业需要行业、政府机构和其他供资伙伴合力开展研发活动。研发活动主要是增强研究能力，既包括人力资源也包括基础设施。多项研发目标已被确定为重点领域，旨在完善科学能力和知识，更好地</w:t>
      </w:r>
      <w:r w:rsidRPr="007F0ADB">
        <w:rPr>
          <w:rFonts w:ascii="Times New Roman" w:hAnsi="Times New Roman"/>
          <w:b w:val="0"/>
          <w:spacing w:val="4"/>
          <w:kern w:val="2"/>
        </w:rPr>
        <w:t>为政府和行业提供建议和参考。研究侧重</w:t>
      </w:r>
      <w:r w:rsidRPr="007F0ADB">
        <w:rPr>
          <w:rFonts w:ascii="Times New Roman" w:hAnsi="Times New Roman"/>
          <w:b w:val="0"/>
          <w:spacing w:val="4"/>
          <w:kern w:val="2"/>
        </w:rPr>
        <w:t>3</w:t>
      </w:r>
      <w:r w:rsidRPr="007F0ADB">
        <w:rPr>
          <w:rFonts w:ascii="Times New Roman" w:hAnsi="Times New Roman"/>
          <w:b w:val="0"/>
          <w:spacing w:val="4"/>
          <w:kern w:val="2"/>
        </w:rPr>
        <w:t>个主要问题：</w:t>
      </w:r>
      <w:r w:rsidRPr="007F0ADB">
        <w:rPr>
          <w:rFonts w:ascii="Times New Roman" w:hAnsi="Times New Roman"/>
          <w:b w:val="0"/>
          <w:spacing w:val="4"/>
          <w:kern w:val="2"/>
        </w:rPr>
        <w:t>1</w:t>
      </w:r>
      <w:r w:rsidRPr="007F0ADB">
        <w:rPr>
          <w:rFonts w:ascii="Times New Roman" w:hAnsi="Times New Roman" w:hint="eastAsia"/>
          <w:b w:val="0"/>
          <w:spacing w:val="4"/>
          <w:kern w:val="2"/>
        </w:rPr>
        <w:t xml:space="preserve">) </w:t>
      </w:r>
      <w:r w:rsidRPr="007F0ADB">
        <w:rPr>
          <w:rFonts w:ascii="Times New Roman" w:hAnsi="Times New Roman"/>
          <w:b w:val="0"/>
          <w:spacing w:val="4"/>
          <w:kern w:val="2"/>
        </w:rPr>
        <w:t>完善当前做法和投入；</w:t>
      </w:r>
      <w:r w:rsidRPr="00F30DBF">
        <w:rPr>
          <w:rFonts w:ascii="Times New Roman" w:hAnsi="Times New Roman"/>
          <w:b w:val="0"/>
          <w:spacing w:val="8"/>
          <w:kern w:val="2"/>
        </w:rPr>
        <w:t>2</w:t>
      </w:r>
      <w:r w:rsidRPr="00F30DBF">
        <w:rPr>
          <w:rFonts w:ascii="Times New Roman" w:hAnsi="Times New Roman" w:hint="eastAsia"/>
          <w:b w:val="0"/>
          <w:spacing w:val="8"/>
          <w:kern w:val="2"/>
        </w:rPr>
        <w:t xml:space="preserve">) </w:t>
      </w:r>
      <w:r w:rsidRPr="00F30DBF">
        <w:rPr>
          <w:rFonts w:ascii="Times New Roman" w:hAnsi="Times New Roman"/>
          <w:b w:val="0"/>
          <w:spacing w:val="8"/>
          <w:kern w:val="2"/>
        </w:rPr>
        <w:t>开发新的技术、方法或投入品；</w:t>
      </w:r>
      <w:r w:rsidRPr="00F30DBF">
        <w:rPr>
          <w:rFonts w:ascii="Times New Roman" w:hAnsi="Times New Roman"/>
          <w:b w:val="0"/>
          <w:spacing w:val="8"/>
          <w:kern w:val="2"/>
        </w:rPr>
        <w:t>3</w:t>
      </w:r>
      <w:r w:rsidRPr="00F30DBF">
        <w:rPr>
          <w:rFonts w:ascii="Times New Roman" w:hAnsi="Times New Roman" w:hint="eastAsia"/>
          <w:b w:val="0"/>
          <w:spacing w:val="8"/>
          <w:kern w:val="2"/>
        </w:rPr>
        <w:t xml:space="preserve">) </w:t>
      </w:r>
      <w:r w:rsidRPr="00F30DBF">
        <w:rPr>
          <w:rFonts w:ascii="Times New Roman" w:hAnsi="Times New Roman"/>
          <w:b w:val="0"/>
          <w:spacing w:val="8"/>
          <w:kern w:val="2"/>
        </w:rPr>
        <w:t>调查水产养殖生产的潜在环境影响。研究</w:t>
      </w:r>
      <w:r w:rsidRPr="004766AB">
        <w:rPr>
          <w:rFonts w:ascii="Times New Roman" w:hAnsi="Times New Roman"/>
          <w:b w:val="0"/>
          <w:spacing w:val="6"/>
          <w:kern w:val="2"/>
        </w:rPr>
        <w:t>成果包括可持续水生饲料、孵化种群遗传性状以及最佳管理做法的概要。新技术的</w:t>
      </w:r>
      <w:r w:rsidRPr="00F30DBF">
        <w:rPr>
          <w:rFonts w:ascii="Times New Roman" w:hAnsi="Times New Roman"/>
          <w:b w:val="0"/>
          <w:spacing w:val="8"/>
          <w:kern w:val="2"/>
        </w:rPr>
        <w:t>探索包括替代生产系统（如综合多营养水产养殖、再循环水产养殖系统），以及评估这些技术和其他</w:t>
      </w:r>
      <w:r w:rsidRPr="00F30DBF">
        <w:rPr>
          <w:rFonts w:ascii="Times New Roman" w:hAnsi="Times New Roman" w:hint="eastAsia"/>
          <w:b w:val="0"/>
          <w:spacing w:val="8"/>
          <w:kern w:val="2"/>
        </w:rPr>
        <w:t>可能</w:t>
      </w:r>
      <w:r w:rsidRPr="00F30DBF">
        <w:rPr>
          <w:rFonts w:ascii="Times New Roman" w:hAnsi="Times New Roman"/>
          <w:b w:val="0"/>
          <w:spacing w:val="8"/>
          <w:kern w:val="2"/>
        </w:rPr>
        <w:t>生产品种商业可行性的试点项目。了解环境影响对于让研究推动改进和新的发展以及支持规定和政策制定非常重要。</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管理框架；水产养殖业在加拿大和美国实行共同管理。联邦和省</w:t>
      </w:r>
      <w:r w:rsidRPr="00F30DBF">
        <w:rPr>
          <w:rFonts w:ascii="Times New Roman" w:hAnsi="Times New Roman"/>
          <w:b w:val="0"/>
          <w:spacing w:val="8"/>
          <w:kern w:val="2"/>
        </w:rPr>
        <w:t>/</w:t>
      </w:r>
      <w:r w:rsidRPr="00F30DBF">
        <w:rPr>
          <w:rFonts w:ascii="Times New Roman" w:hAnsi="Times New Roman"/>
          <w:b w:val="0"/>
          <w:spacing w:val="8"/>
          <w:kern w:val="2"/>
        </w:rPr>
        <w:t>州政府将与行业和其他利益相关方一起应对管理挑战。管理方面的优先重点旨在提高水产养殖管理框架的效率和效果，既包括环境可持续性，也包括去除多余的阻碍。当前的水产养殖规定要根据详实的科学信息加以审查、简化和更新，以期改进环境结果和治理适当性。北美区域提出的另一个优先重点是简化当前规定或建立综合计划，特别是在由多个机构或计划进行监督的情况下。</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环境可持续性：环境可持续型水产养殖业通过一系列机制加以保障。最为普遍的期望结果是保护野生物种和环境的健康和状况。为实现这一目标，多个战略领域和行动都被提上优先日程，包括社会许可和报告以及基于地区的管理。规定的遵守和实施情况可通过环境</w:t>
      </w:r>
      <w:r w:rsidRPr="00F30DBF">
        <w:rPr>
          <w:rFonts w:ascii="Times New Roman" w:hAnsi="Times New Roman"/>
          <w:b w:val="0"/>
          <w:spacing w:val="8"/>
          <w:kern w:val="2"/>
        </w:rPr>
        <w:t>/</w:t>
      </w:r>
      <w:r w:rsidRPr="00F30DBF">
        <w:rPr>
          <w:rFonts w:ascii="Times New Roman" w:hAnsi="Times New Roman"/>
          <w:b w:val="0"/>
          <w:spacing w:val="8"/>
          <w:kern w:val="2"/>
        </w:rPr>
        <w:t>经营和社会经济绩效方面的报告进行核查。公开透明的报告为更加有意义的利益相关方</w:t>
      </w:r>
      <w:r w:rsidRPr="00F30DBF">
        <w:rPr>
          <w:rFonts w:ascii="Times New Roman" w:hAnsi="Times New Roman" w:hint="eastAsia"/>
          <w:b w:val="0"/>
          <w:spacing w:val="8"/>
          <w:kern w:val="2"/>
        </w:rPr>
        <w:t>参与</w:t>
      </w:r>
      <w:r w:rsidRPr="00F30DBF">
        <w:rPr>
          <w:rFonts w:ascii="Times New Roman" w:hAnsi="Times New Roman"/>
          <w:b w:val="0"/>
          <w:spacing w:val="8"/>
          <w:kern w:val="2"/>
        </w:rPr>
        <w:t>以及合作规划提供了契机。基于地区的管理是一种生态系统方法，包括鱼类健康、水生外来入侵物种防控以及遗传学方面的考虑。基于地区的管理主要是一个地区内现有和新建养殖场的管理方式，包括申请评价、监督考虑、海洋空间规划，也可能考虑其他的潜在使用者。</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经济发展：北美的水产养殖业是一个正在走向成熟的行业，经济增长和发展势头良好，是发展的重中之重。扫清增长阻碍需要公立和私营部门通力合作，共同增加就业，为国内和国际市场提供更多的美国产品。能力建设机制包括建设主要的基础设施和支持结构，满足水产养殖业的发展和经营需要。生产者往往很难获得有保障的融资，减少这些挑战需要促进广泛采纳最佳管理做法，实施比较和认证计划，出台销售举措，减少贸易壁垒，并且审查传统融资相关的局限，以期推动养殖者获得水产养殖的资本和孵化种群保险，从而改进风险管理，更好地获得融资。缺少公共支持，机构间以及与其他利益相关方缺少合作，都可能会进一步阻碍发展。旨在加强公共支持的战略行动包括与本地社区的沟通和让本地社区参与，以及制定外联教育计划。提供并支持政府机构、研究机构、私营企业、社会和其他公共组织之间的合作机会能够促进知识与技术的创新和转让。发展水产养殖业创造出的就业机会需要有熟练的劳动力填补空缺，因此增设培训和技能开发计划也被视作重点工作。</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生</w:t>
      </w:r>
      <w:r w:rsidRPr="001616DC">
        <w:rPr>
          <w:rFonts w:ascii="Times New Roman" w:hAnsi="Times New Roman"/>
          <w:b w:val="0"/>
          <w:spacing w:val="6"/>
          <w:kern w:val="2"/>
        </w:rPr>
        <w:t>物安保：改进生物安保管理与环境可持续型水产养殖业的发展密切相关。</w:t>
      </w:r>
      <w:r w:rsidRPr="003D15E0">
        <w:rPr>
          <w:rFonts w:ascii="Times New Roman" w:hAnsi="Times New Roman"/>
          <w:b w:val="0"/>
          <w:spacing w:val="6"/>
          <w:kern w:val="2"/>
        </w:rPr>
        <w:t>很多水产养殖生产系统都对周边的生态系统开放（或半开放），外来或本地致病菌或物种可能扩散到系统之外。鱼类和贝类综合健康计划包括法定的疫情通报制度、</w:t>
      </w:r>
      <w:r w:rsidRPr="00F30DBF">
        <w:rPr>
          <w:rFonts w:ascii="Times New Roman" w:hAnsi="Times New Roman"/>
          <w:b w:val="0"/>
          <w:spacing w:val="8"/>
          <w:kern w:val="2"/>
        </w:rPr>
        <w:t>疫病暴发紧急响应、进口控制、分区和活体动物转移控制，能够预防</w:t>
      </w:r>
      <w:r w:rsidRPr="00F30DBF">
        <w:rPr>
          <w:rFonts w:ascii="Times New Roman" w:hAnsi="Times New Roman" w:hint="eastAsia"/>
          <w:b w:val="0"/>
          <w:spacing w:val="8"/>
          <w:kern w:val="2"/>
        </w:rPr>
        <w:t>致病菌</w:t>
      </w:r>
      <w:r w:rsidRPr="00F30DBF">
        <w:rPr>
          <w:rFonts w:ascii="Times New Roman" w:hAnsi="Times New Roman"/>
          <w:b w:val="0"/>
          <w:spacing w:val="8"/>
          <w:kern w:val="2"/>
        </w:rPr>
        <w:t>在养殖场内传播或传播到野生种群中。活体动物转移控制和分区也是预防外来入侵物种的重要内容，需要进行管理，预防现有种群的进一步扩散。预防逃逸的管理和生产方法对于避免逃逸非常重要；预防失败的情况下，响应机制会发挥作用，进一步保障系统的有效性。</w:t>
      </w:r>
    </w:p>
    <w:p w:rsidR="00F30DBF" w:rsidRPr="00F30DBF" w:rsidRDefault="00F30DBF" w:rsidP="00FF7829">
      <w:pPr>
        <w:pStyle w:val="1"/>
      </w:pPr>
      <w:r w:rsidRPr="00F30DBF">
        <w:t>撒哈拉以南非洲地区</w:t>
      </w:r>
    </w:p>
    <w:p w:rsidR="00F30DBF" w:rsidRPr="00F30DBF" w:rsidRDefault="002267D7"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Pr>
          <w:rFonts w:ascii="Times New Roman" w:hAnsi="Times New Roman" w:hint="eastAsia"/>
          <w:b w:val="0"/>
          <w:spacing w:val="8"/>
          <w:kern w:val="2"/>
        </w:rPr>
        <w:t>以</w:t>
      </w:r>
      <w:r w:rsidR="00F30DBF" w:rsidRPr="00F30DBF">
        <w:rPr>
          <w:rFonts w:ascii="Times New Roman" w:hAnsi="Times New Roman"/>
          <w:b w:val="0"/>
          <w:spacing w:val="8"/>
          <w:kern w:val="2"/>
        </w:rPr>
        <w:t>下概要是根据非洲大陆高级技术和科学专家的</w:t>
      </w:r>
      <w:r w:rsidR="00F30DBF" w:rsidRPr="00F30DBF">
        <w:rPr>
          <w:rFonts w:ascii="Times New Roman" w:hAnsi="Times New Roman" w:hint="eastAsia"/>
          <w:b w:val="0"/>
          <w:spacing w:val="8"/>
          <w:kern w:val="2"/>
        </w:rPr>
        <w:t>记录</w:t>
      </w:r>
      <w:r w:rsidR="00F30DBF" w:rsidRPr="00F30DBF">
        <w:rPr>
          <w:rFonts w:ascii="Times New Roman" w:hAnsi="Times New Roman"/>
          <w:b w:val="0"/>
          <w:spacing w:val="8"/>
          <w:kern w:val="2"/>
        </w:rPr>
        <w:t>证据，以及近期召开的高级别政策制定者会议记录整理得出，包括非洲联盟非洲渔业及水产养殖部长会议、非洲内陆渔业及水产养殖委员会以及粮农组织非洲区域会议。</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注意到水产养殖在很多方面的潜力仍未充分发挥，包括消除饥饿，实现粮食和营养安全，创造体面就业机会（特别是针对农村女性和青年），改善生计和财富状况，以及推动非洲实现联合国千年发展目标。他们进一步表示，非洲水产养殖业的可持续发展受制于多个因素，主要包括：水产养殖业投资匮乏，包括研究、技术、生产和市场基础设施；管理和操作层面都缺乏也难以留住技能</w:t>
      </w:r>
      <w:r w:rsidRPr="00F30DBF">
        <w:rPr>
          <w:rFonts w:ascii="Times New Roman" w:hAnsi="Times New Roman" w:hint="eastAsia"/>
          <w:b w:val="0"/>
          <w:spacing w:val="8"/>
          <w:kern w:val="2"/>
        </w:rPr>
        <w:t>熟练</w:t>
      </w:r>
      <w:r w:rsidRPr="00F30DBF">
        <w:rPr>
          <w:rFonts w:ascii="Times New Roman" w:hAnsi="Times New Roman"/>
          <w:b w:val="0"/>
          <w:spacing w:val="8"/>
          <w:kern w:val="2"/>
        </w:rPr>
        <w:t>的人力资本；技术和推广服务效率不高；无法持续获得可靠、优质、经济有效的鱼苗和饲料；行业政策导向错误</w:t>
      </w:r>
      <w:r w:rsidR="005B147E">
        <w:rPr>
          <w:rFonts w:ascii="Times New Roman" w:hAnsi="Times New Roman"/>
          <w:b w:val="0"/>
          <w:spacing w:val="8"/>
          <w:kern w:val="2"/>
        </w:rPr>
        <w:t>－</w:t>
      </w:r>
      <w:r w:rsidRPr="00F30DBF">
        <w:rPr>
          <w:rFonts w:ascii="Times New Roman" w:hAnsi="Times New Roman"/>
          <w:b w:val="0"/>
          <w:spacing w:val="8"/>
          <w:kern w:val="2"/>
        </w:rPr>
        <w:t>很多国家长期以来的政策导向一直是发展生计型水产养殖业；女性和青年在水产养殖业的经济活动中参与不足，且获得生产资源和服务的渠道有限；强调要抑制气候变化带来的威胁。</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为发展整个非洲大陆的水产养殖业，提出以下优先重点行动：</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支持投资：设立非洲</w:t>
      </w:r>
      <w:r w:rsidRPr="00F30DBF">
        <w:rPr>
          <w:rFonts w:ascii="Times New Roman" w:hAnsi="Times New Roman" w:hint="eastAsia"/>
          <w:b w:val="0"/>
          <w:spacing w:val="8"/>
          <w:kern w:val="2"/>
        </w:rPr>
        <w:t>水产</w:t>
      </w:r>
      <w:r w:rsidRPr="00F30DBF">
        <w:rPr>
          <w:rFonts w:ascii="Times New Roman" w:hAnsi="Times New Roman"/>
          <w:b w:val="0"/>
          <w:spacing w:val="8"/>
          <w:kern w:val="2"/>
        </w:rPr>
        <w:t>养殖投资基金，加速行业发展，特别是要支持对</w:t>
      </w:r>
      <w:r w:rsidRPr="00B45EAF">
        <w:rPr>
          <w:rFonts w:ascii="Times New Roman" w:hAnsi="Times New Roman"/>
          <w:b w:val="0"/>
          <w:spacing w:val="6"/>
          <w:kern w:val="2"/>
        </w:rPr>
        <w:t>中小规模水产企业进行投资，确保其适度、稳定地获得信贷。制定实施政策、战略</w:t>
      </w:r>
      <w:r w:rsidRPr="00B45EAF">
        <w:rPr>
          <w:rFonts w:ascii="Times New Roman" w:hAnsi="Times New Roman"/>
          <w:b w:val="0"/>
          <w:spacing w:val="4"/>
          <w:kern w:val="2"/>
        </w:rPr>
        <w:t>和计划，加速、推广和支持以商业为导向</w:t>
      </w:r>
      <w:r w:rsidRPr="00B45EAF">
        <w:rPr>
          <w:rFonts w:ascii="Times New Roman" w:hAnsi="Times New Roman"/>
          <w:b w:val="0"/>
          <w:spacing w:val="4"/>
          <w:kern w:val="2"/>
        </w:rPr>
        <w:t>/</w:t>
      </w:r>
      <w:r w:rsidRPr="00B45EAF">
        <w:rPr>
          <w:rFonts w:ascii="Times New Roman" w:hAnsi="Times New Roman"/>
          <w:b w:val="0"/>
          <w:spacing w:val="4"/>
          <w:kern w:val="2"/>
        </w:rPr>
        <w:t>商业化和市场化的营利性、竞争性、体现</w:t>
      </w:r>
      <w:r w:rsidRPr="00F30DBF">
        <w:rPr>
          <w:rFonts w:ascii="Times New Roman" w:hAnsi="Times New Roman"/>
          <w:b w:val="0"/>
          <w:spacing w:val="8"/>
          <w:kern w:val="2"/>
        </w:rPr>
        <w:t>社会公平和环境友好型</w:t>
      </w:r>
      <w:r w:rsidRPr="00F30DBF">
        <w:rPr>
          <w:rFonts w:ascii="Times New Roman" w:hAnsi="Times New Roman" w:hint="eastAsia"/>
          <w:b w:val="0"/>
          <w:spacing w:val="8"/>
          <w:kern w:val="2"/>
        </w:rPr>
        <w:t>水产养殖业</w:t>
      </w:r>
      <w:r w:rsidRPr="00F30DBF">
        <w:rPr>
          <w:rFonts w:ascii="Times New Roman" w:hAnsi="Times New Roman"/>
          <w:b w:val="0"/>
          <w:spacing w:val="8"/>
          <w:kern w:val="2"/>
        </w:rPr>
        <w:t>，保障粮食和营养安全，提供体面就业（特别是面向青年和女性），推动公平的经济增长。</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简</w:t>
      </w:r>
      <w:r w:rsidRPr="00B45EAF">
        <w:rPr>
          <w:rFonts w:ascii="Times New Roman" w:hAnsi="Times New Roman"/>
          <w:b w:val="0"/>
          <w:spacing w:val="6"/>
          <w:kern w:val="2"/>
        </w:rPr>
        <w:t>化政策和治理：建立实施国家和国际一体化的水产养殖治理与政策框架，将水产养殖政策、战略和计划纳入国家发展计划，特别是非洲农业综合发展计划，</w:t>
      </w:r>
      <w:r w:rsidRPr="00C37A8E">
        <w:rPr>
          <w:rFonts w:ascii="Times New Roman" w:hAnsi="Times New Roman"/>
          <w:b w:val="0"/>
          <w:spacing w:val="4"/>
          <w:kern w:val="2"/>
        </w:rPr>
        <w:t>通过南南合作</w:t>
      </w:r>
      <w:r w:rsidRPr="00C37A8E">
        <w:rPr>
          <w:rFonts w:ascii="Times New Roman" w:hAnsi="Times New Roman"/>
          <w:b w:val="0"/>
          <w:spacing w:val="4"/>
          <w:kern w:val="2"/>
        </w:rPr>
        <w:t>/</w:t>
      </w:r>
      <w:r w:rsidRPr="00C37A8E">
        <w:rPr>
          <w:rFonts w:ascii="Times New Roman" w:hAnsi="Times New Roman"/>
          <w:b w:val="0"/>
          <w:spacing w:val="4"/>
          <w:kern w:val="2"/>
        </w:rPr>
        <w:t>南北合作等制度和各种支持机制鼓励在区域和国际层面上就水产养殖</w:t>
      </w:r>
      <w:r w:rsidRPr="00F30DBF">
        <w:rPr>
          <w:rFonts w:ascii="Times New Roman" w:hAnsi="Times New Roman"/>
          <w:b w:val="0"/>
          <w:spacing w:val="8"/>
          <w:kern w:val="2"/>
        </w:rPr>
        <w:t>的很多领域开展战略合作，推动区域水产养殖机构重振活力并</w:t>
      </w:r>
      <w:r w:rsidRPr="00F30DBF">
        <w:rPr>
          <w:rFonts w:ascii="Times New Roman" w:hAnsi="Times New Roman"/>
          <w:b w:val="0"/>
          <w:spacing w:val="8"/>
          <w:kern w:val="2"/>
        </w:rPr>
        <w:t>/</w:t>
      </w:r>
      <w:r w:rsidRPr="00F30DBF">
        <w:rPr>
          <w:rFonts w:ascii="Times New Roman" w:hAnsi="Times New Roman"/>
          <w:b w:val="0"/>
          <w:spacing w:val="8"/>
          <w:kern w:val="2"/>
        </w:rPr>
        <w:t>或得以强化，包括非洲水产养殖网络以及非洲内陆渔业及水产养殖委员会。</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强化人员能力：成立非洲水产养殖卓越中心，通过区域间和区域内合作（特别是南南合作制度）加强各国在水产养殖业可持续发展方面的人员和研究能力，在非洲开发推广更好的水产养殖技术和做法，特别是撒哈拉以南非洲地区。</w:t>
      </w:r>
    </w:p>
    <w:p w:rsidR="00F30DBF" w:rsidRPr="00F30DBF" w:rsidRDefault="00F30DBF" w:rsidP="00D419DB">
      <w:pPr>
        <w:pStyle w:val="NewPara"/>
        <w:widowControl w:val="0"/>
        <w:numPr>
          <w:ilvl w:val="0"/>
          <w:numId w:val="8"/>
        </w:numPr>
        <w:tabs>
          <w:tab w:val="clear" w:pos="709"/>
        </w:tabs>
        <w:spacing w:before="60" w:after="120" w:line="380" w:lineRule="exact"/>
        <w:ind w:left="0" w:firstLine="0"/>
        <w:jc w:val="both"/>
        <w:rPr>
          <w:rFonts w:ascii="Times New Roman" w:hAnsi="Times New Roman"/>
          <w:b w:val="0"/>
          <w:spacing w:val="8"/>
          <w:kern w:val="2"/>
        </w:rPr>
      </w:pPr>
      <w:r w:rsidRPr="00F30DBF">
        <w:rPr>
          <w:rFonts w:ascii="Times New Roman" w:hAnsi="Times New Roman"/>
          <w:b w:val="0"/>
          <w:spacing w:val="8"/>
          <w:kern w:val="2"/>
        </w:rPr>
        <w:t>减缓气候变化影响：建立非洲水产养殖气候变化网络，倡导水产养殖领域的气候变化</w:t>
      </w:r>
      <w:r w:rsidRPr="00F30DBF">
        <w:rPr>
          <w:rFonts w:ascii="Times New Roman" w:hAnsi="Times New Roman" w:hint="eastAsia"/>
          <w:b w:val="0"/>
          <w:spacing w:val="8"/>
          <w:kern w:val="2"/>
        </w:rPr>
        <w:t>议程</w:t>
      </w:r>
      <w:r w:rsidRPr="00F30DBF">
        <w:rPr>
          <w:rFonts w:ascii="Times New Roman" w:hAnsi="Times New Roman"/>
          <w:b w:val="0"/>
          <w:spacing w:val="8"/>
          <w:kern w:val="2"/>
        </w:rPr>
        <w:t>，减少气候变化对水产养殖业的影响；为气候变化数据生产、分析和使用的相关基础设施提供充足的资金；推动气候变化方面的能力建设，包括经济赋权；让青年充分参与气候变化宣传活动，因为他们是非洲人口的生力军。</w:t>
      </w:r>
    </w:p>
    <w:p w:rsidR="00F30DBF" w:rsidRPr="00F30DBF" w:rsidRDefault="00F30DBF" w:rsidP="00D419DB">
      <w:pPr>
        <w:pStyle w:val="NewPara"/>
        <w:widowControl w:val="0"/>
        <w:numPr>
          <w:ilvl w:val="0"/>
          <w:numId w:val="8"/>
        </w:numPr>
        <w:tabs>
          <w:tab w:val="clear" w:pos="709"/>
        </w:tabs>
        <w:spacing w:before="60" w:after="120" w:line="380" w:lineRule="exact"/>
        <w:ind w:left="0" w:firstLine="0"/>
        <w:jc w:val="both"/>
        <w:rPr>
          <w:rFonts w:ascii="Times New Roman" w:hAnsi="Times New Roman"/>
          <w:b w:val="0"/>
          <w:spacing w:val="8"/>
          <w:kern w:val="2"/>
        </w:rPr>
      </w:pPr>
      <w:r w:rsidRPr="00F30DBF">
        <w:rPr>
          <w:rFonts w:ascii="Times New Roman" w:hAnsi="Times New Roman"/>
          <w:b w:val="0"/>
          <w:spacing w:val="8"/>
          <w:kern w:val="2"/>
        </w:rPr>
        <w:t>支持性别平等，为青年提供机会：在水产养殖计划中开发实施性别平等和青年主流化活动，消除各种形式的性别歧视；支持女性和青年全面平等地参与水产养殖业，包括与业内其他劳动力实现同工同酬，平等参与人力资本开发活动；确保所有女性和青年，特别是贫困和脆弱人群，都有均等的权利获得经济资源、基础服务，能够拥有包括土地在内的自然资源，以及获得适当的新技术、金融服务、投入品，并能在产品市场上打开销路。</w:t>
      </w:r>
    </w:p>
    <w:p w:rsidR="00F30DBF" w:rsidRPr="00F30DBF" w:rsidRDefault="00F30DBF" w:rsidP="00FF7829">
      <w:pPr>
        <w:pStyle w:val="NewPara"/>
        <w:widowControl w:val="0"/>
        <w:tabs>
          <w:tab w:val="clear" w:pos="709"/>
        </w:tabs>
        <w:spacing w:before="60" w:after="120" w:line="400" w:lineRule="exact"/>
        <w:ind w:firstLine="720"/>
        <w:jc w:val="both"/>
        <w:rPr>
          <w:rFonts w:ascii="Times New Roman" w:hAnsi="Times New Roman"/>
          <w:b w:val="0"/>
          <w:spacing w:val="8"/>
          <w:kern w:val="2"/>
        </w:rPr>
      </w:pPr>
      <w:r w:rsidRPr="00F30DBF">
        <w:rPr>
          <w:rFonts w:ascii="Times New Roman" w:hAnsi="Times New Roman"/>
          <w:b w:val="0"/>
          <w:spacing w:val="8"/>
          <w:kern w:val="2"/>
        </w:rPr>
        <w:t>共同重点领域：</w:t>
      </w:r>
    </w:p>
    <w:p w:rsidR="00F30DBF" w:rsidRPr="00F30DBF" w:rsidRDefault="00F30DBF" w:rsidP="00F30DBF">
      <w:pPr>
        <w:pStyle w:val="NewPara"/>
        <w:widowControl w:val="0"/>
        <w:numPr>
          <w:ilvl w:val="0"/>
          <w:numId w:val="8"/>
        </w:numPr>
        <w:tabs>
          <w:tab w:val="clear" w:pos="709"/>
        </w:tabs>
        <w:spacing w:before="60" w:after="120" w:line="400" w:lineRule="exact"/>
        <w:ind w:left="0" w:firstLine="0"/>
        <w:jc w:val="both"/>
        <w:rPr>
          <w:rFonts w:ascii="Times New Roman" w:hAnsi="Times New Roman"/>
          <w:b w:val="0"/>
          <w:spacing w:val="8"/>
          <w:kern w:val="2"/>
        </w:rPr>
      </w:pPr>
      <w:r w:rsidRPr="00F30DBF">
        <w:rPr>
          <w:rFonts w:ascii="Times New Roman" w:hAnsi="Times New Roman"/>
          <w:b w:val="0"/>
          <w:spacing w:val="8"/>
          <w:kern w:val="2"/>
        </w:rPr>
        <w:t>总</w:t>
      </w:r>
      <w:r w:rsidRPr="00D037AD">
        <w:rPr>
          <w:rFonts w:ascii="Times New Roman" w:hAnsi="Times New Roman"/>
          <w:b w:val="0"/>
          <w:spacing w:val="3"/>
          <w:kern w:val="2"/>
        </w:rPr>
        <w:t>的来说，区域优先重点都落在下表梳理的几大类别中。</w:t>
      </w:r>
      <w:r w:rsidRPr="00D037AD">
        <w:rPr>
          <w:rFonts w:ascii="Times New Roman" w:hAnsi="Times New Roman" w:hint="eastAsia"/>
          <w:b w:val="0"/>
          <w:spacing w:val="3"/>
          <w:kern w:val="2"/>
        </w:rPr>
        <w:t>各个</w:t>
      </w:r>
      <w:r w:rsidRPr="00D037AD">
        <w:rPr>
          <w:rFonts w:ascii="Times New Roman" w:hAnsi="Times New Roman"/>
          <w:b w:val="0"/>
          <w:spacing w:val="3"/>
          <w:kern w:val="2"/>
        </w:rPr>
        <w:t>区域都非常重视</w:t>
      </w:r>
      <w:r w:rsidRPr="00F30DBF">
        <w:rPr>
          <w:rFonts w:ascii="Times New Roman" w:hAnsi="Times New Roman"/>
          <w:b w:val="0"/>
          <w:spacing w:val="8"/>
          <w:kern w:val="2"/>
        </w:rPr>
        <w:t>实施更好的治理，包括规范、许可、投资政策和土地权属。改进行政管理是其他</w:t>
      </w:r>
      <w:r w:rsidRPr="00D037AD">
        <w:rPr>
          <w:rFonts w:ascii="Times New Roman" w:hAnsi="Times New Roman"/>
          <w:b w:val="0"/>
          <w:spacing w:val="6"/>
          <w:kern w:val="2"/>
        </w:rPr>
        <w:t>优先重点的支撑。另外，</w:t>
      </w:r>
      <w:r w:rsidRPr="00D037AD">
        <w:rPr>
          <w:rFonts w:ascii="Times New Roman" w:hAnsi="Times New Roman" w:hint="eastAsia"/>
          <w:b w:val="0"/>
          <w:spacing w:val="6"/>
          <w:kern w:val="2"/>
        </w:rPr>
        <w:t>各个</w:t>
      </w:r>
      <w:r w:rsidRPr="00D037AD">
        <w:rPr>
          <w:rFonts w:ascii="Times New Roman" w:hAnsi="Times New Roman"/>
          <w:b w:val="0"/>
          <w:spacing w:val="6"/>
          <w:kern w:val="2"/>
        </w:rPr>
        <w:t>区域都非常重视经济和能力建设，通过强化价值链、</w:t>
      </w:r>
      <w:r w:rsidRPr="00F30DBF">
        <w:rPr>
          <w:rFonts w:ascii="Times New Roman" w:hAnsi="Times New Roman"/>
          <w:b w:val="0"/>
          <w:spacing w:val="8"/>
          <w:kern w:val="2"/>
        </w:rPr>
        <w:t>销售策略和投资机制，以及加强培训和技术转让，让经济和能力建设相互推动。五个区域都提出要增加新技术的研发活动，大体分为生产集约化和减少环境影响</w:t>
      </w:r>
      <w:r w:rsidRPr="00D037AD">
        <w:rPr>
          <w:rFonts w:ascii="Times New Roman" w:hAnsi="Times New Roman"/>
          <w:b w:val="0"/>
          <w:spacing w:val="6"/>
          <w:kern w:val="2"/>
        </w:rPr>
        <w:t>两类；另外还提出要减缓环境负面外部性的影响。四个区域高度重视开发减轻气候变化影响的方法和技术，包括水产养殖多元发展。社会保护的优先级别较高，包括性别平等、应用社会创新、青年机会以及体面公平就业。应对生物安保问题，包括</w:t>
      </w:r>
      <w:r w:rsidRPr="00F30DBF">
        <w:rPr>
          <w:rFonts w:ascii="Times New Roman" w:hAnsi="Times New Roman"/>
          <w:b w:val="0"/>
          <w:spacing w:val="8"/>
          <w:kern w:val="2"/>
        </w:rPr>
        <w:t>动物健康和外来入侵物种管理，也是所有区域的优先重点。改进投入品的获得，</w:t>
      </w:r>
      <w:r w:rsidRPr="00D037AD">
        <w:rPr>
          <w:rFonts w:ascii="Times New Roman" w:hAnsi="Times New Roman"/>
          <w:b w:val="0"/>
          <w:spacing w:val="6"/>
          <w:kern w:val="2"/>
        </w:rPr>
        <w:t>特别是高质量饲料和</w:t>
      </w:r>
      <w:r w:rsidRPr="00D037AD">
        <w:rPr>
          <w:rFonts w:ascii="Times New Roman" w:hAnsi="Times New Roman" w:hint="eastAsia"/>
          <w:b w:val="0"/>
          <w:spacing w:val="6"/>
          <w:kern w:val="2"/>
        </w:rPr>
        <w:t>鱼苗</w:t>
      </w:r>
      <w:r w:rsidRPr="00D037AD">
        <w:rPr>
          <w:rFonts w:ascii="Times New Roman" w:hAnsi="Times New Roman"/>
          <w:b w:val="0"/>
          <w:spacing w:val="6"/>
          <w:kern w:val="2"/>
        </w:rPr>
        <w:t>以及水资源，被三个区域作为优先重点提出。最后，几乎</w:t>
      </w:r>
      <w:r w:rsidRPr="00F30DBF">
        <w:rPr>
          <w:rFonts w:ascii="Times New Roman" w:hAnsi="Times New Roman"/>
          <w:b w:val="0"/>
          <w:spacing w:val="8"/>
          <w:kern w:val="2"/>
        </w:rPr>
        <w:t>所有的优先重点都会改善粮食安全状况并促进营养安全，但这两个目标仅在两个区域明确提出。</w:t>
      </w:r>
    </w:p>
    <w:p w:rsidR="00F30DBF" w:rsidRPr="00F30DBF" w:rsidRDefault="00F30DBF" w:rsidP="00D419DB">
      <w:pPr>
        <w:pStyle w:val="NewPara"/>
        <w:widowControl w:val="0"/>
        <w:numPr>
          <w:ilvl w:val="0"/>
          <w:numId w:val="8"/>
        </w:numPr>
        <w:tabs>
          <w:tab w:val="clear" w:pos="709"/>
        </w:tabs>
        <w:spacing w:before="60" w:after="120" w:line="380" w:lineRule="exact"/>
        <w:ind w:left="0" w:firstLine="0"/>
        <w:jc w:val="both"/>
        <w:rPr>
          <w:rFonts w:ascii="Times New Roman" w:hAnsi="Times New Roman"/>
          <w:b w:val="0"/>
          <w:spacing w:val="8"/>
          <w:kern w:val="2"/>
        </w:rPr>
      </w:pPr>
      <w:r w:rsidRPr="00F30DBF">
        <w:rPr>
          <w:rFonts w:ascii="Times New Roman" w:hAnsi="Times New Roman"/>
          <w:b w:val="0"/>
          <w:spacing w:val="8"/>
          <w:kern w:val="2"/>
        </w:rPr>
        <w:t>秘书处将优先重点类别与修订后全组织战略框架的战略目标做了一个初步的对应。渔业及水产养殖部将在制定《工作计划和预算》的过程中进一步完善这些类别，考虑到各战略目标下的组织结果和组织产出。这些类别还将与新的交付机制，如</w:t>
      </w:r>
      <w:r w:rsidR="009327F5">
        <w:rPr>
          <w:rFonts w:ascii="Times New Roman" w:hAnsi="Times New Roman" w:hint="eastAsia"/>
          <w:b w:val="0"/>
          <w:spacing w:val="8"/>
          <w:kern w:val="2"/>
        </w:rPr>
        <w:t>“</w:t>
      </w:r>
      <w:r w:rsidRPr="00F30DBF">
        <w:rPr>
          <w:rFonts w:ascii="Times New Roman" w:hAnsi="Times New Roman"/>
          <w:b w:val="0"/>
          <w:spacing w:val="8"/>
          <w:kern w:val="2"/>
        </w:rPr>
        <w:t>区域倡议</w:t>
      </w:r>
      <w:r w:rsidR="009327F5">
        <w:rPr>
          <w:rFonts w:ascii="Times New Roman" w:hAnsi="Times New Roman" w:hint="eastAsia"/>
          <w:b w:val="0"/>
          <w:spacing w:val="8"/>
          <w:kern w:val="2"/>
        </w:rPr>
        <w:t>”</w:t>
      </w:r>
      <w:r w:rsidRPr="00F30DBF">
        <w:rPr>
          <w:rFonts w:ascii="Times New Roman" w:hAnsi="Times New Roman"/>
          <w:b w:val="0"/>
          <w:spacing w:val="8"/>
          <w:kern w:val="2"/>
        </w:rPr>
        <w:t>和本组织</w:t>
      </w:r>
      <w:r w:rsidR="009327F5">
        <w:rPr>
          <w:rFonts w:ascii="Times New Roman" w:hAnsi="Times New Roman" w:hint="eastAsia"/>
          <w:b w:val="0"/>
          <w:spacing w:val="8"/>
          <w:kern w:val="2"/>
        </w:rPr>
        <w:t>“</w:t>
      </w:r>
      <w:r w:rsidRPr="00F30DBF">
        <w:rPr>
          <w:rFonts w:ascii="Times New Roman" w:hAnsi="Times New Roman"/>
          <w:b w:val="0"/>
          <w:spacing w:val="8"/>
          <w:kern w:val="2"/>
        </w:rPr>
        <w:t>主要工作领域</w:t>
      </w:r>
      <w:r w:rsidR="009327F5">
        <w:rPr>
          <w:rFonts w:ascii="Times New Roman" w:hAnsi="Times New Roman" w:hint="eastAsia"/>
          <w:b w:val="0"/>
          <w:spacing w:val="8"/>
          <w:kern w:val="2"/>
        </w:rPr>
        <w:t>”</w:t>
      </w:r>
      <w:r w:rsidRPr="00F30DBF">
        <w:rPr>
          <w:rFonts w:ascii="Times New Roman" w:hAnsi="Times New Roman"/>
          <w:b w:val="0"/>
          <w:spacing w:val="8"/>
          <w:kern w:val="2"/>
        </w:rPr>
        <w:t>进行对应。另外，这些类别也要对应粮农组织区域会议的结果和建议。</w:t>
      </w:r>
    </w:p>
    <w:p w:rsidR="006A722F" w:rsidRPr="00D419DB" w:rsidRDefault="00F30DBF" w:rsidP="00D419DB">
      <w:pPr>
        <w:pStyle w:val="NewPara"/>
        <w:widowControl w:val="0"/>
        <w:numPr>
          <w:ilvl w:val="0"/>
          <w:numId w:val="8"/>
        </w:numPr>
        <w:tabs>
          <w:tab w:val="clear" w:pos="709"/>
        </w:tabs>
        <w:spacing w:before="60" w:after="120" w:line="380" w:lineRule="exact"/>
        <w:ind w:left="0" w:firstLine="0"/>
        <w:jc w:val="both"/>
        <w:rPr>
          <w:rFonts w:ascii="Times New Roman" w:hAnsi="Times New Roman"/>
          <w:b w:val="0"/>
          <w:spacing w:val="8"/>
          <w:kern w:val="2"/>
        </w:rPr>
      </w:pPr>
      <w:r w:rsidRPr="00F30DBF">
        <w:rPr>
          <w:rFonts w:ascii="Times New Roman" w:hAnsi="Times New Roman"/>
          <w:b w:val="0"/>
          <w:spacing w:val="8"/>
          <w:kern w:val="2"/>
        </w:rPr>
        <w:t>此外还可以探索其他的业务领域，运用适当的预算外供资，支持与包括粮农组织在内的合作伙伴共同实施。如认为必要，这些活动可以成为除粮农组织正常计划和实地计划活动以外的闭会期间工作计划。</w:t>
      </w:r>
      <w:r w:rsidR="006A722F" w:rsidRPr="00D419DB">
        <w:rPr>
          <w:rFonts w:ascii="Times New Roman"/>
        </w:rPr>
        <w:br w:type="page"/>
      </w:r>
    </w:p>
    <w:p w:rsidR="00396C72" w:rsidRPr="001A1E52" w:rsidRDefault="00396C72" w:rsidP="001A1E52">
      <w:pPr>
        <w:rPr>
          <w:rFonts w:ascii="Times New Roman"/>
        </w:rPr>
      </w:pPr>
      <w:r w:rsidRPr="001A1E52">
        <w:rPr>
          <w:rFonts w:ascii="Times New Roman" w:eastAsia="楷体_GB2312"/>
          <w:b/>
        </w:rPr>
        <w:t>表</w:t>
      </w:r>
      <w:r w:rsidRPr="001A1E52">
        <w:rPr>
          <w:rFonts w:ascii="Times New Roman" w:eastAsia="楷体_GB2312"/>
          <w:b/>
        </w:rPr>
        <w:t>1</w:t>
      </w:r>
      <w:r w:rsidRPr="001A1E52">
        <w:rPr>
          <w:rFonts w:ascii="Times New Roman" w:eastAsia="楷体_GB2312"/>
          <w:b/>
        </w:rPr>
        <w:t>：</w:t>
      </w:r>
      <w:r w:rsidRPr="001A1E52">
        <w:rPr>
          <w:rFonts w:ascii="Times New Roman"/>
        </w:rPr>
        <w:t>与粮农组织战略目标相对应的水产养殖重点领域</w:t>
      </w:r>
    </w:p>
    <w:tbl>
      <w:tblPr>
        <w:tblpPr w:leftFromText="180" w:rightFromText="180" w:vertAnchor="text" w:horzAnchor="margin" w:tblpY="145"/>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8"/>
        <w:gridCol w:w="3515"/>
        <w:gridCol w:w="2350"/>
        <w:gridCol w:w="1503"/>
      </w:tblGrid>
      <w:tr w:rsidR="00396C72" w:rsidRPr="00104598" w:rsidTr="00E411B6">
        <w:tc>
          <w:tcPr>
            <w:tcW w:w="1062" w:type="pct"/>
            <w:shd w:val="clear" w:color="auto" w:fill="F4F3EC"/>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主要对应的</w:t>
            </w:r>
            <w:r w:rsidR="003803E4">
              <w:rPr>
                <w:rFonts w:ascii="Times New Roman" w:hint="eastAsia"/>
                <w:spacing w:val="4"/>
                <w:sz w:val="20"/>
              </w:rPr>
              <w:br/>
            </w:r>
            <w:r w:rsidRPr="00DC11E1">
              <w:rPr>
                <w:rFonts w:ascii="Times New Roman"/>
                <w:spacing w:val="4"/>
                <w:sz w:val="20"/>
              </w:rPr>
              <w:t>战略目标</w:t>
            </w:r>
          </w:p>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（战略目标）</w:t>
            </w:r>
          </w:p>
        </w:tc>
        <w:tc>
          <w:tcPr>
            <w:tcW w:w="1878" w:type="pct"/>
            <w:shd w:val="clear" w:color="auto" w:fill="F4F3EC"/>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重点领域类别</w:t>
            </w:r>
          </w:p>
        </w:tc>
        <w:tc>
          <w:tcPr>
            <w:tcW w:w="1256" w:type="pct"/>
            <w:shd w:val="clear" w:color="auto" w:fill="F4F3EC"/>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区域</w:t>
            </w:r>
            <w:r w:rsidRPr="00DC11E1">
              <w:rPr>
                <w:rFonts w:ascii="Times New Roman"/>
                <w:spacing w:val="4"/>
                <w:sz w:val="20"/>
              </w:rPr>
              <w:t>*</w:t>
            </w:r>
          </w:p>
        </w:tc>
        <w:tc>
          <w:tcPr>
            <w:tcW w:w="803" w:type="pct"/>
            <w:shd w:val="clear" w:color="auto" w:fill="F4F3EC"/>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其他对应</w:t>
            </w:r>
            <w:r w:rsidR="0020494C">
              <w:rPr>
                <w:rFonts w:ascii="Times New Roman" w:hint="eastAsia"/>
                <w:spacing w:val="4"/>
                <w:sz w:val="20"/>
              </w:rPr>
              <w:br/>
            </w:r>
            <w:r w:rsidRPr="00DC11E1">
              <w:rPr>
                <w:rFonts w:ascii="Times New Roman"/>
                <w:spacing w:val="4"/>
                <w:sz w:val="20"/>
              </w:rPr>
              <w:t>战略目标</w:t>
            </w:r>
          </w:p>
        </w:tc>
      </w:tr>
      <w:tr w:rsidR="00396C72" w:rsidRPr="00104598" w:rsidTr="00E411B6">
        <w:tc>
          <w:tcPr>
            <w:tcW w:w="1062"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战略目标</w:t>
            </w:r>
            <w:r w:rsidRPr="00DC11E1">
              <w:rPr>
                <w:rFonts w:ascii="Times New Roman"/>
                <w:spacing w:val="4"/>
                <w:sz w:val="20"/>
              </w:rPr>
              <w:t>1</w:t>
            </w:r>
          </w:p>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帮助消除饥饿、粮食不安全和营养不良</w:t>
            </w:r>
          </w:p>
        </w:tc>
        <w:tc>
          <w:tcPr>
            <w:tcW w:w="1878"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加强粮食安全和营养</w:t>
            </w:r>
          </w:p>
        </w:tc>
        <w:tc>
          <w:tcPr>
            <w:tcW w:w="1256"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hint="eastAsia"/>
                <w:spacing w:val="4"/>
                <w:sz w:val="20"/>
              </w:rPr>
              <w:t>拉美加、</w:t>
            </w:r>
            <w:r w:rsidR="0020494C">
              <w:rPr>
                <w:rFonts w:ascii="Times New Roman"/>
                <w:spacing w:val="4"/>
                <w:sz w:val="20"/>
              </w:rPr>
              <w:br/>
            </w:r>
            <w:r w:rsidRPr="00DC11E1">
              <w:rPr>
                <w:rFonts w:ascii="Times New Roman" w:hint="eastAsia"/>
                <w:spacing w:val="4"/>
                <w:sz w:val="20"/>
              </w:rPr>
              <w:t>撒哈拉以南非洲地区</w:t>
            </w:r>
          </w:p>
        </w:tc>
        <w:tc>
          <w:tcPr>
            <w:tcW w:w="803"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战略目标</w:t>
            </w:r>
            <w:r w:rsidRPr="00DC11E1">
              <w:rPr>
                <w:rFonts w:ascii="Times New Roman"/>
                <w:spacing w:val="4"/>
                <w:sz w:val="20"/>
              </w:rPr>
              <w:t>2</w:t>
            </w:r>
            <w:r w:rsidRPr="00DC11E1">
              <w:rPr>
                <w:rFonts w:ascii="Times New Roman"/>
                <w:spacing w:val="4"/>
                <w:sz w:val="20"/>
              </w:rPr>
              <w:t>，</w:t>
            </w:r>
            <w:r w:rsidR="009B0516">
              <w:rPr>
                <w:rFonts w:ascii="Times New Roman" w:hint="eastAsia"/>
                <w:spacing w:val="4"/>
                <w:sz w:val="20"/>
              </w:rPr>
              <w:br/>
            </w:r>
            <w:r w:rsidRPr="00DC11E1">
              <w:rPr>
                <w:rFonts w:ascii="Times New Roman"/>
                <w:spacing w:val="4"/>
                <w:sz w:val="20"/>
              </w:rPr>
              <w:t>战略目标</w:t>
            </w:r>
            <w:r w:rsidRPr="00DC11E1">
              <w:rPr>
                <w:rFonts w:ascii="Times New Roman"/>
                <w:spacing w:val="4"/>
                <w:sz w:val="20"/>
              </w:rPr>
              <w:t>3</w:t>
            </w:r>
          </w:p>
        </w:tc>
      </w:tr>
      <w:tr w:rsidR="00396C72" w:rsidRPr="00104598" w:rsidTr="00E411B6">
        <w:tc>
          <w:tcPr>
            <w:tcW w:w="1062" w:type="pct"/>
            <w:vMerge w:val="restar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战略目标</w:t>
            </w:r>
            <w:r w:rsidRPr="00DC11E1">
              <w:rPr>
                <w:rFonts w:ascii="Times New Roman"/>
                <w:spacing w:val="4"/>
                <w:sz w:val="20"/>
              </w:rPr>
              <w:t>2</w:t>
            </w:r>
          </w:p>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提高农业、林业和</w:t>
            </w:r>
            <w:r w:rsidR="0020494C">
              <w:rPr>
                <w:rFonts w:ascii="Times New Roman" w:hint="eastAsia"/>
                <w:spacing w:val="4"/>
                <w:sz w:val="20"/>
              </w:rPr>
              <w:br/>
            </w:r>
            <w:r w:rsidRPr="00DC11E1">
              <w:rPr>
                <w:rFonts w:ascii="Times New Roman"/>
                <w:spacing w:val="4"/>
                <w:sz w:val="20"/>
              </w:rPr>
              <w:t>渔业生产率和</w:t>
            </w:r>
            <w:r w:rsidR="0020494C">
              <w:rPr>
                <w:rFonts w:ascii="Times New Roman" w:hint="eastAsia"/>
                <w:spacing w:val="4"/>
                <w:sz w:val="20"/>
              </w:rPr>
              <w:br/>
            </w:r>
            <w:r w:rsidRPr="00DC11E1">
              <w:rPr>
                <w:rFonts w:ascii="Times New Roman"/>
                <w:spacing w:val="4"/>
                <w:sz w:val="20"/>
              </w:rPr>
              <w:t>可持续性</w:t>
            </w:r>
          </w:p>
        </w:tc>
        <w:tc>
          <w:tcPr>
            <w:tcW w:w="1878" w:type="pct"/>
            <w:shd w:val="clear" w:color="auto" w:fill="auto"/>
            <w:vAlign w:val="center"/>
          </w:tcPr>
          <w:p w:rsidR="00396C72" w:rsidRPr="00DC11E1" w:rsidRDefault="00396C72" w:rsidP="0020494C">
            <w:pPr>
              <w:tabs>
                <w:tab w:val="left" w:pos="7733"/>
              </w:tabs>
              <w:spacing w:before="120" w:after="0" w:line="300" w:lineRule="exact"/>
              <w:jc w:val="left"/>
              <w:rPr>
                <w:rFonts w:ascii="Times New Roman"/>
                <w:spacing w:val="4"/>
                <w:sz w:val="20"/>
              </w:rPr>
            </w:pPr>
            <w:r w:rsidRPr="00DC11E1">
              <w:rPr>
                <w:rFonts w:ascii="Times New Roman"/>
                <w:spacing w:val="4"/>
                <w:sz w:val="20"/>
              </w:rPr>
              <w:t>加强培训、能力建设和技术转让</w:t>
            </w:r>
          </w:p>
        </w:tc>
        <w:tc>
          <w:tcPr>
            <w:tcW w:w="1256" w:type="pct"/>
            <w:shd w:val="clear" w:color="auto" w:fill="auto"/>
            <w:vAlign w:val="center"/>
          </w:tcPr>
          <w:p w:rsidR="00396C72" w:rsidRPr="00DC11E1" w:rsidRDefault="00396C72" w:rsidP="0020494C">
            <w:pPr>
              <w:spacing w:before="120" w:after="0" w:line="300" w:lineRule="exact"/>
              <w:jc w:val="left"/>
              <w:rPr>
                <w:rFonts w:ascii="Times New Roman"/>
                <w:spacing w:val="4"/>
                <w:sz w:val="20"/>
                <w:lang w:val="it-IT"/>
              </w:rPr>
            </w:pPr>
            <w:r w:rsidRPr="00DC11E1">
              <w:rPr>
                <w:rFonts w:ascii="Times New Roman"/>
                <w:spacing w:val="4"/>
                <w:sz w:val="20"/>
                <w:lang w:val="it-IT"/>
              </w:rPr>
              <w:t>亚太、欧洲、拉美加、近东和北非、北美、</w:t>
            </w:r>
            <w:r w:rsidR="00F173F0">
              <w:rPr>
                <w:rFonts w:ascii="Times New Roman" w:hint="eastAsia"/>
                <w:spacing w:val="4"/>
                <w:sz w:val="20"/>
                <w:lang w:val="it-IT"/>
              </w:rPr>
              <w:br/>
            </w:r>
            <w:r w:rsidRPr="00DC11E1">
              <w:rPr>
                <w:rFonts w:ascii="Times New Roman"/>
                <w:spacing w:val="4"/>
                <w:sz w:val="20"/>
                <w:lang w:val="it-IT"/>
              </w:rPr>
              <w:t>撒哈拉以南非洲地区</w:t>
            </w:r>
          </w:p>
        </w:tc>
        <w:tc>
          <w:tcPr>
            <w:tcW w:w="803"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战略目标</w:t>
            </w:r>
            <w:r w:rsidRPr="00DC11E1">
              <w:rPr>
                <w:rFonts w:ascii="Times New Roman"/>
                <w:spacing w:val="4"/>
                <w:sz w:val="20"/>
              </w:rPr>
              <w:t>3</w:t>
            </w:r>
          </w:p>
        </w:tc>
      </w:tr>
      <w:tr w:rsidR="00396C72" w:rsidRPr="00104598" w:rsidTr="00E411B6">
        <w:tc>
          <w:tcPr>
            <w:tcW w:w="1062" w:type="pct"/>
            <w:vMerge/>
            <w:shd w:val="clear" w:color="auto" w:fill="auto"/>
            <w:vAlign w:val="center"/>
          </w:tcPr>
          <w:p w:rsidR="00396C72" w:rsidRPr="00DC11E1" w:rsidRDefault="00396C72" w:rsidP="0020494C">
            <w:pPr>
              <w:spacing w:before="120" w:after="0" w:line="300" w:lineRule="exact"/>
              <w:jc w:val="left"/>
              <w:rPr>
                <w:rFonts w:ascii="Times New Roman"/>
                <w:spacing w:val="4"/>
                <w:sz w:val="20"/>
              </w:rPr>
            </w:pPr>
          </w:p>
        </w:tc>
        <w:tc>
          <w:tcPr>
            <w:tcW w:w="1878"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鼓励可持续集约化发展方面的</w:t>
            </w:r>
            <w:r w:rsidR="00E411B6">
              <w:rPr>
                <w:rFonts w:ascii="Times New Roman" w:hint="eastAsia"/>
                <w:spacing w:val="4"/>
                <w:sz w:val="20"/>
              </w:rPr>
              <w:br/>
            </w:r>
            <w:r w:rsidRPr="00DC11E1">
              <w:rPr>
                <w:rFonts w:ascii="Times New Roman"/>
                <w:spacing w:val="4"/>
                <w:sz w:val="20"/>
              </w:rPr>
              <w:t>新技术研发</w:t>
            </w:r>
          </w:p>
        </w:tc>
        <w:tc>
          <w:tcPr>
            <w:tcW w:w="1256" w:type="pct"/>
            <w:shd w:val="clear" w:color="auto" w:fill="auto"/>
            <w:vAlign w:val="center"/>
          </w:tcPr>
          <w:p w:rsidR="00396C72" w:rsidRPr="00DC11E1" w:rsidRDefault="00396C72" w:rsidP="0020494C">
            <w:pPr>
              <w:spacing w:before="120" w:after="0" w:line="300" w:lineRule="exact"/>
              <w:jc w:val="left"/>
              <w:rPr>
                <w:rFonts w:ascii="Times New Roman"/>
                <w:spacing w:val="4"/>
                <w:sz w:val="20"/>
                <w:lang w:val="it-IT"/>
              </w:rPr>
            </w:pPr>
            <w:r w:rsidRPr="00DC11E1">
              <w:rPr>
                <w:rFonts w:ascii="Times New Roman"/>
                <w:spacing w:val="4"/>
                <w:sz w:val="20"/>
                <w:lang w:val="it-IT"/>
              </w:rPr>
              <w:t>亚太、欧洲、拉美加、近东和北非、北美</w:t>
            </w:r>
          </w:p>
        </w:tc>
        <w:tc>
          <w:tcPr>
            <w:tcW w:w="803"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战略目标</w:t>
            </w:r>
            <w:r w:rsidRPr="00DC11E1">
              <w:rPr>
                <w:rFonts w:ascii="Times New Roman"/>
                <w:spacing w:val="4"/>
                <w:sz w:val="20"/>
              </w:rPr>
              <w:t>4</w:t>
            </w:r>
          </w:p>
        </w:tc>
      </w:tr>
      <w:tr w:rsidR="00396C72" w:rsidRPr="00104598" w:rsidTr="00E411B6">
        <w:tc>
          <w:tcPr>
            <w:tcW w:w="1062" w:type="pct"/>
            <w:vMerge/>
            <w:shd w:val="clear" w:color="auto" w:fill="auto"/>
            <w:vAlign w:val="center"/>
          </w:tcPr>
          <w:p w:rsidR="00396C72" w:rsidRPr="00DC11E1" w:rsidRDefault="00396C72" w:rsidP="0020494C">
            <w:pPr>
              <w:spacing w:before="120" w:after="0" w:line="300" w:lineRule="exact"/>
              <w:jc w:val="left"/>
              <w:rPr>
                <w:rFonts w:ascii="Times New Roman"/>
                <w:spacing w:val="4"/>
                <w:sz w:val="20"/>
              </w:rPr>
            </w:pPr>
          </w:p>
        </w:tc>
        <w:tc>
          <w:tcPr>
            <w:tcW w:w="1878"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避免不利的环境外部性影响</w:t>
            </w:r>
          </w:p>
        </w:tc>
        <w:tc>
          <w:tcPr>
            <w:tcW w:w="1256" w:type="pct"/>
            <w:shd w:val="clear" w:color="auto" w:fill="auto"/>
            <w:vAlign w:val="center"/>
          </w:tcPr>
          <w:p w:rsidR="00396C72" w:rsidRPr="00DC11E1" w:rsidRDefault="00396C72" w:rsidP="0020494C">
            <w:pPr>
              <w:spacing w:before="120" w:after="0" w:line="300" w:lineRule="exact"/>
              <w:jc w:val="left"/>
              <w:rPr>
                <w:rFonts w:ascii="Times New Roman"/>
                <w:spacing w:val="4"/>
                <w:sz w:val="20"/>
                <w:lang w:val="it-IT"/>
              </w:rPr>
            </w:pPr>
            <w:r w:rsidRPr="00DC11E1">
              <w:rPr>
                <w:rFonts w:ascii="Times New Roman"/>
                <w:spacing w:val="4"/>
                <w:sz w:val="20"/>
                <w:lang w:val="it-IT"/>
              </w:rPr>
              <w:t>亚太、欧洲、拉美加、近东和北非、北美</w:t>
            </w:r>
          </w:p>
        </w:tc>
        <w:tc>
          <w:tcPr>
            <w:tcW w:w="803"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战略目标</w:t>
            </w:r>
            <w:r w:rsidRPr="00DC11E1">
              <w:rPr>
                <w:rFonts w:ascii="Times New Roman"/>
                <w:spacing w:val="4"/>
                <w:sz w:val="20"/>
              </w:rPr>
              <w:t>4</w:t>
            </w:r>
            <w:r w:rsidRPr="00DC11E1">
              <w:rPr>
                <w:rFonts w:ascii="Times New Roman"/>
                <w:spacing w:val="4"/>
                <w:sz w:val="20"/>
              </w:rPr>
              <w:t>，</w:t>
            </w:r>
            <w:r w:rsidR="009B0516">
              <w:rPr>
                <w:rFonts w:ascii="Times New Roman" w:hint="eastAsia"/>
                <w:spacing w:val="4"/>
                <w:sz w:val="20"/>
              </w:rPr>
              <w:br/>
            </w:r>
            <w:r w:rsidRPr="00DC11E1">
              <w:rPr>
                <w:rFonts w:ascii="Times New Roman"/>
                <w:spacing w:val="4"/>
                <w:sz w:val="20"/>
              </w:rPr>
              <w:t>战略目标</w:t>
            </w:r>
            <w:r w:rsidRPr="00DC11E1">
              <w:rPr>
                <w:rFonts w:ascii="Times New Roman"/>
                <w:spacing w:val="4"/>
                <w:sz w:val="20"/>
              </w:rPr>
              <w:t>5</w:t>
            </w:r>
          </w:p>
        </w:tc>
      </w:tr>
      <w:tr w:rsidR="00396C72" w:rsidRPr="00104598" w:rsidTr="00E411B6">
        <w:tc>
          <w:tcPr>
            <w:tcW w:w="1062" w:type="pct"/>
            <w:vMerge/>
            <w:shd w:val="clear" w:color="auto" w:fill="auto"/>
            <w:vAlign w:val="center"/>
          </w:tcPr>
          <w:p w:rsidR="00396C72" w:rsidRPr="00DC11E1" w:rsidRDefault="00396C72" w:rsidP="0020494C">
            <w:pPr>
              <w:spacing w:before="120" w:after="0" w:line="300" w:lineRule="exact"/>
              <w:jc w:val="left"/>
              <w:rPr>
                <w:rFonts w:ascii="Times New Roman"/>
                <w:spacing w:val="4"/>
                <w:sz w:val="20"/>
              </w:rPr>
            </w:pPr>
          </w:p>
        </w:tc>
        <w:tc>
          <w:tcPr>
            <w:tcW w:w="1878"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实行生物安保，包括动物健康和</w:t>
            </w:r>
            <w:r w:rsidR="00E411B6">
              <w:rPr>
                <w:rFonts w:ascii="Times New Roman" w:hint="eastAsia"/>
                <w:spacing w:val="4"/>
                <w:sz w:val="20"/>
              </w:rPr>
              <w:br/>
            </w:r>
            <w:r w:rsidRPr="00DC11E1">
              <w:rPr>
                <w:rFonts w:ascii="Times New Roman"/>
                <w:spacing w:val="4"/>
                <w:sz w:val="20"/>
              </w:rPr>
              <w:t>入侵物种</w:t>
            </w:r>
          </w:p>
        </w:tc>
        <w:tc>
          <w:tcPr>
            <w:tcW w:w="1256"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亚太、欧洲、拉美加、北美</w:t>
            </w:r>
          </w:p>
        </w:tc>
        <w:tc>
          <w:tcPr>
            <w:tcW w:w="803"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战略目标</w:t>
            </w:r>
            <w:r w:rsidRPr="00DC11E1">
              <w:rPr>
                <w:rFonts w:ascii="Times New Roman"/>
                <w:spacing w:val="4"/>
                <w:sz w:val="20"/>
              </w:rPr>
              <w:t>2</w:t>
            </w:r>
          </w:p>
        </w:tc>
      </w:tr>
      <w:tr w:rsidR="00396C72" w:rsidRPr="00104598" w:rsidTr="00E411B6">
        <w:tc>
          <w:tcPr>
            <w:tcW w:w="1062" w:type="pct"/>
            <w:vMerge w:val="restar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战略目标</w:t>
            </w:r>
            <w:r w:rsidRPr="00DC11E1">
              <w:rPr>
                <w:rFonts w:ascii="Times New Roman"/>
                <w:spacing w:val="4"/>
                <w:sz w:val="20"/>
              </w:rPr>
              <w:t>3</w:t>
            </w:r>
          </w:p>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减少农村贫困</w:t>
            </w:r>
          </w:p>
        </w:tc>
        <w:tc>
          <w:tcPr>
            <w:tcW w:w="1878"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支持经济发展、价值链强化、</w:t>
            </w:r>
            <w:r w:rsidR="00F10995">
              <w:rPr>
                <w:rFonts w:ascii="Times New Roman" w:hint="eastAsia"/>
                <w:spacing w:val="4"/>
                <w:sz w:val="20"/>
              </w:rPr>
              <w:br/>
            </w:r>
            <w:r w:rsidRPr="00DC11E1">
              <w:rPr>
                <w:rFonts w:ascii="Times New Roman"/>
                <w:spacing w:val="4"/>
                <w:sz w:val="20"/>
              </w:rPr>
              <w:t>营销战略和投资</w:t>
            </w:r>
          </w:p>
        </w:tc>
        <w:tc>
          <w:tcPr>
            <w:tcW w:w="1256" w:type="pct"/>
            <w:shd w:val="clear" w:color="auto" w:fill="auto"/>
            <w:vAlign w:val="center"/>
          </w:tcPr>
          <w:p w:rsidR="00396C72" w:rsidRPr="00DC11E1" w:rsidRDefault="00396C72" w:rsidP="0020494C">
            <w:pPr>
              <w:spacing w:before="120" w:after="0" w:line="300" w:lineRule="exact"/>
              <w:jc w:val="left"/>
              <w:rPr>
                <w:rFonts w:ascii="Times New Roman"/>
                <w:spacing w:val="4"/>
                <w:sz w:val="20"/>
                <w:lang w:val="it-IT"/>
              </w:rPr>
            </w:pPr>
            <w:r w:rsidRPr="00DC11E1">
              <w:rPr>
                <w:rFonts w:ascii="Times New Roman"/>
                <w:spacing w:val="4"/>
                <w:sz w:val="20"/>
                <w:lang w:val="it-IT"/>
              </w:rPr>
              <w:t>亚太、欧洲、拉美加、近东和北非、北美、</w:t>
            </w:r>
            <w:r w:rsidR="00F173F0">
              <w:rPr>
                <w:rFonts w:ascii="Times New Roman" w:hint="eastAsia"/>
                <w:spacing w:val="4"/>
                <w:sz w:val="20"/>
                <w:lang w:val="it-IT"/>
              </w:rPr>
              <w:br/>
            </w:r>
            <w:r w:rsidRPr="00DC11E1">
              <w:rPr>
                <w:rFonts w:ascii="Times New Roman"/>
                <w:spacing w:val="4"/>
                <w:sz w:val="20"/>
                <w:lang w:val="it-IT"/>
              </w:rPr>
              <w:t>撒哈拉以南非洲地区</w:t>
            </w:r>
          </w:p>
        </w:tc>
        <w:tc>
          <w:tcPr>
            <w:tcW w:w="803"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战略目标</w:t>
            </w:r>
            <w:r w:rsidRPr="00DC11E1">
              <w:rPr>
                <w:rFonts w:ascii="Times New Roman"/>
                <w:spacing w:val="4"/>
                <w:sz w:val="20"/>
              </w:rPr>
              <w:t>4</w:t>
            </w:r>
          </w:p>
        </w:tc>
      </w:tr>
      <w:tr w:rsidR="00396C72" w:rsidRPr="00104598" w:rsidTr="00E411B6">
        <w:tc>
          <w:tcPr>
            <w:tcW w:w="1062" w:type="pct"/>
            <w:vMerge/>
            <w:shd w:val="clear" w:color="auto" w:fill="auto"/>
            <w:vAlign w:val="center"/>
          </w:tcPr>
          <w:p w:rsidR="00396C72" w:rsidRPr="00DC11E1" w:rsidRDefault="00396C72" w:rsidP="0020494C">
            <w:pPr>
              <w:spacing w:before="120" w:after="0" w:line="300" w:lineRule="exact"/>
              <w:jc w:val="left"/>
              <w:rPr>
                <w:rFonts w:ascii="Times New Roman"/>
                <w:spacing w:val="4"/>
                <w:sz w:val="20"/>
              </w:rPr>
            </w:pPr>
          </w:p>
        </w:tc>
        <w:tc>
          <w:tcPr>
            <w:tcW w:w="1878"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确保脆弱人群、青年和女性获得体面的就业、生计和机遇</w:t>
            </w:r>
          </w:p>
        </w:tc>
        <w:tc>
          <w:tcPr>
            <w:tcW w:w="1256" w:type="pct"/>
            <w:shd w:val="clear" w:color="auto" w:fill="auto"/>
            <w:vAlign w:val="center"/>
          </w:tcPr>
          <w:p w:rsidR="00396C72" w:rsidRPr="00DC11E1" w:rsidRDefault="00396C72" w:rsidP="00F173F0">
            <w:pPr>
              <w:spacing w:before="120" w:after="0" w:line="300" w:lineRule="exact"/>
              <w:jc w:val="left"/>
              <w:rPr>
                <w:rFonts w:ascii="Times New Roman"/>
                <w:spacing w:val="4"/>
                <w:sz w:val="20"/>
              </w:rPr>
            </w:pPr>
            <w:r w:rsidRPr="00DC11E1">
              <w:rPr>
                <w:rFonts w:ascii="Times New Roman"/>
                <w:spacing w:val="4"/>
                <w:sz w:val="20"/>
                <w:lang w:val="it-IT"/>
              </w:rPr>
              <w:t>亚太、拉美加、近东和北非、撒哈拉以南</w:t>
            </w:r>
            <w:bookmarkStart w:id="0" w:name="_GoBack"/>
            <w:bookmarkEnd w:id="0"/>
            <w:r w:rsidRPr="00DC11E1">
              <w:rPr>
                <w:rFonts w:ascii="Times New Roman"/>
                <w:spacing w:val="4"/>
                <w:sz w:val="20"/>
                <w:lang w:val="it-IT"/>
              </w:rPr>
              <w:t>非洲地区</w:t>
            </w:r>
          </w:p>
        </w:tc>
        <w:tc>
          <w:tcPr>
            <w:tcW w:w="803"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战略目标</w:t>
            </w:r>
            <w:r w:rsidRPr="00DC11E1">
              <w:rPr>
                <w:rFonts w:ascii="Times New Roman"/>
                <w:spacing w:val="4"/>
                <w:sz w:val="20"/>
              </w:rPr>
              <w:t>3</w:t>
            </w:r>
          </w:p>
        </w:tc>
      </w:tr>
      <w:tr w:rsidR="00396C72" w:rsidRPr="00104598" w:rsidTr="00E411B6">
        <w:tc>
          <w:tcPr>
            <w:tcW w:w="1062" w:type="pct"/>
            <w:vMerge/>
            <w:shd w:val="clear" w:color="auto" w:fill="auto"/>
            <w:vAlign w:val="center"/>
          </w:tcPr>
          <w:p w:rsidR="00396C72" w:rsidRPr="00DC11E1" w:rsidRDefault="00396C72" w:rsidP="0020494C">
            <w:pPr>
              <w:spacing w:before="120" w:after="0" w:line="300" w:lineRule="exact"/>
              <w:jc w:val="left"/>
              <w:rPr>
                <w:rFonts w:ascii="Times New Roman"/>
                <w:spacing w:val="4"/>
                <w:sz w:val="20"/>
              </w:rPr>
            </w:pPr>
          </w:p>
        </w:tc>
        <w:tc>
          <w:tcPr>
            <w:tcW w:w="1878" w:type="pct"/>
            <w:shd w:val="clear" w:color="auto" w:fill="auto"/>
            <w:vAlign w:val="center"/>
          </w:tcPr>
          <w:p w:rsidR="00396C72" w:rsidRPr="00DC11E1" w:rsidRDefault="00396C72" w:rsidP="00E411B6">
            <w:pPr>
              <w:spacing w:before="120" w:after="0" w:line="300" w:lineRule="exact"/>
              <w:jc w:val="left"/>
              <w:rPr>
                <w:rFonts w:ascii="Times New Roman"/>
                <w:spacing w:val="4"/>
                <w:sz w:val="20"/>
              </w:rPr>
            </w:pPr>
            <w:r w:rsidRPr="00DC11E1">
              <w:rPr>
                <w:rFonts w:ascii="Times New Roman"/>
                <w:spacing w:val="4"/>
                <w:sz w:val="20"/>
              </w:rPr>
              <w:t>强化善治，包括行政、政策、</w:t>
            </w:r>
            <w:r w:rsidR="00E96351">
              <w:rPr>
                <w:rFonts w:ascii="Times New Roman" w:hint="eastAsia"/>
                <w:spacing w:val="4"/>
                <w:sz w:val="20"/>
              </w:rPr>
              <w:br/>
            </w:r>
            <w:r w:rsidRPr="00DC11E1">
              <w:rPr>
                <w:rFonts w:ascii="Times New Roman"/>
                <w:spacing w:val="4"/>
                <w:sz w:val="20"/>
              </w:rPr>
              <w:t>空间规划和机构能力</w:t>
            </w:r>
          </w:p>
        </w:tc>
        <w:tc>
          <w:tcPr>
            <w:tcW w:w="1256" w:type="pct"/>
            <w:shd w:val="clear" w:color="auto" w:fill="auto"/>
            <w:vAlign w:val="center"/>
          </w:tcPr>
          <w:p w:rsidR="00396C72" w:rsidRPr="00DC11E1" w:rsidRDefault="00396C72" w:rsidP="0020494C">
            <w:pPr>
              <w:spacing w:before="120" w:after="0" w:line="300" w:lineRule="exact"/>
              <w:jc w:val="left"/>
              <w:rPr>
                <w:rFonts w:ascii="Times New Roman"/>
                <w:spacing w:val="4"/>
                <w:sz w:val="20"/>
                <w:lang w:val="it-IT"/>
              </w:rPr>
            </w:pPr>
            <w:r w:rsidRPr="00DC11E1">
              <w:rPr>
                <w:rFonts w:ascii="Times New Roman"/>
                <w:spacing w:val="4"/>
                <w:sz w:val="20"/>
                <w:lang w:val="it-IT"/>
              </w:rPr>
              <w:t>亚太、欧洲、拉美加、近东和北非、北美、</w:t>
            </w:r>
            <w:r w:rsidR="00F173F0">
              <w:rPr>
                <w:rFonts w:ascii="Times New Roman" w:hint="eastAsia"/>
                <w:spacing w:val="4"/>
                <w:sz w:val="20"/>
                <w:lang w:val="it-IT"/>
              </w:rPr>
              <w:br/>
            </w:r>
            <w:r w:rsidRPr="00DC11E1">
              <w:rPr>
                <w:rFonts w:ascii="Times New Roman"/>
                <w:spacing w:val="4"/>
                <w:sz w:val="20"/>
                <w:lang w:val="it-IT"/>
              </w:rPr>
              <w:t>撒哈拉以南非洲地区</w:t>
            </w:r>
          </w:p>
        </w:tc>
        <w:tc>
          <w:tcPr>
            <w:tcW w:w="803"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战略目标</w:t>
            </w:r>
            <w:r w:rsidRPr="00DC11E1">
              <w:rPr>
                <w:rFonts w:ascii="Times New Roman"/>
                <w:spacing w:val="4"/>
                <w:sz w:val="20"/>
              </w:rPr>
              <w:t>2</w:t>
            </w:r>
          </w:p>
        </w:tc>
      </w:tr>
      <w:tr w:rsidR="00396C72" w:rsidRPr="00104598" w:rsidTr="00E411B6">
        <w:tc>
          <w:tcPr>
            <w:tcW w:w="1062" w:type="pct"/>
            <w:vMerge w:val="restar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战略目标</w:t>
            </w:r>
            <w:r w:rsidRPr="00DC11E1">
              <w:rPr>
                <w:rFonts w:ascii="Times New Roman"/>
                <w:spacing w:val="4"/>
                <w:sz w:val="20"/>
              </w:rPr>
              <w:t>4</w:t>
            </w:r>
          </w:p>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推动建设包容、高效的农业和粮食系统</w:t>
            </w:r>
          </w:p>
        </w:tc>
        <w:tc>
          <w:tcPr>
            <w:tcW w:w="1878"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确保能够可靠地获得优质投入品，</w:t>
            </w:r>
            <w:r w:rsidR="00E411B6">
              <w:rPr>
                <w:rFonts w:ascii="Times New Roman" w:hint="eastAsia"/>
                <w:spacing w:val="4"/>
                <w:sz w:val="20"/>
              </w:rPr>
              <w:br/>
            </w:r>
            <w:r w:rsidRPr="00DC11E1">
              <w:rPr>
                <w:rFonts w:ascii="Times New Roman"/>
                <w:spacing w:val="4"/>
                <w:sz w:val="20"/>
              </w:rPr>
              <w:t>特别是饲料、</w:t>
            </w:r>
            <w:r w:rsidRPr="00DC11E1">
              <w:rPr>
                <w:rFonts w:ascii="Times New Roman" w:hint="eastAsia"/>
                <w:spacing w:val="4"/>
                <w:sz w:val="20"/>
              </w:rPr>
              <w:t>鱼苗</w:t>
            </w:r>
            <w:r w:rsidRPr="00DC11E1">
              <w:rPr>
                <w:rFonts w:ascii="Times New Roman"/>
                <w:spacing w:val="4"/>
                <w:sz w:val="20"/>
              </w:rPr>
              <w:t>和水</w:t>
            </w:r>
          </w:p>
        </w:tc>
        <w:tc>
          <w:tcPr>
            <w:tcW w:w="1256"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亚太、近东和北非、</w:t>
            </w:r>
            <w:r w:rsidR="00F173F0">
              <w:rPr>
                <w:rFonts w:ascii="Times New Roman" w:hint="eastAsia"/>
                <w:spacing w:val="4"/>
                <w:sz w:val="20"/>
              </w:rPr>
              <w:br/>
            </w:r>
            <w:r w:rsidRPr="00DC11E1">
              <w:rPr>
                <w:rFonts w:ascii="Times New Roman"/>
                <w:spacing w:val="4"/>
                <w:sz w:val="20"/>
              </w:rPr>
              <w:t>撒哈拉以南非洲地区</w:t>
            </w:r>
          </w:p>
        </w:tc>
        <w:tc>
          <w:tcPr>
            <w:tcW w:w="803"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战略目标</w:t>
            </w:r>
            <w:r w:rsidRPr="00DC11E1">
              <w:rPr>
                <w:rFonts w:ascii="Times New Roman"/>
                <w:spacing w:val="4"/>
                <w:sz w:val="20"/>
              </w:rPr>
              <w:t>2</w:t>
            </w:r>
          </w:p>
        </w:tc>
      </w:tr>
      <w:tr w:rsidR="00396C72" w:rsidRPr="00104598" w:rsidTr="00E411B6">
        <w:tc>
          <w:tcPr>
            <w:tcW w:w="1062" w:type="pct"/>
            <w:vMerge/>
            <w:shd w:val="clear" w:color="auto" w:fill="auto"/>
            <w:vAlign w:val="center"/>
          </w:tcPr>
          <w:p w:rsidR="00396C72" w:rsidRPr="00DC11E1" w:rsidRDefault="00396C72" w:rsidP="0020494C">
            <w:pPr>
              <w:spacing w:before="120" w:after="0" w:line="300" w:lineRule="exact"/>
              <w:jc w:val="left"/>
              <w:rPr>
                <w:rFonts w:ascii="Times New Roman"/>
                <w:spacing w:val="4"/>
                <w:sz w:val="20"/>
              </w:rPr>
            </w:pPr>
          </w:p>
        </w:tc>
        <w:tc>
          <w:tcPr>
            <w:tcW w:w="1878"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确保女性享有性别平等和机遇</w:t>
            </w:r>
          </w:p>
        </w:tc>
        <w:tc>
          <w:tcPr>
            <w:tcW w:w="1256"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lang w:val="it-IT"/>
              </w:rPr>
              <w:t>亚太、拉美加、近东和北非、撒哈拉以南非洲地区</w:t>
            </w:r>
          </w:p>
        </w:tc>
        <w:tc>
          <w:tcPr>
            <w:tcW w:w="803"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战略目标</w:t>
            </w:r>
            <w:r w:rsidRPr="00DC11E1">
              <w:rPr>
                <w:rFonts w:ascii="Times New Roman"/>
                <w:spacing w:val="4"/>
                <w:sz w:val="20"/>
              </w:rPr>
              <w:t>2</w:t>
            </w:r>
          </w:p>
        </w:tc>
      </w:tr>
      <w:tr w:rsidR="00396C72" w:rsidRPr="00104598" w:rsidTr="00E411B6">
        <w:tc>
          <w:tcPr>
            <w:tcW w:w="1062"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战略目标</w:t>
            </w:r>
            <w:r w:rsidRPr="00DC11E1">
              <w:rPr>
                <w:rFonts w:ascii="Times New Roman"/>
                <w:spacing w:val="4"/>
                <w:sz w:val="20"/>
              </w:rPr>
              <w:t>5</w:t>
            </w:r>
          </w:p>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增强生计抵御威胁</w:t>
            </w:r>
            <w:r w:rsidR="0020494C">
              <w:rPr>
                <w:rFonts w:ascii="Times New Roman" w:hint="eastAsia"/>
                <w:spacing w:val="4"/>
                <w:sz w:val="20"/>
              </w:rPr>
              <w:br/>
            </w:r>
            <w:r w:rsidRPr="00DC11E1">
              <w:rPr>
                <w:rFonts w:ascii="Times New Roman"/>
                <w:spacing w:val="4"/>
                <w:sz w:val="20"/>
              </w:rPr>
              <w:t>和危机的能力</w:t>
            </w:r>
          </w:p>
        </w:tc>
        <w:tc>
          <w:tcPr>
            <w:tcW w:w="1878"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E411B6">
              <w:rPr>
                <w:rFonts w:ascii="Times New Roman"/>
                <w:spacing w:val="4"/>
                <w:sz w:val="20"/>
              </w:rPr>
              <w:t>制定气候变化适应和建设抵御能力的</w:t>
            </w:r>
            <w:r w:rsidRPr="00DC11E1">
              <w:rPr>
                <w:rFonts w:ascii="Times New Roman"/>
                <w:spacing w:val="4"/>
                <w:sz w:val="20"/>
              </w:rPr>
              <w:t>方法（包括疾病防控和生物安保），并增加物种和技术多样性</w:t>
            </w:r>
          </w:p>
        </w:tc>
        <w:tc>
          <w:tcPr>
            <w:tcW w:w="1256"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lang w:val="it-IT"/>
              </w:rPr>
              <w:t>亚太、拉美加、近东和北非、撒哈拉以南非洲地区</w:t>
            </w:r>
          </w:p>
        </w:tc>
        <w:tc>
          <w:tcPr>
            <w:tcW w:w="803" w:type="pct"/>
            <w:shd w:val="clear" w:color="auto" w:fill="auto"/>
            <w:vAlign w:val="center"/>
          </w:tcPr>
          <w:p w:rsidR="00396C72" w:rsidRPr="00DC11E1" w:rsidRDefault="00396C72" w:rsidP="0020494C">
            <w:pPr>
              <w:spacing w:before="120" w:after="0" w:line="300" w:lineRule="exact"/>
              <w:jc w:val="left"/>
              <w:rPr>
                <w:rFonts w:ascii="Times New Roman"/>
                <w:spacing w:val="4"/>
                <w:sz w:val="20"/>
              </w:rPr>
            </w:pPr>
            <w:r w:rsidRPr="00DC11E1">
              <w:rPr>
                <w:rFonts w:ascii="Times New Roman"/>
                <w:spacing w:val="4"/>
                <w:sz w:val="20"/>
              </w:rPr>
              <w:t>战略目标</w:t>
            </w:r>
            <w:r w:rsidRPr="00DC11E1">
              <w:rPr>
                <w:rFonts w:ascii="Times New Roman"/>
                <w:spacing w:val="4"/>
                <w:sz w:val="20"/>
              </w:rPr>
              <w:t>2</w:t>
            </w:r>
          </w:p>
        </w:tc>
      </w:tr>
    </w:tbl>
    <w:p w:rsidR="00396C72" w:rsidRPr="00864EEE" w:rsidRDefault="00396C72" w:rsidP="00864EEE">
      <w:pPr>
        <w:spacing w:before="120" w:after="0" w:line="300" w:lineRule="exact"/>
        <w:rPr>
          <w:rFonts w:ascii="Times New Roman"/>
          <w:sz w:val="20"/>
        </w:rPr>
      </w:pPr>
      <w:r w:rsidRPr="00864EEE">
        <w:rPr>
          <w:rFonts w:ascii="Times New Roman"/>
          <w:sz w:val="20"/>
        </w:rPr>
        <w:t>* EUR</w:t>
      </w:r>
      <w:r w:rsidRPr="00864EEE">
        <w:rPr>
          <w:rFonts w:ascii="Times New Roman" w:hint="eastAsia"/>
          <w:sz w:val="20"/>
        </w:rPr>
        <w:t>＝</w:t>
      </w:r>
      <w:r w:rsidRPr="00864EEE">
        <w:rPr>
          <w:rFonts w:ascii="Times New Roman"/>
          <w:sz w:val="20"/>
        </w:rPr>
        <w:t>欧洲，</w:t>
      </w:r>
      <w:r w:rsidRPr="00864EEE">
        <w:rPr>
          <w:rFonts w:ascii="Times New Roman"/>
          <w:sz w:val="20"/>
        </w:rPr>
        <w:t>LAC</w:t>
      </w:r>
      <w:r w:rsidRPr="00864EEE">
        <w:rPr>
          <w:rFonts w:ascii="Times New Roman" w:hint="eastAsia"/>
          <w:sz w:val="20"/>
        </w:rPr>
        <w:t>＝</w:t>
      </w:r>
      <w:r w:rsidRPr="00864EEE">
        <w:rPr>
          <w:rFonts w:ascii="Times New Roman"/>
          <w:sz w:val="20"/>
        </w:rPr>
        <w:t>拉丁美洲和加勒比，</w:t>
      </w:r>
      <w:r w:rsidRPr="00864EEE">
        <w:rPr>
          <w:rFonts w:ascii="Times New Roman"/>
          <w:sz w:val="20"/>
        </w:rPr>
        <w:t>NA</w:t>
      </w:r>
      <w:r w:rsidRPr="00864EEE">
        <w:rPr>
          <w:rFonts w:ascii="Times New Roman" w:hint="eastAsia"/>
          <w:sz w:val="20"/>
        </w:rPr>
        <w:t>＝</w:t>
      </w:r>
      <w:r w:rsidRPr="00864EEE">
        <w:rPr>
          <w:rFonts w:ascii="Times New Roman"/>
          <w:sz w:val="20"/>
        </w:rPr>
        <w:t>北美，</w:t>
      </w:r>
      <w:r w:rsidRPr="00864EEE">
        <w:rPr>
          <w:rFonts w:ascii="Times New Roman"/>
          <w:sz w:val="20"/>
        </w:rPr>
        <w:t>NENA</w:t>
      </w:r>
      <w:r w:rsidRPr="00864EEE">
        <w:rPr>
          <w:rFonts w:ascii="Times New Roman" w:hint="eastAsia"/>
          <w:sz w:val="20"/>
        </w:rPr>
        <w:t>＝</w:t>
      </w:r>
      <w:r w:rsidRPr="00864EEE">
        <w:rPr>
          <w:rFonts w:ascii="Times New Roman"/>
          <w:sz w:val="20"/>
        </w:rPr>
        <w:t>近东和北非，</w:t>
      </w:r>
      <w:r w:rsidRPr="00864EEE">
        <w:rPr>
          <w:rFonts w:ascii="Times New Roman"/>
          <w:sz w:val="20"/>
        </w:rPr>
        <w:t>SSA</w:t>
      </w:r>
      <w:r w:rsidRPr="00864EEE">
        <w:rPr>
          <w:rFonts w:ascii="Times New Roman" w:hint="eastAsia"/>
          <w:sz w:val="20"/>
        </w:rPr>
        <w:t>＝</w:t>
      </w:r>
      <w:r w:rsidRPr="00864EEE">
        <w:rPr>
          <w:rFonts w:ascii="Times New Roman"/>
          <w:sz w:val="20"/>
        </w:rPr>
        <w:t>撒哈拉以南非洲地区，</w:t>
      </w:r>
      <w:r w:rsidRPr="00864EEE">
        <w:rPr>
          <w:rFonts w:ascii="Times New Roman"/>
          <w:sz w:val="20"/>
        </w:rPr>
        <w:t>RAP</w:t>
      </w:r>
      <w:r w:rsidRPr="00864EEE">
        <w:rPr>
          <w:rFonts w:ascii="Times New Roman" w:hint="eastAsia"/>
          <w:sz w:val="20"/>
        </w:rPr>
        <w:t>＝</w:t>
      </w:r>
      <w:r w:rsidRPr="00864EEE">
        <w:rPr>
          <w:rFonts w:ascii="Times New Roman"/>
          <w:sz w:val="20"/>
        </w:rPr>
        <w:t>亚洲和太平洋。</w:t>
      </w:r>
    </w:p>
    <w:p w:rsidR="000069DB" w:rsidRPr="00A157D4" w:rsidRDefault="000069DB" w:rsidP="006E5326">
      <w:pPr>
        <w:rPr>
          <w:rFonts w:ascii="Times New Roman"/>
        </w:rPr>
      </w:pPr>
    </w:p>
    <w:sectPr w:rsidR="000069DB" w:rsidRPr="00A157D4" w:rsidSect="00AC7E96">
      <w:headerReference w:type="even" r:id="rId8"/>
      <w:headerReference w:type="default" r:id="rId9"/>
      <w:headerReference w:type="first" r:id="rId10"/>
      <w:footerReference w:type="first" r:id="rId11"/>
      <w:pgSz w:w="11906" w:h="16838" w:code="9"/>
      <w:pgMar w:top="873" w:right="1389" w:bottom="873" w:left="1389" w:header="851" w:footer="567"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21E" w:rsidRDefault="0041221E">
      <w:pPr>
        <w:spacing w:before="0" w:after="0" w:line="240" w:lineRule="auto"/>
      </w:pPr>
      <w:r>
        <w:separator/>
      </w:r>
    </w:p>
  </w:endnote>
  <w:endnote w:type="continuationSeparator" w:id="0">
    <w:p w:rsidR="0041221E" w:rsidRDefault="004122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宋体">
    <w:altName w:val="SimSun"/>
    <w:panose1 w:val="02010600030101010101"/>
    <w:charset w:val="86"/>
    <w:family w:val="auto"/>
    <w:pitch w:val="variable"/>
    <w:sig w:usb0="00000003" w:usb1="288F0000" w:usb2="00000016" w:usb3="00000000" w:csb0="00040001" w:csb1="00000000"/>
  </w:font>
  <w:font w:name="幼圆">
    <w:altName w:val="Arial Unicode MS"/>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BDA" w:rsidRPr="00410711" w:rsidRDefault="00180BDA" w:rsidP="00410711">
    <w:pPr>
      <w:pBdr>
        <w:top w:val="single" w:sz="6" w:space="4" w:color="auto"/>
      </w:pBdr>
      <w:spacing w:before="40" w:after="40" w:line="280" w:lineRule="exact"/>
      <w:ind w:left="96" w:right="113"/>
      <w:jc w:val="center"/>
      <w:rPr>
        <w:rFonts w:ascii="Times New Roman" w:eastAsia="楷体_GB2312"/>
        <w:sz w:val="22"/>
      </w:rPr>
    </w:pPr>
    <w:r w:rsidRPr="00410711">
      <w:rPr>
        <w:rFonts w:ascii="Times New Roman" w:eastAsia="楷体_GB2312"/>
        <w:sz w:val="22"/>
      </w:rPr>
      <w:t>为尽量减轻粮农组织工作过程对环境的影响，促进实现对气候变化零影响，</w:t>
    </w:r>
    <w:r w:rsidRPr="00410711">
      <w:rPr>
        <w:rFonts w:ascii="Times New Roman" w:eastAsia="楷体_GB2312" w:hint="eastAsia"/>
        <w:sz w:val="22"/>
      </w:rPr>
      <w:br/>
    </w:r>
    <w:r w:rsidRPr="00410711">
      <w:rPr>
        <w:rFonts w:ascii="Times New Roman" w:eastAsia="楷体_GB2312"/>
        <w:sz w:val="22"/>
      </w:rPr>
      <w:t>本文件印数有限。谨请各位代表、观察员携带文件与会，勿再索取副本。</w:t>
    </w:r>
    <w:r w:rsidRPr="00410711">
      <w:rPr>
        <w:rFonts w:ascii="Times New Roman" w:eastAsia="楷体_GB2312" w:hint="eastAsia"/>
        <w:sz w:val="22"/>
      </w:rPr>
      <w:br/>
    </w:r>
    <w:r w:rsidRPr="00410711">
      <w:rPr>
        <w:rFonts w:ascii="Times New Roman" w:eastAsia="楷体_GB2312"/>
        <w:sz w:val="22"/>
      </w:rPr>
      <w:t>粮农组织大多数会议文件可从互联网</w:t>
    </w:r>
    <w:hyperlink r:id="rId1" w:history="1">
      <w:r w:rsidRPr="00410711">
        <w:rPr>
          <w:rFonts w:ascii="Times New Roman" w:eastAsia="楷体_GB2312"/>
          <w:sz w:val="22"/>
        </w:rPr>
        <w:t>www.fao.org</w:t>
      </w:r>
    </w:hyperlink>
    <w:r w:rsidRPr="00410711">
      <w:rPr>
        <w:rFonts w:ascii="Times New Roman" w:eastAsia="楷体_GB2312"/>
        <w:sz w:val="22"/>
      </w:rPr>
      <w:t>网站获取。</w:t>
    </w:r>
  </w:p>
  <w:p w:rsidR="00180BDA" w:rsidRPr="00180BDA" w:rsidRDefault="00180BDA" w:rsidP="00410711">
    <w:pPr>
      <w:pStyle w:val="a5"/>
      <w:tabs>
        <w:tab w:val="clear" w:pos="4153"/>
        <w:tab w:val="clear" w:pos="8306"/>
      </w:tabs>
      <w:snapToGrid/>
      <w:spacing w:before="120" w:after="0" w:line="280" w:lineRule="exact"/>
      <w:rPr>
        <w:rFonts w:ascii="Times New Roman"/>
        <w:spacing w:val="16"/>
        <w:szCs w:val="20"/>
      </w:rPr>
    </w:pPr>
    <w:r w:rsidRPr="00180BDA">
      <w:rPr>
        <w:rFonts w:ascii="Times New Roman" w:hint="eastAsia"/>
        <w:spacing w:val="16"/>
        <w:szCs w:val="20"/>
      </w:rPr>
      <w:t>M</w:t>
    </w:r>
    <w:r w:rsidR="008104E5">
      <w:rPr>
        <w:rFonts w:ascii="Times New Roman" w:hint="eastAsia"/>
        <w:spacing w:val="16"/>
        <w:szCs w:val="20"/>
      </w:rPr>
      <w:t>O1</w:t>
    </w:r>
    <w:r w:rsidR="00410711">
      <w:rPr>
        <w:rFonts w:ascii="Times New Roman" w:hint="eastAsia"/>
        <w:spacing w:val="16"/>
        <w:szCs w:val="20"/>
      </w:rPr>
      <w:t>22</w:t>
    </w:r>
    <w:r w:rsidRPr="00180BDA">
      <w:rPr>
        <w:rFonts w:ascii="Times New Roman"/>
        <w:spacing w:val="16"/>
        <w:szCs w:val="20"/>
      </w:rPr>
      <w:t>/Ch.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21E" w:rsidRDefault="0041221E">
      <w:pPr>
        <w:spacing w:before="0" w:after="0" w:line="240" w:lineRule="auto"/>
      </w:pPr>
      <w:r>
        <w:separator/>
      </w:r>
    </w:p>
  </w:footnote>
  <w:footnote w:type="continuationSeparator" w:id="0">
    <w:p w:rsidR="0041221E" w:rsidRDefault="0041221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06" w:rsidRPr="00760AF4" w:rsidRDefault="007F028C" w:rsidP="00A41F8E">
    <w:pPr>
      <w:pStyle w:val="a4"/>
      <w:framePr w:wrap="around" w:vAnchor="text" w:hAnchor="margin" w:xAlign="outside" w:y="1"/>
      <w:pBdr>
        <w:bottom w:val="none" w:sz="0" w:space="0" w:color="auto"/>
      </w:pBdr>
      <w:spacing w:before="0" w:after="0" w:line="280" w:lineRule="exact"/>
      <w:jc w:val="both"/>
      <w:rPr>
        <w:rStyle w:val="a6"/>
        <w:rFonts w:ascii="Arial" w:hAnsi="Arial" w:cs="Arial"/>
        <w:sz w:val="20"/>
        <w:szCs w:val="20"/>
      </w:rPr>
    </w:pPr>
    <w:r w:rsidRPr="00760AF4">
      <w:rPr>
        <w:rStyle w:val="a6"/>
        <w:rFonts w:ascii="Arial" w:hAnsi="Arial" w:cs="Arial"/>
        <w:sz w:val="20"/>
        <w:szCs w:val="20"/>
      </w:rPr>
      <w:fldChar w:fldCharType="begin"/>
    </w:r>
    <w:r w:rsidR="00F21B06" w:rsidRPr="00760AF4">
      <w:rPr>
        <w:rStyle w:val="a6"/>
        <w:rFonts w:ascii="Arial" w:hAnsi="Arial" w:cs="Arial"/>
        <w:sz w:val="20"/>
        <w:szCs w:val="20"/>
      </w:rPr>
      <w:instrText xml:space="preserve">PAGE  </w:instrText>
    </w:r>
    <w:r w:rsidRPr="00760AF4">
      <w:rPr>
        <w:rStyle w:val="a6"/>
        <w:rFonts w:ascii="Arial" w:hAnsi="Arial" w:cs="Arial"/>
        <w:sz w:val="20"/>
        <w:szCs w:val="20"/>
      </w:rPr>
      <w:fldChar w:fldCharType="separate"/>
    </w:r>
    <w:r w:rsidR="00F173F0">
      <w:rPr>
        <w:rStyle w:val="a6"/>
        <w:rFonts w:ascii="Arial" w:hAnsi="Arial" w:cs="Arial"/>
        <w:noProof/>
        <w:sz w:val="20"/>
        <w:szCs w:val="20"/>
      </w:rPr>
      <w:t>12</w:t>
    </w:r>
    <w:r w:rsidRPr="00760AF4">
      <w:rPr>
        <w:rStyle w:val="a6"/>
        <w:rFonts w:ascii="Arial" w:hAnsi="Arial" w:cs="Arial"/>
        <w:sz w:val="20"/>
        <w:szCs w:val="20"/>
      </w:rPr>
      <w:fldChar w:fldCharType="end"/>
    </w:r>
  </w:p>
  <w:tbl>
    <w:tblPr>
      <w:tblW w:w="9333" w:type="dxa"/>
      <w:tblBorders>
        <w:bottom w:val="single" w:sz="12" w:space="0" w:color="auto"/>
      </w:tblBorders>
      <w:tblLayout w:type="fixed"/>
      <w:tblLook w:val="0000" w:firstRow="0" w:lastRow="0" w:firstColumn="0" w:lastColumn="0" w:noHBand="0" w:noVBand="0"/>
    </w:tblPr>
    <w:tblGrid>
      <w:gridCol w:w="4672"/>
      <w:gridCol w:w="4661"/>
    </w:tblGrid>
    <w:tr w:rsidR="00F21B06">
      <w:tc>
        <w:tcPr>
          <w:tcW w:w="4672" w:type="dxa"/>
        </w:tcPr>
        <w:p w:rsidR="00F21B06" w:rsidRPr="00E2695D" w:rsidRDefault="00F21B06" w:rsidP="00FE6357">
          <w:pPr>
            <w:pStyle w:val="a4"/>
            <w:pBdr>
              <w:bottom w:val="none" w:sz="0" w:space="0" w:color="auto"/>
            </w:pBdr>
            <w:tabs>
              <w:tab w:val="clear" w:pos="4153"/>
              <w:tab w:val="clear" w:pos="8306"/>
            </w:tabs>
            <w:spacing w:before="0" w:after="0" w:line="280" w:lineRule="exact"/>
            <w:jc w:val="right"/>
            <w:rPr>
              <w:sz w:val="20"/>
              <w:szCs w:val="20"/>
            </w:rPr>
          </w:pPr>
        </w:p>
      </w:tc>
      <w:tc>
        <w:tcPr>
          <w:tcW w:w="4661" w:type="dxa"/>
        </w:tcPr>
        <w:p w:rsidR="00F21B06" w:rsidRDefault="00F21B06" w:rsidP="00410711">
          <w:pPr>
            <w:pStyle w:val="a4"/>
            <w:pBdr>
              <w:bottom w:val="none" w:sz="0" w:space="0" w:color="auto"/>
            </w:pBdr>
            <w:tabs>
              <w:tab w:val="clear" w:pos="4153"/>
              <w:tab w:val="clear" w:pos="8306"/>
            </w:tabs>
            <w:wordWrap w:val="0"/>
            <w:spacing w:before="0" w:after="0" w:line="280" w:lineRule="exact"/>
            <w:jc w:val="right"/>
            <w:rPr>
              <w:sz w:val="20"/>
            </w:rPr>
          </w:pPr>
          <w:r w:rsidRPr="00A41F8E">
            <w:rPr>
              <w:rFonts w:ascii="Arial" w:hAnsi="Arial" w:cs="Arial"/>
              <w:noProof/>
              <w:sz w:val="20"/>
            </w:rPr>
            <w:t>COFI</w:t>
          </w:r>
          <w:r>
            <w:rPr>
              <w:rFonts w:ascii="Arial" w:hAnsi="Arial" w:cs="Arial" w:hint="eastAsia"/>
              <w:noProof/>
              <w:sz w:val="20"/>
            </w:rPr>
            <w:t>:AQ/V</w:t>
          </w:r>
          <w:r w:rsidR="008104E5">
            <w:rPr>
              <w:rFonts w:ascii="Arial" w:hAnsi="Arial" w:cs="Arial" w:hint="eastAsia"/>
              <w:noProof/>
              <w:sz w:val="20"/>
            </w:rPr>
            <w:t>I</w:t>
          </w:r>
          <w:r w:rsidR="00180BDA">
            <w:rPr>
              <w:rFonts w:ascii="Arial" w:hAnsi="Arial" w:cs="Arial" w:hint="eastAsia"/>
              <w:noProof/>
              <w:sz w:val="20"/>
            </w:rPr>
            <w:t>I</w:t>
          </w:r>
          <w:r>
            <w:rPr>
              <w:rFonts w:ascii="Arial" w:hAnsi="Arial" w:cs="Arial" w:hint="eastAsia"/>
              <w:noProof/>
              <w:sz w:val="20"/>
            </w:rPr>
            <w:t>I</w:t>
          </w:r>
          <w:r w:rsidRPr="00A41F8E">
            <w:rPr>
              <w:rFonts w:ascii="Arial" w:hAnsi="Arial" w:cs="Arial" w:hint="eastAsia"/>
              <w:noProof/>
              <w:sz w:val="20"/>
            </w:rPr>
            <w:t>/</w:t>
          </w:r>
          <w:r w:rsidRPr="00A41F8E">
            <w:rPr>
              <w:rFonts w:ascii="Arial" w:hAnsi="Arial" w:cs="Arial"/>
              <w:noProof/>
              <w:sz w:val="20"/>
            </w:rPr>
            <w:t>20</w:t>
          </w:r>
          <w:r w:rsidRPr="00A41F8E">
            <w:rPr>
              <w:rFonts w:ascii="Arial" w:hAnsi="Arial" w:cs="Arial" w:hint="eastAsia"/>
              <w:noProof/>
              <w:sz w:val="20"/>
            </w:rPr>
            <w:t>1</w:t>
          </w:r>
          <w:r w:rsidR="008104E5">
            <w:rPr>
              <w:rFonts w:ascii="Arial" w:hAnsi="Arial" w:cs="Arial" w:hint="eastAsia"/>
              <w:noProof/>
              <w:sz w:val="20"/>
            </w:rPr>
            <w:t>5</w:t>
          </w:r>
          <w:r w:rsidRPr="00A41F8E">
            <w:rPr>
              <w:rFonts w:ascii="Arial" w:hAnsi="Arial" w:cs="Arial"/>
              <w:noProof/>
              <w:sz w:val="20"/>
            </w:rPr>
            <w:t>/</w:t>
          </w:r>
          <w:r w:rsidR="00410711">
            <w:rPr>
              <w:rFonts w:ascii="Arial" w:hAnsi="Arial" w:cs="Arial" w:hint="eastAsia"/>
              <w:noProof/>
              <w:sz w:val="20"/>
            </w:rPr>
            <w:t>5</w:t>
          </w:r>
        </w:p>
      </w:tc>
    </w:tr>
  </w:tbl>
  <w:p w:rsidR="00F21B06" w:rsidRDefault="00F21B06" w:rsidP="00760AF4">
    <w:pPr>
      <w:pStyle w:val="a4"/>
      <w:pBdr>
        <w:bottom w:val="none" w:sz="0" w:space="0" w:color="auto"/>
      </w:pBdr>
      <w:tabs>
        <w:tab w:val="clear" w:pos="4153"/>
        <w:tab w:val="clear" w:pos="8306"/>
      </w:tabs>
      <w:jc w:val="both"/>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06" w:rsidRPr="00133D89" w:rsidRDefault="007F028C" w:rsidP="00A41F8E">
    <w:pPr>
      <w:pStyle w:val="a4"/>
      <w:framePr w:wrap="around" w:vAnchor="text" w:hAnchor="margin" w:xAlign="outside" w:y="1"/>
      <w:pBdr>
        <w:bottom w:val="none" w:sz="0" w:space="0" w:color="auto"/>
      </w:pBdr>
      <w:spacing w:before="0" w:after="0" w:line="280" w:lineRule="exact"/>
      <w:rPr>
        <w:rStyle w:val="a6"/>
        <w:rFonts w:ascii="Arial" w:hAnsi="Arial" w:cs="Arial"/>
        <w:sz w:val="20"/>
      </w:rPr>
    </w:pPr>
    <w:r w:rsidRPr="00133D89">
      <w:rPr>
        <w:rStyle w:val="a6"/>
        <w:rFonts w:ascii="Arial" w:hAnsi="Arial" w:cs="Arial"/>
        <w:sz w:val="20"/>
      </w:rPr>
      <w:fldChar w:fldCharType="begin"/>
    </w:r>
    <w:r w:rsidR="00F21B06" w:rsidRPr="00133D89">
      <w:rPr>
        <w:rStyle w:val="a6"/>
        <w:rFonts w:ascii="Arial" w:hAnsi="Arial" w:cs="Arial"/>
        <w:sz w:val="20"/>
      </w:rPr>
      <w:instrText xml:space="preserve">PAGE  </w:instrText>
    </w:r>
    <w:r w:rsidRPr="00133D89">
      <w:rPr>
        <w:rStyle w:val="a6"/>
        <w:rFonts w:ascii="Arial" w:hAnsi="Arial" w:cs="Arial"/>
        <w:sz w:val="20"/>
      </w:rPr>
      <w:fldChar w:fldCharType="separate"/>
    </w:r>
    <w:r w:rsidR="0020494C">
      <w:rPr>
        <w:rStyle w:val="a6"/>
        <w:rFonts w:ascii="Arial" w:hAnsi="Arial" w:cs="Arial"/>
        <w:noProof/>
        <w:sz w:val="20"/>
      </w:rPr>
      <w:t>11</w:t>
    </w:r>
    <w:r w:rsidRPr="00133D89">
      <w:rPr>
        <w:rStyle w:val="a6"/>
        <w:rFonts w:ascii="Arial" w:hAnsi="Arial" w:cs="Arial"/>
        <w:sz w:val="20"/>
      </w:rPr>
      <w:fldChar w:fldCharType="end"/>
    </w:r>
  </w:p>
  <w:tbl>
    <w:tblPr>
      <w:tblW w:w="9333" w:type="dxa"/>
      <w:tblBorders>
        <w:bottom w:val="single" w:sz="12" w:space="0" w:color="auto"/>
      </w:tblBorders>
      <w:tblLayout w:type="fixed"/>
      <w:tblLook w:val="0000" w:firstRow="0" w:lastRow="0" w:firstColumn="0" w:lastColumn="0" w:noHBand="0" w:noVBand="0"/>
    </w:tblPr>
    <w:tblGrid>
      <w:gridCol w:w="4672"/>
      <w:gridCol w:w="4661"/>
    </w:tblGrid>
    <w:tr w:rsidR="00F21B06">
      <w:tc>
        <w:tcPr>
          <w:tcW w:w="4672" w:type="dxa"/>
        </w:tcPr>
        <w:p w:rsidR="00F21B06" w:rsidRPr="00E2695D" w:rsidRDefault="008104E5" w:rsidP="00410711">
          <w:pPr>
            <w:pStyle w:val="a4"/>
            <w:pBdr>
              <w:bottom w:val="none" w:sz="0" w:space="0" w:color="auto"/>
            </w:pBdr>
            <w:tabs>
              <w:tab w:val="clear" w:pos="4153"/>
              <w:tab w:val="clear" w:pos="8306"/>
            </w:tabs>
            <w:spacing w:before="0" w:after="0" w:line="280" w:lineRule="exact"/>
            <w:jc w:val="both"/>
            <w:rPr>
              <w:sz w:val="20"/>
              <w:szCs w:val="20"/>
            </w:rPr>
          </w:pPr>
          <w:r w:rsidRPr="00A41F8E">
            <w:rPr>
              <w:rFonts w:ascii="Arial" w:hAnsi="Arial" w:cs="Arial"/>
              <w:noProof/>
              <w:sz w:val="20"/>
            </w:rPr>
            <w:t>COFI</w:t>
          </w:r>
          <w:r>
            <w:rPr>
              <w:rFonts w:ascii="Arial" w:hAnsi="Arial" w:cs="Arial" w:hint="eastAsia"/>
              <w:noProof/>
              <w:sz w:val="20"/>
            </w:rPr>
            <w:t>:AQ/VIII</w:t>
          </w:r>
          <w:r w:rsidRPr="00A41F8E">
            <w:rPr>
              <w:rFonts w:ascii="Arial" w:hAnsi="Arial" w:cs="Arial" w:hint="eastAsia"/>
              <w:noProof/>
              <w:sz w:val="20"/>
            </w:rPr>
            <w:t>/</w:t>
          </w:r>
          <w:r w:rsidRPr="00A41F8E">
            <w:rPr>
              <w:rFonts w:ascii="Arial" w:hAnsi="Arial" w:cs="Arial"/>
              <w:noProof/>
              <w:sz w:val="20"/>
            </w:rPr>
            <w:t>20</w:t>
          </w:r>
          <w:r w:rsidRPr="00A41F8E">
            <w:rPr>
              <w:rFonts w:ascii="Arial" w:hAnsi="Arial" w:cs="Arial" w:hint="eastAsia"/>
              <w:noProof/>
              <w:sz w:val="20"/>
            </w:rPr>
            <w:t>1</w:t>
          </w:r>
          <w:r>
            <w:rPr>
              <w:rFonts w:ascii="Arial" w:hAnsi="Arial" w:cs="Arial" w:hint="eastAsia"/>
              <w:noProof/>
              <w:sz w:val="20"/>
            </w:rPr>
            <w:t>5</w:t>
          </w:r>
          <w:r w:rsidRPr="00A41F8E">
            <w:rPr>
              <w:rFonts w:ascii="Arial" w:hAnsi="Arial" w:cs="Arial"/>
              <w:noProof/>
              <w:sz w:val="20"/>
            </w:rPr>
            <w:t>/</w:t>
          </w:r>
          <w:r w:rsidR="00410711">
            <w:rPr>
              <w:rFonts w:ascii="Arial" w:hAnsi="Arial" w:cs="Arial" w:hint="eastAsia"/>
              <w:noProof/>
              <w:sz w:val="20"/>
            </w:rPr>
            <w:t>5</w:t>
          </w:r>
        </w:p>
      </w:tc>
      <w:tc>
        <w:tcPr>
          <w:tcW w:w="4661" w:type="dxa"/>
        </w:tcPr>
        <w:p w:rsidR="00F21B06" w:rsidRDefault="00F21B06" w:rsidP="00A41F8E">
          <w:pPr>
            <w:pStyle w:val="a4"/>
            <w:pBdr>
              <w:bottom w:val="none" w:sz="0" w:space="0" w:color="auto"/>
            </w:pBdr>
            <w:tabs>
              <w:tab w:val="clear" w:pos="4153"/>
              <w:tab w:val="clear" w:pos="8306"/>
            </w:tabs>
            <w:spacing w:before="0" w:after="0" w:line="280" w:lineRule="exact"/>
            <w:jc w:val="right"/>
            <w:rPr>
              <w:sz w:val="20"/>
            </w:rPr>
          </w:pPr>
        </w:p>
      </w:tc>
    </w:tr>
  </w:tbl>
  <w:p w:rsidR="00F21B06" w:rsidRDefault="00F21B06">
    <w:pPr>
      <w:pStyle w:val="a4"/>
      <w:pBdr>
        <w:bottom w:val="none" w:sz="0" w:space="0" w:color="auto"/>
      </w:pBdr>
      <w:tabs>
        <w:tab w:val="clear" w:pos="4153"/>
        <w:tab w:val="clear" w:pos="8306"/>
      </w:tabs>
      <w:jc w:val="both"/>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09" w:type="dxa"/>
      <w:tblInd w:w="24" w:type="dxa"/>
      <w:tblLayout w:type="fixed"/>
      <w:tblLook w:val="0000" w:firstRow="0" w:lastRow="0" w:firstColumn="0" w:lastColumn="0" w:noHBand="0" w:noVBand="0"/>
    </w:tblPr>
    <w:tblGrid>
      <w:gridCol w:w="4654"/>
      <w:gridCol w:w="4655"/>
    </w:tblGrid>
    <w:tr w:rsidR="008104E5" w:rsidTr="004C36A0">
      <w:tc>
        <w:tcPr>
          <w:tcW w:w="4654" w:type="dxa"/>
        </w:tcPr>
        <w:p w:rsidR="008104E5" w:rsidRPr="004B7B6F" w:rsidRDefault="008104E5" w:rsidP="008104E5">
          <w:pPr>
            <w:spacing w:after="0" w:line="300" w:lineRule="exact"/>
            <w:rPr>
              <w:rFonts w:ascii="Times New Roman"/>
              <w:b/>
            </w:rPr>
          </w:pPr>
          <w:r w:rsidRPr="004B7B6F">
            <w:rPr>
              <w:rFonts w:ascii="Times New Roman"/>
            </w:rPr>
            <w:t>20</w:t>
          </w:r>
          <w:r w:rsidRPr="004B7B6F">
            <w:rPr>
              <w:rFonts w:ascii="Times New Roman" w:hint="eastAsia"/>
            </w:rPr>
            <w:t>15</w:t>
          </w:r>
          <w:r w:rsidRPr="004B7B6F">
            <w:rPr>
              <w:rFonts w:ascii="Times New Roman" w:hint="eastAsia"/>
            </w:rPr>
            <w:t>年</w:t>
          </w:r>
          <w:r w:rsidRPr="004B7B6F">
            <w:rPr>
              <w:rFonts w:ascii="Times New Roman" w:hint="eastAsia"/>
            </w:rPr>
            <w:t>6</w:t>
          </w:r>
          <w:r w:rsidRPr="004B7B6F">
            <w:rPr>
              <w:rFonts w:ascii="Times New Roman" w:hint="eastAsia"/>
            </w:rPr>
            <w:t>月</w:t>
          </w:r>
        </w:p>
      </w:tc>
      <w:tc>
        <w:tcPr>
          <w:tcW w:w="4655" w:type="dxa"/>
        </w:tcPr>
        <w:p w:rsidR="008104E5" w:rsidRPr="008104E5" w:rsidRDefault="008104E5" w:rsidP="00410711">
          <w:pPr>
            <w:spacing w:after="0" w:line="300" w:lineRule="exact"/>
            <w:jc w:val="right"/>
            <w:rPr>
              <w:rFonts w:ascii="Times New Roman"/>
            </w:rPr>
          </w:pPr>
          <w:bookmarkStart w:id="1" w:name="FirstCoverIdentificationBookmark"/>
          <w:r w:rsidRPr="008104E5">
            <w:rPr>
              <w:rFonts w:ascii="Times New Roman"/>
            </w:rPr>
            <w:t>COFI:AQ/VIII/2015/</w:t>
          </w:r>
          <w:bookmarkEnd w:id="1"/>
          <w:r w:rsidR="00410711">
            <w:rPr>
              <w:rFonts w:ascii="Times New Roman" w:hint="eastAsia"/>
            </w:rPr>
            <w:t>5</w:t>
          </w:r>
        </w:p>
      </w:tc>
    </w:tr>
  </w:tbl>
  <w:p w:rsidR="008104E5" w:rsidRDefault="008104E5" w:rsidP="008104E5">
    <w:pPr>
      <w:spacing w:before="0" w:after="0" w:line="100" w:lineRule="exact"/>
    </w:pPr>
  </w:p>
  <w:p w:rsidR="00F21B06" w:rsidRPr="008104E5" w:rsidRDefault="008104E5" w:rsidP="008104E5">
    <w:pPr>
      <w:pStyle w:val="a4"/>
      <w:pBdr>
        <w:top w:val="single" w:sz="12" w:space="1" w:color="000000" w:themeColor="text1"/>
        <w:bottom w:val="none" w:sz="0" w:space="0" w:color="auto"/>
      </w:pBdr>
      <w:tabs>
        <w:tab w:val="clear" w:pos="4153"/>
        <w:tab w:val="clear" w:pos="8306"/>
      </w:tabs>
      <w:spacing w:before="0" w:after="0" w:line="240" w:lineRule="auto"/>
    </w:pPr>
    <w:r>
      <w:rPr>
        <w:noProof/>
      </w:rPr>
      <w:drawing>
        <wp:inline distT="0" distB="0" distL="0" distR="0" wp14:anchorId="3F5382CC" wp14:editId="01CD9DC9">
          <wp:extent cx="5760085" cy="794385"/>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71849"/>
    <w:multiLevelType w:val="multilevel"/>
    <w:tmpl w:val="FFFFFFFF"/>
    <w:lvl w:ilvl="0">
      <w:numFmt w:val="decimal"/>
      <w:pStyle w:val="4"/>
      <w:lvlText w:val="%1"/>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A34621"/>
    <w:multiLevelType w:val="hybridMultilevel"/>
    <w:tmpl w:val="F54ADD20"/>
    <w:lvl w:ilvl="0" w:tplc="A6A822F2">
      <w:start w:val="1"/>
      <w:numFmt w:val="upperLetter"/>
      <w:pStyle w:val="1"/>
      <w:lvlText w:val="%1."/>
      <w:lvlJc w:val="left"/>
      <w:pPr>
        <w:ind w:left="420" w:hanging="420"/>
      </w:pPr>
      <w:rPr>
        <w:rFonts w:ascii="Times New Roman" w:eastAsia="楷体_GB2312" w:hAnsi="Times New Roman" w:hint="default"/>
        <w:b/>
        <w:bCs/>
        <w:i w:val="0"/>
        <w:iCs w:val="0"/>
        <w:snapToGrid/>
        <w:color w:val="auto"/>
        <w:spacing w:val="8"/>
        <w:w w:val="100"/>
        <w:kern w:val="2"/>
        <w:position w:val="0"/>
        <w:sz w:val="28"/>
        <w:szCs w:val="24"/>
        <w:u w:val="none"/>
        <w:em w:val="none"/>
        <w14:cntxtAlt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DD45CD"/>
    <w:multiLevelType w:val="multilevel"/>
    <w:tmpl w:val="0409000F"/>
    <w:lvl w:ilvl="0">
      <w:start w:val="1"/>
      <w:numFmt w:val="decimal"/>
      <w:pStyle w:val="RandListLev1"/>
      <w:lvlText w:val="%1."/>
      <w:lvlJc w:val="left"/>
      <w:pPr>
        <w:tabs>
          <w:tab w:val="num"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F01334"/>
    <w:multiLevelType w:val="hybridMultilevel"/>
    <w:tmpl w:val="E2EC14FA"/>
    <w:lvl w:ilvl="0" w:tplc="1418650E">
      <w:start w:val="1"/>
      <w:numFmt w:val="bullet"/>
      <w:lvlText w:val=""/>
      <w:lvlJc w:val="left"/>
      <w:pPr>
        <w:ind w:left="420" w:hanging="420"/>
      </w:pPr>
      <w:rPr>
        <w:rFonts w:ascii="Symbol" w:hAnsi="Symbol"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D5E5D87"/>
    <w:multiLevelType w:val="singleLevel"/>
    <w:tmpl w:val="C34A99CC"/>
    <w:lvl w:ilvl="0">
      <w:start w:val="1"/>
      <w:numFmt w:val="bullet"/>
      <w:pStyle w:val="BoxRandList1"/>
      <w:lvlText w:val=""/>
      <w:lvlJc w:val="left"/>
      <w:pPr>
        <w:tabs>
          <w:tab w:val="num" w:pos="541"/>
        </w:tabs>
        <w:ind w:left="436" w:hanging="255"/>
      </w:pPr>
      <w:rPr>
        <w:rFonts w:ascii="Symbol" w:hAnsi="Symbol" w:hint="default"/>
        <w:color w:val="006980"/>
      </w:rPr>
    </w:lvl>
  </w:abstractNum>
  <w:abstractNum w:abstractNumId="6">
    <w:nsid w:val="5FFA4880"/>
    <w:multiLevelType w:val="multilevel"/>
    <w:tmpl w:val="C26EAD8A"/>
    <w:lvl w:ilvl="0">
      <w:start w:val="1"/>
      <w:numFmt w:val="decimal"/>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7">
    <w:nsid w:val="6D95316F"/>
    <w:multiLevelType w:val="multilevel"/>
    <w:tmpl w:val="74D0CABE"/>
    <w:lvl w:ilvl="0">
      <w:start w:val="1"/>
      <w:numFmt w:val="upperRoman"/>
      <w:lvlText w:val="%1."/>
      <w:lvlJc w:val="center"/>
      <w:pPr>
        <w:tabs>
          <w:tab w:val="num" w:pos="360"/>
        </w:tabs>
      </w:pPr>
      <w:rPr>
        <w:rFonts w:hint="eastAsia"/>
        <w:b/>
        <w:i w:val="0"/>
        <w:spacing w:val="8"/>
        <w:sz w:val="28"/>
      </w:rPr>
    </w:lvl>
    <w:lvl w:ilvl="1">
      <w:start w:val="1"/>
      <w:numFmt w:val="decimal"/>
      <w:pStyle w:val="StyleHeading2Chpt11ptJustifiedBefore0cmFirstline"/>
      <w:lvlText w:val="%2."/>
      <w:lvlJc w:val="left"/>
      <w:pPr>
        <w:tabs>
          <w:tab w:val="num" w:pos="360"/>
        </w:tabs>
      </w:pPr>
      <w:rPr>
        <w:rFonts w:hint="eastAsia"/>
        <w:b w:val="0"/>
        <w:i w:val="0"/>
        <w:spacing w:val="8"/>
        <w:sz w:val="24"/>
      </w:rPr>
    </w:lvl>
    <w:lvl w:ilvl="2">
      <w:start w:val="1"/>
      <w:numFmt w:val="lowerLetter"/>
      <w:lvlText w:val="%3)"/>
      <w:lvlJc w:val="left"/>
      <w:pPr>
        <w:tabs>
          <w:tab w:val="num" w:pos="1474"/>
        </w:tabs>
        <w:ind w:left="1474" w:hanging="964"/>
      </w:pPr>
      <w:rPr>
        <w:rFonts w:hint="eastAsia"/>
        <w:b w:val="0"/>
        <w:i w:val="0"/>
        <w:sz w:val="24"/>
      </w:rPr>
    </w:lvl>
    <w:lvl w:ilvl="3">
      <w:start w:val="1"/>
      <w:numFmt w:val="lowerLetter"/>
      <w:lvlText w:val="%4."/>
      <w:lvlJc w:val="left"/>
      <w:pPr>
        <w:tabs>
          <w:tab w:val="num" w:pos="1559"/>
        </w:tabs>
        <w:ind w:left="1559" w:hanging="283"/>
      </w:pPr>
      <w:rPr>
        <w:rFonts w:hint="eastAsia"/>
      </w:rPr>
    </w:lvl>
    <w:lvl w:ilvl="4">
      <w:start w:val="1"/>
      <w:numFmt w:val="decimal"/>
      <w:lvlText w:val="%5."/>
      <w:lvlJc w:val="left"/>
      <w:pPr>
        <w:tabs>
          <w:tab w:val="num" w:pos="1984"/>
        </w:tabs>
        <w:ind w:left="1984" w:hanging="425"/>
      </w:pPr>
      <w:rPr>
        <w:rFonts w:hint="eastAsia"/>
      </w:rPr>
    </w:lvl>
    <w:lvl w:ilvl="5">
      <w:start w:val="1"/>
      <w:numFmt w:val="lowerLetter"/>
      <w:lvlText w:val="%6."/>
      <w:lvlJc w:val="left"/>
      <w:pPr>
        <w:tabs>
          <w:tab w:val="num" w:pos="2409"/>
        </w:tabs>
        <w:ind w:left="2409" w:hanging="425"/>
      </w:pPr>
      <w:rPr>
        <w:rFonts w:hint="eastAsia"/>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8">
    <w:nsid w:val="782330D3"/>
    <w:multiLevelType w:val="hybridMultilevel"/>
    <w:tmpl w:val="25D81FB0"/>
    <w:lvl w:ilvl="0" w:tplc="2ED04BE8">
      <w:start w:val="1"/>
      <w:numFmt w:val="decimal"/>
      <w:lvlText w:val="%1."/>
      <w:lvlJc w:val="left"/>
      <w:pPr>
        <w:ind w:left="420" w:hanging="420"/>
      </w:pPr>
      <w:rPr>
        <w:rFonts w:ascii="Times New Roman" w:eastAsia="宋体" w:hAnsi="Times New Roman" w:hint="default"/>
        <w:b w:val="0"/>
        <w:i w:val="0"/>
        <w:snapToGrid/>
        <w:color w:val="auto"/>
        <w:spacing w:val="8"/>
        <w:w w:val="100"/>
        <w:kern w:val="2"/>
        <w:position w:val="0"/>
        <w:sz w:val="24"/>
        <w:lang w:eastAsia="zh-CN"/>
        <w14:cntxtAlt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BC17015"/>
    <w:multiLevelType w:val="multilevel"/>
    <w:tmpl w:val="01F0B5BE"/>
    <w:lvl w:ilvl="0">
      <w:start w:val="1"/>
      <w:numFmt w:val="none"/>
      <w:pStyle w:val="BlankLine"/>
      <w:suff w:val="nothing"/>
      <w:lvlText w:val=""/>
      <w:lvlJc w:val="left"/>
    </w:lvl>
    <w:lvl w:ilvl="1">
      <w:start w:val="1"/>
      <w:numFmt w:val="decimal"/>
      <w:pStyle w:val="SeqListLev1"/>
      <w:lvlText w:val="%2."/>
      <w:lvlJc w:val="left"/>
      <w:pPr>
        <w:tabs>
          <w:tab w:val="num" w:pos="850"/>
        </w:tabs>
        <w:ind w:left="850" w:hanging="425"/>
      </w:pPr>
    </w:lvl>
    <w:lvl w:ilvl="2">
      <w:start w:val="1"/>
      <w:numFmt w:val="lowerLetter"/>
      <w:pStyle w:val="SeqListLev2"/>
      <w:lvlText w:val="%3)"/>
      <w:lvlJc w:val="right"/>
      <w:pPr>
        <w:tabs>
          <w:tab w:val="num" w:pos="1276"/>
        </w:tabs>
        <w:ind w:left="1276" w:hanging="426"/>
      </w:pPr>
    </w:lvl>
    <w:lvl w:ilvl="3">
      <w:start w:val="1"/>
      <w:numFmt w:val="lowerRoman"/>
      <w:pStyle w:val="SeqListLev3"/>
      <w:lvlText w:val="%4)"/>
      <w:lvlJc w:val="left"/>
      <w:pPr>
        <w:tabs>
          <w:tab w:val="num" w:pos="1701"/>
        </w:tabs>
        <w:ind w:left="1701" w:hanging="425"/>
      </w:pPr>
    </w:lvl>
    <w:lvl w:ilvl="4">
      <w:start w:val="1"/>
      <w:numFmt w:val="decimal"/>
      <w:pStyle w:val="SeqListLev4"/>
      <w:lvlText w:val="%5)"/>
      <w:lvlJc w:val="left"/>
      <w:pPr>
        <w:tabs>
          <w:tab w:val="num" w:pos="2126"/>
        </w:tabs>
        <w:ind w:left="2126" w:hanging="425"/>
      </w:p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7"/>
  </w:num>
  <w:num w:numId="2">
    <w:abstractNumId w:val="0"/>
  </w:num>
  <w:num w:numId="3">
    <w:abstractNumId w:val="3"/>
  </w:num>
  <w:num w:numId="4">
    <w:abstractNumId w:val="5"/>
  </w:num>
  <w:num w:numId="5">
    <w:abstractNumId w:val="9"/>
  </w:num>
  <w:num w:numId="6">
    <w:abstractNumId w:val="6"/>
  </w:num>
  <w:num w:numId="7">
    <w:abstractNumId w:val="2"/>
  </w:num>
  <w:num w:numId="8">
    <w:abstractNumId w:val="8"/>
  </w:num>
  <w:num w:numId="9">
    <w:abstractNumId w:val="1"/>
  </w:num>
  <w:num w:numId="10">
    <w:abstractNumId w:val="2"/>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255"/>
  <w:drawingGridVerticalSpacing w:val="163"/>
  <w:displayHorizontalDrawingGridEvery w:val="0"/>
  <w:displayVerticalDrawingGridEvery w:val="2"/>
  <w:noPunctuationKerning/>
  <w:characterSpacingControl w:val="doNotCompress"/>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5D"/>
    <w:rsid w:val="0000037B"/>
    <w:rsid w:val="0000038E"/>
    <w:rsid w:val="00000BC3"/>
    <w:rsid w:val="00001C41"/>
    <w:rsid w:val="00001CD2"/>
    <w:rsid w:val="00002C2F"/>
    <w:rsid w:val="0000309C"/>
    <w:rsid w:val="00003AA5"/>
    <w:rsid w:val="00004556"/>
    <w:rsid w:val="00004A66"/>
    <w:rsid w:val="00004F74"/>
    <w:rsid w:val="0000586E"/>
    <w:rsid w:val="00005B25"/>
    <w:rsid w:val="0000612B"/>
    <w:rsid w:val="000061D0"/>
    <w:rsid w:val="00006324"/>
    <w:rsid w:val="00006634"/>
    <w:rsid w:val="000069DB"/>
    <w:rsid w:val="00007738"/>
    <w:rsid w:val="00007789"/>
    <w:rsid w:val="00007CCB"/>
    <w:rsid w:val="000104F9"/>
    <w:rsid w:val="00010B93"/>
    <w:rsid w:val="00010CE2"/>
    <w:rsid w:val="000110C6"/>
    <w:rsid w:val="00011724"/>
    <w:rsid w:val="00011981"/>
    <w:rsid w:val="00012BE4"/>
    <w:rsid w:val="0001504A"/>
    <w:rsid w:val="000163C2"/>
    <w:rsid w:val="00017B95"/>
    <w:rsid w:val="00017D02"/>
    <w:rsid w:val="00017D81"/>
    <w:rsid w:val="000205F7"/>
    <w:rsid w:val="000220F9"/>
    <w:rsid w:val="00022856"/>
    <w:rsid w:val="00023BB9"/>
    <w:rsid w:val="00025192"/>
    <w:rsid w:val="00027397"/>
    <w:rsid w:val="000304B7"/>
    <w:rsid w:val="000306EB"/>
    <w:rsid w:val="0003070A"/>
    <w:rsid w:val="000307E8"/>
    <w:rsid w:val="00030E1E"/>
    <w:rsid w:val="00031178"/>
    <w:rsid w:val="000313A7"/>
    <w:rsid w:val="000314C8"/>
    <w:rsid w:val="00031A55"/>
    <w:rsid w:val="000322A3"/>
    <w:rsid w:val="0003452C"/>
    <w:rsid w:val="00035C83"/>
    <w:rsid w:val="00036273"/>
    <w:rsid w:val="0004048E"/>
    <w:rsid w:val="00040701"/>
    <w:rsid w:val="0004132B"/>
    <w:rsid w:val="00042ACE"/>
    <w:rsid w:val="00042B9B"/>
    <w:rsid w:val="0004342D"/>
    <w:rsid w:val="00044250"/>
    <w:rsid w:val="0004477B"/>
    <w:rsid w:val="00044884"/>
    <w:rsid w:val="00044D54"/>
    <w:rsid w:val="000459D1"/>
    <w:rsid w:val="00045B21"/>
    <w:rsid w:val="00045E4E"/>
    <w:rsid w:val="00050499"/>
    <w:rsid w:val="00051271"/>
    <w:rsid w:val="0005162F"/>
    <w:rsid w:val="00051659"/>
    <w:rsid w:val="000516DE"/>
    <w:rsid w:val="000530DC"/>
    <w:rsid w:val="0005312C"/>
    <w:rsid w:val="00053256"/>
    <w:rsid w:val="0005331B"/>
    <w:rsid w:val="000534B3"/>
    <w:rsid w:val="0005359D"/>
    <w:rsid w:val="00053A94"/>
    <w:rsid w:val="0005433C"/>
    <w:rsid w:val="00054AEC"/>
    <w:rsid w:val="00054BC1"/>
    <w:rsid w:val="00055C3E"/>
    <w:rsid w:val="00056189"/>
    <w:rsid w:val="00056D84"/>
    <w:rsid w:val="00056DC2"/>
    <w:rsid w:val="000577D2"/>
    <w:rsid w:val="00057829"/>
    <w:rsid w:val="00057A53"/>
    <w:rsid w:val="000607FA"/>
    <w:rsid w:val="00060803"/>
    <w:rsid w:val="00060C12"/>
    <w:rsid w:val="00060C59"/>
    <w:rsid w:val="0006135E"/>
    <w:rsid w:val="00061D3C"/>
    <w:rsid w:val="000622EC"/>
    <w:rsid w:val="000622F4"/>
    <w:rsid w:val="00062348"/>
    <w:rsid w:val="00063242"/>
    <w:rsid w:val="000642A1"/>
    <w:rsid w:val="00064351"/>
    <w:rsid w:val="0006443B"/>
    <w:rsid w:val="00064FEE"/>
    <w:rsid w:val="00065B32"/>
    <w:rsid w:val="00066840"/>
    <w:rsid w:val="00066971"/>
    <w:rsid w:val="00067411"/>
    <w:rsid w:val="00067CE7"/>
    <w:rsid w:val="00067FB4"/>
    <w:rsid w:val="000714FD"/>
    <w:rsid w:val="00071B59"/>
    <w:rsid w:val="0007243A"/>
    <w:rsid w:val="00073E73"/>
    <w:rsid w:val="000750BF"/>
    <w:rsid w:val="000751F4"/>
    <w:rsid w:val="000758D5"/>
    <w:rsid w:val="000759D3"/>
    <w:rsid w:val="00076449"/>
    <w:rsid w:val="00076614"/>
    <w:rsid w:val="000771EE"/>
    <w:rsid w:val="00077FB5"/>
    <w:rsid w:val="00081080"/>
    <w:rsid w:val="000817D6"/>
    <w:rsid w:val="000819A5"/>
    <w:rsid w:val="000826D1"/>
    <w:rsid w:val="00083126"/>
    <w:rsid w:val="00083DE4"/>
    <w:rsid w:val="00084AD7"/>
    <w:rsid w:val="00084B13"/>
    <w:rsid w:val="00084D16"/>
    <w:rsid w:val="00084FD8"/>
    <w:rsid w:val="00085465"/>
    <w:rsid w:val="00085961"/>
    <w:rsid w:val="0008785F"/>
    <w:rsid w:val="00090007"/>
    <w:rsid w:val="000910CF"/>
    <w:rsid w:val="00092079"/>
    <w:rsid w:val="00093057"/>
    <w:rsid w:val="00093B13"/>
    <w:rsid w:val="00093C52"/>
    <w:rsid w:val="00095008"/>
    <w:rsid w:val="0009547E"/>
    <w:rsid w:val="00095CE9"/>
    <w:rsid w:val="0009626E"/>
    <w:rsid w:val="00096A10"/>
    <w:rsid w:val="000A0C7F"/>
    <w:rsid w:val="000A1426"/>
    <w:rsid w:val="000A1C7E"/>
    <w:rsid w:val="000A30CD"/>
    <w:rsid w:val="000A3876"/>
    <w:rsid w:val="000A3A12"/>
    <w:rsid w:val="000A3C48"/>
    <w:rsid w:val="000A3F3B"/>
    <w:rsid w:val="000A4D41"/>
    <w:rsid w:val="000A6F7C"/>
    <w:rsid w:val="000A7644"/>
    <w:rsid w:val="000B09AD"/>
    <w:rsid w:val="000B0AE5"/>
    <w:rsid w:val="000B1982"/>
    <w:rsid w:val="000B1FA5"/>
    <w:rsid w:val="000B40F7"/>
    <w:rsid w:val="000B439F"/>
    <w:rsid w:val="000B526F"/>
    <w:rsid w:val="000B64D9"/>
    <w:rsid w:val="000B697D"/>
    <w:rsid w:val="000B6EBF"/>
    <w:rsid w:val="000B6F74"/>
    <w:rsid w:val="000B7385"/>
    <w:rsid w:val="000B7E5A"/>
    <w:rsid w:val="000C0073"/>
    <w:rsid w:val="000C10DB"/>
    <w:rsid w:val="000C11FE"/>
    <w:rsid w:val="000C253D"/>
    <w:rsid w:val="000C255D"/>
    <w:rsid w:val="000C27C9"/>
    <w:rsid w:val="000C325F"/>
    <w:rsid w:val="000C39CF"/>
    <w:rsid w:val="000C4AEE"/>
    <w:rsid w:val="000C4D80"/>
    <w:rsid w:val="000C4D93"/>
    <w:rsid w:val="000C4DCD"/>
    <w:rsid w:val="000C5501"/>
    <w:rsid w:val="000C567B"/>
    <w:rsid w:val="000C5737"/>
    <w:rsid w:val="000C632B"/>
    <w:rsid w:val="000C68C3"/>
    <w:rsid w:val="000C69FD"/>
    <w:rsid w:val="000C7F63"/>
    <w:rsid w:val="000D06C7"/>
    <w:rsid w:val="000D0DE3"/>
    <w:rsid w:val="000D142A"/>
    <w:rsid w:val="000D1999"/>
    <w:rsid w:val="000D1BAF"/>
    <w:rsid w:val="000D1D79"/>
    <w:rsid w:val="000D20E3"/>
    <w:rsid w:val="000D250C"/>
    <w:rsid w:val="000D2567"/>
    <w:rsid w:val="000D2568"/>
    <w:rsid w:val="000D29F7"/>
    <w:rsid w:val="000D3B8E"/>
    <w:rsid w:val="000D3D90"/>
    <w:rsid w:val="000D4F97"/>
    <w:rsid w:val="000D6085"/>
    <w:rsid w:val="000D61C1"/>
    <w:rsid w:val="000D6D55"/>
    <w:rsid w:val="000D7AFE"/>
    <w:rsid w:val="000D7F94"/>
    <w:rsid w:val="000E0C60"/>
    <w:rsid w:val="000E0F1D"/>
    <w:rsid w:val="000E1126"/>
    <w:rsid w:val="000E1C83"/>
    <w:rsid w:val="000E2505"/>
    <w:rsid w:val="000E2B57"/>
    <w:rsid w:val="000E2BB8"/>
    <w:rsid w:val="000E313F"/>
    <w:rsid w:val="000E39DC"/>
    <w:rsid w:val="000E3D6F"/>
    <w:rsid w:val="000E3E0D"/>
    <w:rsid w:val="000E42F3"/>
    <w:rsid w:val="000E44BB"/>
    <w:rsid w:val="000E4763"/>
    <w:rsid w:val="000E47FC"/>
    <w:rsid w:val="000E5463"/>
    <w:rsid w:val="000E5E3B"/>
    <w:rsid w:val="000E6272"/>
    <w:rsid w:val="000E658C"/>
    <w:rsid w:val="000E6A80"/>
    <w:rsid w:val="000E78C7"/>
    <w:rsid w:val="000F051E"/>
    <w:rsid w:val="000F193D"/>
    <w:rsid w:val="000F20A8"/>
    <w:rsid w:val="000F21B0"/>
    <w:rsid w:val="000F2B9A"/>
    <w:rsid w:val="000F47BA"/>
    <w:rsid w:val="000F4948"/>
    <w:rsid w:val="000F622B"/>
    <w:rsid w:val="000F6298"/>
    <w:rsid w:val="000F6D8A"/>
    <w:rsid w:val="000F7614"/>
    <w:rsid w:val="0010030C"/>
    <w:rsid w:val="00100331"/>
    <w:rsid w:val="00100A20"/>
    <w:rsid w:val="00100D80"/>
    <w:rsid w:val="001016B0"/>
    <w:rsid w:val="00101AFC"/>
    <w:rsid w:val="00102AD8"/>
    <w:rsid w:val="00102CB1"/>
    <w:rsid w:val="001032AE"/>
    <w:rsid w:val="00103373"/>
    <w:rsid w:val="00103CAF"/>
    <w:rsid w:val="0010438E"/>
    <w:rsid w:val="00104414"/>
    <w:rsid w:val="00104892"/>
    <w:rsid w:val="0010492A"/>
    <w:rsid w:val="00104EEE"/>
    <w:rsid w:val="00104F2B"/>
    <w:rsid w:val="001051F7"/>
    <w:rsid w:val="0010694E"/>
    <w:rsid w:val="00107C70"/>
    <w:rsid w:val="00110472"/>
    <w:rsid w:val="00110771"/>
    <w:rsid w:val="00111192"/>
    <w:rsid w:val="00111308"/>
    <w:rsid w:val="00111A71"/>
    <w:rsid w:val="00111AC2"/>
    <w:rsid w:val="00112DD5"/>
    <w:rsid w:val="0011318E"/>
    <w:rsid w:val="00113786"/>
    <w:rsid w:val="00113EAE"/>
    <w:rsid w:val="00114759"/>
    <w:rsid w:val="00114B2C"/>
    <w:rsid w:val="00114E9E"/>
    <w:rsid w:val="00115361"/>
    <w:rsid w:val="001153B1"/>
    <w:rsid w:val="001172C1"/>
    <w:rsid w:val="00120739"/>
    <w:rsid w:val="00120990"/>
    <w:rsid w:val="00120FBE"/>
    <w:rsid w:val="0012167A"/>
    <w:rsid w:val="00122110"/>
    <w:rsid w:val="00122153"/>
    <w:rsid w:val="001225CD"/>
    <w:rsid w:val="0012310F"/>
    <w:rsid w:val="00123269"/>
    <w:rsid w:val="00124B23"/>
    <w:rsid w:val="00124CB8"/>
    <w:rsid w:val="001273B1"/>
    <w:rsid w:val="001277F5"/>
    <w:rsid w:val="00127D24"/>
    <w:rsid w:val="00127DAC"/>
    <w:rsid w:val="00130DDD"/>
    <w:rsid w:val="00130EE8"/>
    <w:rsid w:val="00132080"/>
    <w:rsid w:val="00133564"/>
    <w:rsid w:val="00133714"/>
    <w:rsid w:val="00133B8E"/>
    <w:rsid w:val="00133D89"/>
    <w:rsid w:val="0013407F"/>
    <w:rsid w:val="0013409D"/>
    <w:rsid w:val="001342A8"/>
    <w:rsid w:val="001342EF"/>
    <w:rsid w:val="00134B09"/>
    <w:rsid w:val="00136013"/>
    <w:rsid w:val="001361DF"/>
    <w:rsid w:val="00137BA5"/>
    <w:rsid w:val="0014031D"/>
    <w:rsid w:val="00141208"/>
    <w:rsid w:val="00141BA2"/>
    <w:rsid w:val="001420E7"/>
    <w:rsid w:val="00142B0D"/>
    <w:rsid w:val="0014300E"/>
    <w:rsid w:val="00143EF4"/>
    <w:rsid w:val="00143F59"/>
    <w:rsid w:val="0014452B"/>
    <w:rsid w:val="001454E3"/>
    <w:rsid w:val="00147204"/>
    <w:rsid w:val="00147937"/>
    <w:rsid w:val="00147D4D"/>
    <w:rsid w:val="00150FD2"/>
    <w:rsid w:val="00151678"/>
    <w:rsid w:val="00151E22"/>
    <w:rsid w:val="00152DB8"/>
    <w:rsid w:val="0015324A"/>
    <w:rsid w:val="00153A69"/>
    <w:rsid w:val="00153FEB"/>
    <w:rsid w:val="00153FEF"/>
    <w:rsid w:val="00154CEA"/>
    <w:rsid w:val="001554F2"/>
    <w:rsid w:val="001557A1"/>
    <w:rsid w:val="00155F3F"/>
    <w:rsid w:val="001568ED"/>
    <w:rsid w:val="00156A23"/>
    <w:rsid w:val="00156CA4"/>
    <w:rsid w:val="001570C8"/>
    <w:rsid w:val="00160392"/>
    <w:rsid w:val="00160B90"/>
    <w:rsid w:val="001616DC"/>
    <w:rsid w:val="00161934"/>
    <w:rsid w:val="00162AF7"/>
    <w:rsid w:val="0016309D"/>
    <w:rsid w:val="00163534"/>
    <w:rsid w:val="001643D8"/>
    <w:rsid w:val="00164EA2"/>
    <w:rsid w:val="0016573C"/>
    <w:rsid w:val="00166671"/>
    <w:rsid w:val="001669F3"/>
    <w:rsid w:val="00167CE9"/>
    <w:rsid w:val="0017030B"/>
    <w:rsid w:val="00170EE2"/>
    <w:rsid w:val="00170F4B"/>
    <w:rsid w:val="00171F72"/>
    <w:rsid w:val="001738A0"/>
    <w:rsid w:val="00173C64"/>
    <w:rsid w:val="00173D55"/>
    <w:rsid w:val="00174AB1"/>
    <w:rsid w:val="00175315"/>
    <w:rsid w:val="001753D9"/>
    <w:rsid w:val="00176244"/>
    <w:rsid w:val="00177492"/>
    <w:rsid w:val="001805C0"/>
    <w:rsid w:val="00180BDA"/>
    <w:rsid w:val="00180D38"/>
    <w:rsid w:val="00181220"/>
    <w:rsid w:val="0018123C"/>
    <w:rsid w:val="001816C5"/>
    <w:rsid w:val="001833FD"/>
    <w:rsid w:val="00184ED0"/>
    <w:rsid w:val="001853F2"/>
    <w:rsid w:val="001854EF"/>
    <w:rsid w:val="001856E0"/>
    <w:rsid w:val="00185E7C"/>
    <w:rsid w:val="00186037"/>
    <w:rsid w:val="00186B8A"/>
    <w:rsid w:val="001877F2"/>
    <w:rsid w:val="00187BCF"/>
    <w:rsid w:val="00187CDF"/>
    <w:rsid w:val="00187F73"/>
    <w:rsid w:val="00190445"/>
    <w:rsid w:val="0019079A"/>
    <w:rsid w:val="00191378"/>
    <w:rsid w:val="00191669"/>
    <w:rsid w:val="001919D4"/>
    <w:rsid w:val="00193469"/>
    <w:rsid w:val="00193A67"/>
    <w:rsid w:val="00193F2F"/>
    <w:rsid w:val="00194824"/>
    <w:rsid w:val="001951C4"/>
    <w:rsid w:val="00195DC3"/>
    <w:rsid w:val="00195DCE"/>
    <w:rsid w:val="00196D79"/>
    <w:rsid w:val="0019741D"/>
    <w:rsid w:val="001974A7"/>
    <w:rsid w:val="00197790"/>
    <w:rsid w:val="001A0702"/>
    <w:rsid w:val="001A0897"/>
    <w:rsid w:val="001A1583"/>
    <w:rsid w:val="001A1E52"/>
    <w:rsid w:val="001A1FE8"/>
    <w:rsid w:val="001A2038"/>
    <w:rsid w:val="001A2BFB"/>
    <w:rsid w:val="001A32B8"/>
    <w:rsid w:val="001A4BCF"/>
    <w:rsid w:val="001A4D61"/>
    <w:rsid w:val="001A51EF"/>
    <w:rsid w:val="001A6425"/>
    <w:rsid w:val="001A6CA6"/>
    <w:rsid w:val="001A7734"/>
    <w:rsid w:val="001B1658"/>
    <w:rsid w:val="001B1A36"/>
    <w:rsid w:val="001B2008"/>
    <w:rsid w:val="001B26FC"/>
    <w:rsid w:val="001B28E8"/>
    <w:rsid w:val="001B34CC"/>
    <w:rsid w:val="001B42C0"/>
    <w:rsid w:val="001B4F22"/>
    <w:rsid w:val="001B5A8F"/>
    <w:rsid w:val="001B5C9F"/>
    <w:rsid w:val="001B683C"/>
    <w:rsid w:val="001B6C9E"/>
    <w:rsid w:val="001B71B0"/>
    <w:rsid w:val="001C009E"/>
    <w:rsid w:val="001C0474"/>
    <w:rsid w:val="001C0B02"/>
    <w:rsid w:val="001C1143"/>
    <w:rsid w:val="001C13E8"/>
    <w:rsid w:val="001C24BA"/>
    <w:rsid w:val="001C2E91"/>
    <w:rsid w:val="001C2EE2"/>
    <w:rsid w:val="001C34EC"/>
    <w:rsid w:val="001C3B1A"/>
    <w:rsid w:val="001C4992"/>
    <w:rsid w:val="001C4BD9"/>
    <w:rsid w:val="001C6026"/>
    <w:rsid w:val="001C6301"/>
    <w:rsid w:val="001C66D7"/>
    <w:rsid w:val="001C6858"/>
    <w:rsid w:val="001D0413"/>
    <w:rsid w:val="001D191A"/>
    <w:rsid w:val="001D27F1"/>
    <w:rsid w:val="001D342E"/>
    <w:rsid w:val="001D4184"/>
    <w:rsid w:val="001D464B"/>
    <w:rsid w:val="001D5005"/>
    <w:rsid w:val="001D52B8"/>
    <w:rsid w:val="001D536D"/>
    <w:rsid w:val="001D65B9"/>
    <w:rsid w:val="001D686C"/>
    <w:rsid w:val="001D784D"/>
    <w:rsid w:val="001E14A0"/>
    <w:rsid w:val="001E1E60"/>
    <w:rsid w:val="001E2BAF"/>
    <w:rsid w:val="001E2CC6"/>
    <w:rsid w:val="001E321A"/>
    <w:rsid w:val="001E3632"/>
    <w:rsid w:val="001E4D0D"/>
    <w:rsid w:val="001E519A"/>
    <w:rsid w:val="001E58EA"/>
    <w:rsid w:val="001E5A7B"/>
    <w:rsid w:val="001E6E37"/>
    <w:rsid w:val="001E6F31"/>
    <w:rsid w:val="001E70F4"/>
    <w:rsid w:val="001E762F"/>
    <w:rsid w:val="001E7755"/>
    <w:rsid w:val="001F0149"/>
    <w:rsid w:val="001F02AF"/>
    <w:rsid w:val="001F058B"/>
    <w:rsid w:val="001F199A"/>
    <w:rsid w:val="001F1DB7"/>
    <w:rsid w:val="001F21A4"/>
    <w:rsid w:val="001F28DE"/>
    <w:rsid w:val="001F2C1E"/>
    <w:rsid w:val="001F3405"/>
    <w:rsid w:val="001F3751"/>
    <w:rsid w:val="001F3E48"/>
    <w:rsid w:val="001F3E93"/>
    <w:rsid w:val="001F4861"/>
    <w:rsid w:val="001F4A9C"/>
    <w:rsid w:val="001F4BC6"/>
    <w:rsid w:val="001F4C59"/>
    <w:rsid w:val="001F4D33"/>
    <w:rsid w:val="001F4F86"/>
    <w:rsid w:val="001F605D"/>
    <w:rsid w:val="001F605E"/>
    <w:rsid w:val="001F60D9"/>
    <w:rsid w:val="001F746E"/>
    <w:rsid w:val="001F7686"/>
    <w:rsid w:val="001F7D43"/>
    <w:rsid w:val="002003D8"/>
    <w:rsid w:val="00200CA2"/>
    <w:rsid w:val="0020133F"/>
    <w:rsid w:val="00201C29"/>
    <w:rsid w:val="0020394A"/>
    <w:rsid w:val="0020450D"/>
    <w:rsid w:val="0020494C"/>
    <w:rsid w:val="00204F9A"/>
    <w:rsid w:val="00205AA9"/>
    <w:rsid w:val="00205FB0"/>
    <w:rsid w:val="00206F6C"/>
    <w:rsid w:val="00207351"/>
    <w:rsid w:val="00207913"/>
    <w:rsid w:val="00207CA3"/>
    <w:rsid w:val="00210400"/>
    <w:rsid w:val="0021114E"/>
    <w:rsid w:val="0021181B"/>
    <w:rsid w:val="002126CF"/>
    <w:rsid w:val="0021382B"/>
    <w:rsid w:val="00214448"/>
    <w:rsid w:val="00214B15"/>
    <w:rsid w:val="00216CD1"/>
    <w:rsid w:val="00217025"/>
    <w:rsid w:val="0021715D"/>
    <w:rsid w:val="00220981"/>
    <w:rsid w:val="002211C1"/>
    <w:rsid w:val="00221ABD"/>
    <w:rsid w:val="00221B2F"/>
    <w:rsid w:val="0022275A"/>
    <w:rsid w:val="0022298A"/>
    <w:rsid w:val="00222FBD"/>
    <w:rsid w:val="0022410A"/>
    <w:rsid w:val="00225172"/>
    <w:rsid w:val="0022544D"/>
    <w:rsid w:val="002256E4"/>
    <w:rsid w:val="00226304"/>
    <w:rsid w:val="0022649B"/>
    <w:rsid w:val="002267D7"/>
    <w:rsid w:val="0022707E"/>
    <w:rsid w:val="002270AF"/>
    <w:rsid w:val="00231232"/>
    <w:rsid w:val="002313EE"/>
    <w:rsid w:val="0023141E"/>
    <w:rsid w:val="00231CCF"/>
    <w:rsid w:val="00232E54"/>
    <w:rsid w:val="00233155"/>
    <w:rsid w:val="00233625"/>
    <w:rsid w:val="002341B7"/>
    <w:rsid w:val="0023429A"/>
    <w:rsid w:val="0023473D"/>
    <w:rsid w:val="002357EE"/>
    <w:rsid w:val="00235D80"/>
    <w:rsid w:val="00235E46"/>
    <w:rsid w:val="00236946"/>
    <w:rsid w:val="002369DD"/>
    <w:rsid w:val="00236E82"/>
    <w:rsid w:val="00237359"/>
    <w:rsid w:val="00237BA4"/>
    <w:rsid w:val="002412CD"/>
    <w:rsid w:val="002429F7"/>
    <w:rsid w:val="00242BCF"/>
    <w:rsid w:val="0024315C"/>
    <w:rsid w:val="00243175"/>
    <w:rsid w:val="00243DEF"/>
    <w:rsid w:val="00244113"/>
    <w:rsid w:val="00244817"/>
    <w:rsid w:val="00244A0F"/>
    <w:rsid w:val="00245131"/>
    <w:rsid w:val="00246436"/>
    <w:rsid w:val="00246509"/>
    <w:rsid w:val="00246799"/>
    <w:rsid w:val="00246C95"/>
    <w:rsid w:val="00247581"/>
    <w:rsid w:val="002475C1"/>
    <w:rsid w:val="00247D8C"/>
    <w:rsid w:val="00250128"/>
    <w:rsid w:val="00250580"/>
    <w:rsid w:val="00250C56"/>
    <w:rsid w:val="00251DDA"/>
    <w:rsid w:val="00252D7A"/>
    <w:rsid w:val="00253434"/>
    <w:rsid w:val="0025385C"/>
    <w:rsid w:val="0025405B"/>
    <w:rsid w:val="002546CA"/>
    <w:rsid w:val="00254D68"/>
    <w:rsid w:val="002553B7"/>
    <w:rsid w:val="00255A02"/>
    <w:rsid w:val="0025663B"/>
    <w:rsid w:val="00256FE9"/>
    <w:rsid w:val="00257D4C"/>
    <w:rsid w:val="00257D80"/>
    <w:rsid w:val="00257FD7"/>
    <w:rsid w:val="002605ED"/>
    <w:rsid w:val="0026111A"/>
    <w:rsid w:val="00261DC5"/>
    <w:rsid w:val="00261F9A"/>
    <w:rsid w:val="002623CE"/>
    <w:rsid w:val="002629DF"/>
    <w:rsid w:val="00262F1C"/>
    <w:rsid w:val="002631FF"/>
    <w:rsid w:val="00263AE4"/>
    <w:rsid w:val="0026429E"/>
    <w:rsid w:val="00264682"/>
    <w:rsid w:val="002646F5"/>
    <w:rsid w:val="00265BAD"/>
    <w:rsid w:val="00265CE7"/>
    <w:rsid w:val="002671C6"/>
    <w:rsid w:val="0026727D"/>
    <w:rsid w:val="002674DD"/>
    <w:rsid w:val="00267BBA"/>
    <w:rsid w:val="00270873"/>
    <w:rsid w:val="00270DEE"/>
    <w:rsid w:val="00270E71"/>
    <w:rsid w:val="00271616"/>
    <w:rsid w:val="0027306E"/>
    <w:rsid w:val="00273A37"/>
    <w:rsid w:val="002745C9"/>
    <w:rsid w:val="00275210"/>
    <w:rsid w:val="00275837"/>
    <w:rsid w:val="002759AB"/>
    <w:rsid w:val="00275C4E"/>
    <w:rsid w:val="00276641"/>
    <w:rsid w:val="00276B51"/>
    <w:rsid w:val="00276F61"/>
    <w:rsid w:val="002778E4"/>
    <w:rsid w:val="002805FB"/>
    <w:rsid w:val="0028127B"/>
    <w:rsid w:val="002816FC"/>
    <w:rsid w:val="00281FD5"/>
    <w:rsid w:val="00282D0D"/>
    <w:rsid w:val="002831DA"/>
    <w:rsid w:val="00283C83"/>
    <w:rsid w:val="00283FAC"/>
    <w:rsid w:val="00284A4A"/>
    <w:rsid w:val="002857EC"/>
    <w:rsid w:val="0028590B"/>
    <w:rsid w:val="00286FA4"/>
    <w:rsid w:val="00287323"/>
    <w:rsid w:val="00287B93"/>
    <w:rsid w:val="00287E03"/>
    <w:rsid w:val="0029040A"/>
    <w:rsid w:val="0029251E"/>
    <w:rsid w:val="0029319B"/>
    <w:rsid w:val="00294123"/>
    <w:rsid w:val="0029470C"/>
    <w:rsid w:val="00294846"/>
    <w:rsid w:val="002949BF"/>
    <w:rsid w:val="00294B32"/>
    <w:rsid w:val="00294BC2"/>
    <w:rsid w:val="00294C12"/>
    <w:rsid w:val="00294FAD"/>
    <w:rsid w:val="00294FB0"/>
    <w:rsid w:val="0029514E"/>
    <w:rsid w:val="00295190"/>
    <w:rsid w:val="00295F3C"/>
    <w:rsid w:val="00295F44"/>
    <w:rsid w:val="002960B6"/>
    <w:rsid w:val="0029641F"/>
    <w:rsid w:val="002968EF"/>
    <w:rsid w:val="00296DDC"/>
    <w:rsid w:val="00297E5C"/>
    <w:rsid w:val="002A1015"/>
    <w:rsid w:val="002A116D"/>
    <w:rsid w:val="002A49AA"/>
    <w:rsid w:val="002A4E5F"/>
    <w:rsid w:val="002A55AA"/>
    <w:rsid w:val="002A5CC3"/>
    <w:rsid w:val="002A68CE"/>
    <w:rsid w:val="002A72BF"/>
    <w:rsid w:val="002A7B6A"/>
    <w:rsid w:val="002A7D7A"/>
    <w:rsid w:val="002B0371"/>
    <w:rsid w:val="002B04B8"/>
    <w:rsid w:val="002B0BF0"/>
    <w:rsid w:val="002B17B0"/>
    <w:rsid w:val="002B183D"/>
    <w:rsid w:val="002B1CE7"/>
    <w:rsid w:val="002B1F28"/>
    <w:rsid w:val="002B23B9"/>
    <w:rsid w:val="002B24F8"/>
    <w:rsid w:val="002B2F3E"/>
    <w:rsid w:val="002B30A6"/>
    <w:rsid w:val="002B3776"/>
    <w:rsid w:val="002B412A"/>
    <w:rsid w:val="002B4E3C"/>
    <w:rsid w:val="002B5268"/>
    <w:rsid w:val="002B5A8A"/>
    <w:rsid w:val="002B5F96"/>
    <w:rsid w:val="002B5FC3"/>
    <w:rsid w:val="002B66C4"/>
    <w:rsid w:val="002B7A1D"/>
    <w:rsid w:val="002C164C"/>
    <w:rsid w:val="002C1D08"/>
    <w:rsid w:val="002C24C1"/>
    <w:rsid w:val="002C3953"/>
    <w:rsid w:val="002C4682"/>
    <w:rsid w:val="002C5069"/>
    <w:rsid w:val="002C5F03"/>
    <w:rsid w:val="002C6641"/>
    <w:rsid w:val="002C69F9"/>
    <w:rsid w:val="002C7019"/>
    <w:rsid w:val="002C7201"/>
    <w:rsid w:val="002C78B6"/>
    <w:rsid w:val="002D0577"/>
    <w:rsid w:val="002D09BF"/>
    <w:rsid w:val="002D0F55"/>
    <w:rsid w:val="002D13D8"/>
    <w:rsid w:val="002D30FD"/>
    <w:rsid w:val="002D36ED"/>
    <w:rsid w:val="002D39C2"/>
    <w:rsid w:val="002D426E"/>
    <w:rsid w:val="002D5193"/>
    <w:rsid w:val="002D5263"/>
    <w:rsid w:val="002D5C9A"/>
    <w:rsid w:val="002D62EC"/>
    <w:rsid w:val="002D6E19"/>
    <w:rsid w:val="002D726B"/>
    <w:rsid w:val="002E024D"/>
    <w:rsid w:val="002E0762"/>
    <w:rsid w:val="002E0DC0"/>
    <w:rsid w:val="002E137B"/>
    <w:rsid w:val="002E167F"/>
    <w:rsid w:val="002E2BC6"/>
    <w:rsid w:val="002E2E1F"/>
    <w:rsid w:val="002E3DB5"/>
    <w:rsid w:val="002E4398"/>
    <w:rsid w:val="002E4BE8"/>
    <w:rsid w:val="002E4F90"/>
    <w:rsid w:val="002E5DCA"/>
    <w:rsid w:val="002E5E1E"/>
    <w:rsid w:val="002E6020"/>
    <w:rsid w:val="002E6367"/>
    <w:rsid w:val="002E6537"/>
    <w:rsid w:val="002E74E1"/>
    <w:rsid w:val="002E7C4F"/>
    <w:rsid w:val="002F0342"/>
    <w:rsid w:val="002F04EA"/>
    <w:rsid w:val="002F082E"/>
    <w:rsid w:val="002F0A28"/>
    <w:rsid w:val="002F0C55"/>
    <w:rsid w:val="002F131F"/>
    <w:rsid w:val="002F1AE2"/>
    <w:rsid w:val="002F2D73"/>
    <w:rsid w:val="002F3FD7"/>
    <w:rsid w:val="002F5A28"/>
    <w:rsid w:val="002F6060"/>
    <w:rsid w:val="002F6A7D"/>
    <w:rsid w:val="002F71AC"/>
    <w:rsid w:val="002F753B"/>
    <w:rsid w:val="002F78A0"/>
    <w:rsid w:val="002F7CA0"/>
    <w:rsid w:val="00301072"/>
    <w:rsid w:val="00301140"/>
    <w:rsid w:val="0030169B"/>
    <w:rsid w:val="00302D84"/>
    <w:rsid w:val="00303725"/>
    <w:rsid w:val="00303728"/>
    <w:rsid w:val="00304C3C"/>
    <w:rsid w:val="003074CE"/>
    <w:rsid w:val="0030751B"/>
    <w:rsid w:val="00307648"/>
    <w:rsid w:val="00307A0E"/>
    <w:rsid w:val="00307A28"/>
    <w:rsid w:val="00307CCB"/>
    <w:rsid w:val="00307F5E"/>
    <w:rsid w:val="003100F7"/>
    <w:rsid w:val="003120D3"/>
    <w:rsid w:val="00312771"/>
    <w:rsid w:val="003127E4"/>
    <w:rsid w:val="00312AE6"/>
    <w:rsid w:val="003133A6"/>
    <w:rsid w:val="00313F2E"/>
    <w:rsid w:val="00314947"/>
    <w:rsid w:val="00314C2A"/>
    <w:rsid w:val="0031544D"/>
    <w:rsid w:val="00315684"/>
    <w:rsid w:val="0031598A"/>
    <w:rsid w:val="00316177"/>
    <w:rsid w:val="00316282"/>
    <w:rsid w:val="003168B8"/>
    <w:rsid w:val="0031742C"/>
    <w:rsid w:val="003204BB"/>
    <w:rsid w:val="0032109A"/>
    <w:rsid w:val="0032138D"/>
    <w:rsid w:val="003218B8"/>
    <w:rsid w:val="003221DA"/>
    <w:rsid w:val="00322B3A"/>
    <w:rsid w:val="00322D2F"/>
    <w:rsid w:val="00323089"/>
    <w:rsid w:val="003235B3"/>
    <w:rsid w:val="0032385A"/>
    <w:rsid w:val="00323A47"/>
    <w:rsid w:val="00324FA3"/>
    <w:rsid w:val="00325972"/>
    <w:rsid w:val="00330BEE"/>
    <w:rsid w:val="00330F94"/>
    <w:rsid w:val="003318E0"/>
    <w:rsid w:val="00331D6C"/>
    <w:rsid w:val="00331DA4"/>
    <w:rsid w:val="0033213E"/>
    <w:rsid w:val="00332B8D"/>
    <w:rsid w:val="00332D4B"/>
    <w:rsid w:val="00334A83"/>
    <w:rsid w:val="00336964"/>
    <w:rsid w:val="00337766"/>
    <w:rsid w:val="0034043B"/>
    <w:rsid w:val="0034062A"/>
    <w:rsid w:val="00340E65"/>
    <w:rsid w:val="00340FA0"/>
    <w:rsid w:val="003411BF"/>
    <w:rsid w:val="003411F9"/>
    <w:rsid w:val="0034233D"/>
    <w:rsid w:val="00342506"/>
    <w:rsid w:val="0034332B"/>
    <w:rsid w:val="00343CD1"/>
    <w:rsid w:val="00344CDF"/>
    <w:rsid w:val="003458A8"/>
    <w:rsid w:val="00345B77"/>
    <w:rsid w:val="003479E7"/>
    <w:rsid w:val="00347FDD"/>
    <w:rsid w:val="00350263"/>
    <w:rsid w:val="003512C1"/>
    <w:rsid w:val="003518C8"/>
    <w:rsid w:val="003523D6"/>
    <w:rsid w:val="003528E4"/>
    <w:rsid w:val="0035342E"/>
    <w:rsid w:val="00353F48"/>
    <w:rsid w:val="00354671"/>
    <w:rsid w:val="00354AAB"/>
    <w:rsid w:val="00354F02"/>
    <w:rsid w:val="00354FC5"/>
    <w:rsid w:val="00355F07"/>
    <w:rsid w:val="00355F82"/>
    <w:rsid w:val="0035750C"/>
    <w:rsid w:val="00360EAF"/>
    <w:rsid w:val="00361214"/>
    <w:rsid w:val="00361284"/>
    <w:rsid w:val="00361516"/>
    <w:rsid w:val="00361FAC"/>
    <w:rsid w:val="0036234D"/>
    <w:rsid w:val="00362412"/>
    <w:rsid w:val="00362A25"/>
    <w:rsid w:val="003663CB"/>
    <w:rsid w:val="00366471"/>
    <w:rsid w:val="00366EC2"/>
    <w:rsid w:val="00366FC3"/>
    <w:rsid w:val="0036765F"/>
    <w:rsid w:val="0036769B"/>
    <w:rsid w:val="003676A0"/>
    <w:rsid w:val="00370D9A"/>
    <w:rsid w:val="0037134A"/>
    <w:rsid w:val="0037148A"/>
    <w:rsid w:val="00371506"/>
    <w:rsid w:val="00371BED"/>
    <w:rsid w:val="00373223"/>
    <w:rsid w:val="003734FB"/>
    <w:rsid w:val="0037503D"/>
    <w:rsid w:val="00375206"/>
    <w:rsid w:val="00375A64"/>
    <w:rsid w:val="0037604B"/>
    <w:rsid w:val="003761F9"/>
    <w:rsid w:val="0037638B"/>
    <w:rsid w:val="00376669"/>
    <w:rsid w:val="003769A9"/>
    <w:rsid w:val="00376A38"/>
    <w:rsid w:val="003772E4"/>
    <w:rsid w:val="00380311"/>
    <w:rsid w:val="0038036E"/>
    <w:rsid w:val="003803E4"/>
    <w:rsid w:val="00381BF2"/>
    <w:rsid w:val="00382E00"/>
    <w:rsid w:val="00383ACB"/>
    <w:rsid w:val="0038488D"/>
    <w:rsid w:val="00384B7E"/>
    <w:rsid w:val="00384E21"/>
    <w:rsid w:val="003870F7"/>
    <w:rsid w:val="0038730C"/>
    <w:rsid w:val="00387457"/>
    <w:rsid w:val="00387642"/>
    <w:rsid w:val="00390BD6"/>
    <w:rsid w:val="00390D9A"/>
    <w:rsid w:val="00390E7B"/>
    <w:rsid w:val="00391786"/>
    <w:rsid w:val="00391CCC"/>
    <w:rsid w:val="00391F39"/>
    <w:rsid w:val="003920DC"/>
    <w:rsid w:val="00392686"/>
    <w:rsid w:val="0039385D"/>
    <w:rsid w:val="003947D2"/>
    <w:rsid w:val="0039492C"/>
    <w:rsid w:val="00394DC1"/>
    <w:rsid w:val="00395491"/>
    <w:rsid w:val="00395610"/>
    <w:rsid w:val="003956D9"/>
    <w:rsid w:val="00396C72"/>
    <w:rsid w:val="00397CE1"/>
    <w:rsid w:val="00397F83"/>
    <w:rsid w:val="003A0580"/>
    <w:rsid w:val="003A1594"/>
    <w:rsid w:val="003A1C34"/>
    <w:rsid w:val="003A24A7"/>
    <w:rsid w:val="003A2966"/>
    <w:rsid w:val="003A33A7"/>
    <w:rsid w:val="003A3711"/>
    <w:rsid w:val="003A3DD6"/>
    <w:rsid w:val="003A3FC8"/>
    <w:rsid w:val="003A55A0"/>
    <w:rsid w:val="003A6A74"/>
    <w:rsid w:val="003A76EA"/>
    <w:rsid w:val="003A7A07"/>
    <w:rsid w:val="003B03A2"/>
    <w:rsid w:val="003B0634"/>
    <w:rsid w:val="003B11D8"/>
    <w:rsid w:val="003B14AF"/>
    <w:rsid w:val="003B18FC"/>
    <w:rsid w:val="003B1CD7"/>
    <w:rsid w:val="003B1DD3"/>
    <w:rsid w:val="003B1F77"/>
    <w:rsid w:val="003B30C6"/>
    <w:rsid w:val="003B397D"/>
    <w:rsid w:val="003B4374"/>
    <w:rsid w:val="003B48EB"/>
    <w:rsid w:val="003B5094"/>
    <w:rsid w:val="003B50ED"/>
    <w:rsid w:val="003B6414"/>
    <w:rsid w:val="003B6D94"/>
    <w:rsid w:val="003C0B18"/>
    <w:rsid w:val="003C0CFE"/>
    <w:rsid w:val="003C109B"/>
    <w:rsid w:val="003C128C"/>
    <w:rsid w:val="003C1437"/>
    <w:rsid w:val="003C1AA2"/>
    <w:rsid w:val="003C2FC6"/>
    <w:rsid w:val="003C35D1"/>
    <w:rsid w:val="003C3D36"/>
    <w:rsid w:val="003C44AF"/>
    <w:rsid w:val="003C4BBE"/>
    <w:rsid w:val="003C4C34"/>
    <w:rsid w:val="003C5185"/>
    <w:rsid w:val="003C7994"/>
    <w:rsid w:val="003D0A2D"/>
    <w:rsid w:val="003D0D34"/>
    <w:rsid w:val="003D0D74"/>
    <w:rsid w:val="003D0F51"/>
    <w:rsid w:val="003D15E0"/>
    <w:rsid w:val="003D3191"/>
    <w:rsid w:val="003D49D9"/>
    <w:rsid w:val="003D4E64"/>
    <w:rsid w:val="003D4FF0"/>
    <w:rsid w:val="003D54FD"/>
    <w:rsid w:val="003D5669"/>
    <w:rsid w:val="003D7139"/>
    <w:rsid w:val="003D758E"/>
    <w:rsid w:val="003D7706"/>
    <w:rsid w:val="003D7762"/>
    <w:rsid w:val="003D7935"/>
    <w:rsid w:val="003E002C"/>
    <w:rsid w:val="003E0194"/>
    <w:rsid w:val="003E02DC"/>
    <w:rsid w:val="003E043D"/>
    <w:rsid w:val="003E04D0"/>
    <w:rsid w:val="003E101D"/>
    <w:rsid w:val="003E156A"/>
    <w:rsid w:val="003E37CA"/>
    <w:rsid w:val="003E3C84"/>
    <w:rsid w:val="003E3D3C"/>
    <w:rsid w:val="003E4766"/>
    <w:rsid w:val="003E4EAF"/>
    <w:rsid w:val="003E5B35"/>
    <w:rsid w:val="003E5F39"/>
    <w:rsid w:val="003E61A9"/>
    <w:rsid w:val="003E6B22"/>
    <w:rsid w:val="003E70C1"/>
    <w:rsid w:val="003E724E"/>
    <w:rsid w:val="003E7B4C"/>
    <w:rsid w:val="003F0456"/>
    <w:rsid w:val="003F0917"/>
    <w:rsid w:val="003F126A"/>
    <w:rsid w:val="003F14FF"/>
    <w:rsid w:val="003F1E82"/>
    <w:rsid w:val="003F20D6"/>
    <w:rsid w:val="003F502F"/>
    <w:rsid w:val="003F5840"/>
    <w:rsid w:val="003F5EEA"/>
    <w:rsid w:val="003F7C8D"/>
    <w:rsid w:val="00400D23"/>
    <w:rsid w:val="00402A42"/>
    <w:rsid w:val="00403363"/>
    <w:rsid w:val="004046C4"/>
    <w:rsid w:val="004047D0"/>
    <w:rsid w:val="00405055"/>
    <w:rsid w:val="00405271"/>
    <w:rsid w:val="00405352"/>
    <w:rsid w:val="00405424"/>
    <w:rsid w:val="00407D2E"/>
    <w:rsid w:val="00407EBE"/>
    <w:rsid w:val="00410254"/>
    <w:rsid w:val="00410456"/>
    <w:rsid w:val="00410551"/>
    <w:rsid w:val="00410711"/>
    <w:rsid w:val="00410BB1"/>
    <w:rsid w:val="00410F87"/>
    <w:rsid w:val="00411597"/>
    <w:rsid w:val="00411F29"/>
    <w:rsid w:val="0041221E"/>
    <w:rsid w:val="004122B3"/>
    <w:rsid w:val="00413008"/>
    <w:rsid w:val="00413802"/>
    <w:rsid w:val="00413AAA"/>
    <w:rsid w:val="0041460A"/>
    <w:rsid w:val="00414DD7"/>
    <w:rsid w:val="004150D5"/>
    <w:rsid w:val="004158D2"/>
    <w:rsid w:val="00416757"/>
    <w:rsid w:val="00416981"/>
    <w:rsid w:val="00416D2F"/>
    <w:rsid w:val="00420098"/>
    <w:rsid w:val="0042067F"/>
    <w:rsid w:val="00420FE0"/>
    <w:rsid w:val="004216FA"/>
    <w:rsid w:val="00421906"/>
    <w:rsid w:val="00422818"/>
    <w:rsid w:val="00422EC9"/>
    <w:rsid w:val="004235A8"/>
    <w:rsid w:val="0042449C"/>
    <w:rsid w:val="004244A1"/>
    <w:rsid w:val="00425001"/>
    <w:rsid w:val="004253EE"/>
    <w:rsid w:val="00426304"/>
    <w:rsid w:val="00426D7C"/>
    <w:rsid w:val="00427476"/>
    <w:rsid w:val="004275CE"/>
    <w:rsid w:val="00427C46"/>
    <w:rsid w:val="004303D9"/>
    <w:rsid w:val="00430424"/>
    <w:rsid w:val="00430E79"/>
    <w:rsid w:val="0043145F"/>
    <w:rsid w:val="00431544"/>
    <w:rsid w:val="004325FD"/>
    <w:rsid w:val="0043292D"/>
    <w:rsid w:val="004333F9"/>
    <w:rsid w:val="00433929"/>
    <w:rsid w:val="0043402F"/>
    <w:rsid w:val="004348D3"/>
    <w:rsid w:val="00434AAC"/>
    <w:rsid w:val="00434FBC"/>
    <w:rsid w:val="00435445"/>
    <w:rsid w:val="00436225"/>
    <w:rsid w:val="00436F1E"/>
    <w:rsid w:val="00436FC3"/>
    <w:rsid w:val="00440ADC"/>
    <w:rsid w:val="00441054"/>
    <w:rsid w:val="00441A91"/>
    <w:rsid w:val="00441C7F"/>
    <w:rsid w:val="00441F3F"/>
    <w:rsid w:val="004425FE"/>
    <w:rsid w:val="004428B9"/>
    <w:rsid w:val="0044362C"/>
    <w:rsid w:val="00444072"/>
    <w:rsid w:val="00444420"/>
    <w:rsid w:val="00444778"/>
    <w:rsid w:val="00446017"/>
    <w:rsid w:val="00446A81"/>
    <w:rsid w:val="00446F86"/>
    <w:rsid w:val="004475ED"/>
    <w:rsid w:val="00447F03"/>
    <w:rsid w:val="00450218"/>
    <w:rsid w:val="00450817"/>
    <w:rsid w:val="00450B9B"/>
    <w:rsid w:val="00452442"/>
    <w:rsid w:val="0045355E"/>
    <w:rsid w:val="00453931"/>
    <w:rsid w:val="00453CBD"/>
    <w:rsid w:val="00454687"/>
    <w:rsid w:val="0045489A"/>
    <w:rsid w:val="00454941"/>
    <w:rsid w:val="00454994"/>
    <w:rsid w:val="00456BAF"/>
    <w:rsid w:val="0045760B"/>
    <w:rsid w:val="0046006F"/>
    <w:rsid w:val="004601BA"/>
    <w:rsid w:val="00461311"/>
    <w:rsid w:val="00461D6D"/>
    <w:rsid w:val="004621A7"/>
    <w:rsid w:val="004628D3"/>
    <w:rsid w:val="004629E2"/>
    <w:rsid w:val="00463208"/>
    <w:rsid w:val="00463DB8"/>
    <w:rsid w:val="00464882"/>
    <w:rsid w:val="00464A8A"/>
    <w:rsid w:val="00465DB7"/>
    <w:rsid w:val="00466328"/>
    <w:rsid w:val="00467D3A"/>
    <w:rsid w:val="00467E8C"/>
    <w:rsid w:val="004701DA"/>
    <w:rsid w:val="004704B4"/>
    <w:rsid w:val="0047082F"/>
    <w:rsid w:val="004710BE"/>
    <w:rsid w:val="0047246C"/>
    <w:rsid w:val="004734A2"/>
    <w:rsid w:val="004737CD"/>
    <w:rsid w:val="00474B3C"/>
    <w:rsid w:val="004766AB"/>
    <w:rsid w:val="00477890"/>
    <w:rsid w:val="00480558"/>
    <w:rsid w:val="004805D5"/>
    <w:rsid w:val="00480B7A"/>
    <w:rsid w:val="004814EF"/>
    <w:rsid w:val="00481F0F"/>
    <w:rsid w:val="00481FFC"/>
    <w:rsid w:val="00482365"/>
    <w:rsid w:val="004824A3"/>
    <w:rsid w:val="0048293B"/>
    <w:rsid w:val="00482F5B"/>
    <w:rsid w:val="00483DEC"/>
    <w:rsid w:val="00484821"/>
    <w:rsid w:val="00484DA8"/>
    <w:rsid w:val="00485B4D"/>
    <w:rsid w:val="00486332"/>
    <w:rsid w:val="004863A8"/>
    <w:rsid w:val="004873D3"/>
    <w:rsid w:val="00491442"/>
    <w:rsid w:val="00491C67"/>
    <w:rsid w:val="00491E7F"/>
    <w:rsid w:val="004921A4"/>
    <w:rsid w:val="004923C5"/>
    <w:rsid w:val="004929EA"/>
    <w:rsid w:val="004935BB"/>
    <w:rsid w:val="00494249"/>
    <w:rsid w:val="004955FB"/>
    <w:rsid w:val="00495E80"/>
    <w:rsid w:val="00496054"/>
    <w:rsid w:val="0049640D"/>
    <w:rsid w:val="00496FAE"/>
    <w:rsid w:val="0049782B"/>
    <w:rsid w:val="00497BDF"/>
    <w:rsid w:val="004A0C1E"/>
    <w:rsid w:val="004A0F17"/>
    <w:rsid w:val="004A300F"/>
    <w:rsid w:val="004A4192"/>
    <w:rsid w:val="004A4F04"/>
    <w:rsid w:val="004A4F6F"/>
    <w:rsid w:val="004A53BA"/>
    <w:rsid w:val="004A5767"/>
    <w:rsid w:val="004A600D"/>
    <w:rsid w:val="004A61D9"/>
    <w:rsid w:val="004A679D"/>
    <w:rsid w:val="004A6803"/>
    <w:rsid w:val="004A7087"/>
    <w:rsid w:val="004B19B2"/>
    <w:rsid w:val="004B2549"/>
    <w:rsid w:val="004B2ACE"/>
    <w:rsid w:val="004B37D1"/>
    <w:rsid w:val="004B3A47"/>
    <w:rsid w:val="004B3A76"/>
    <w:rsid w:val="004B3E0C"/>
    <w:rsid w:val="004B4515"/>
    <w:rsid w:val="004B4EB1"/>
    <w:rsid w:val="004B4EC1"/>
    <w:rsid w:val="004B4F90"/>
    <w:rsid w:val="004B5242"/>
    <w:rsid w:val="004B546E"/>
    <w:rsid w:val="004B57A7"/>
    <w:rsid w:val="004B5F60"/>
    <w:rsid w:val="004B6EA4"/>
    <w:rsid w:val="004B7738"/>
    <w:rsid w:val="004B7B6F"/>
    <w:rsid w:val="004C0B05"/>
    <w:rsid w:val="004C1563"/>
    <w:rsid w:val="004C16E9"/>
    <w:rsid w:val="004C1B2C"/>
    <w:rsid w:val="004C1F31"/>
    <w:rsid w:val="004C23EA"/>
    <w:rsid w:val="004C2ABE"/>
    <w:rsid w:val="004C2D74"/>
    <w:rsid w:val="004C2D91"/>
    <w:rsid w:val="004C2EEB"/>
    <w:rsid w:val="004C31F2"/>
    <w:rsid w:val="004C407C"/>
    <w:rsid w:val="004C41D3"/>
    <w:rsid w:val="004C45D1"/>
    <w:rsid w:val="004C56B1"/>
    <w:rsid w:val="004C58D9"/>
    <w:rsid w:val="004C6424"/>
    <w:rsid w:val="004C662A"/>
    <w:rsid w:val="004C6CAE"/>
    <w:rsid w:val="004C6D4D"/>
    <w:rsid w:val="004C6F1B"/>
    <w:rsid w:val="004C70B1"/>
    <w:rsid w:val="004C79AD"/>
    <w:rsid w:val="004C79AE"/>
    <w:rsid w:val="004C7CA8"/>
    <w:rsid w:val="004D0426"/>
    <w:rsid w:val="004D050C"/>
    <w:rsid w:val="004D0758"/>
    <w:rsid w:val="004D23A7"/>
    <w:rsid w:val="004D2CE5"/>
    <w:rsid w:val="004D2D5C"/>
    <w:rsid w:val="004D341D"/>
    <w:rsid w:val="004D3615"/>
    <w:rsid w:val="004D3786"/>
    <w:rsid w:val="004D47E2"/>
    <w:rsid w:val="004D49F8"/>
    <w:rsid w:val="004D4DC4"/>
    <w:rsid w:val="004D5295"/>
    <w:rsid w:val="004D5503"/>
    <w:rsid w:val="004D5F2B"/>
    <w:rsid w:val="004D6015"/>
    <w:rsid w:val="004D6489"/>
    <w:rsid w:val="004D6BAC"/>
    <w:rsid w:val="004E0642"/>
    <w:rsid w:val="004E0BB8"/>
    <w:rsid w:val="004E1AA9"/>
    <w:rsid w:val="004E2289"/>
    <w:rsid w:val="004E2407"/>
    <w:rsid w:val="004E367C"/>
    <w:rsid w:val="004E4062"/>
    <w:rsid w:val="004E4287"/>
    <w:rsid w:val="004E4DAF"/>
    <w:rsid w:val="004E4FA4"/>
    <w:rsid w:val="004E582E"/>
    <w:rsid w:val="004E5B58"/>
    <w:rsid w:val="004E6E2E"/>
    <w:rsid w:val="004E7069"/>
    <w:rsid w:val="004E7B90"/>
    <w:rsid w:val="004F035C"/>
    <w:rsid w:val="004F124D"/>
    <w:rsid w:val="004F1328"/>
    <w:rsid w:val="004F13EE"/>
    <w:rsid w:val="004F275E"/>
    <w:rsid w:val="004F2C34"/>
    <w:rsid w:val="004F34BD"/>
    <w:rsid w:val="004F3831"/>
    <w:rsid w:val="004F47DF"/>
    <w:rsid w:val="004F5B88"/>
    <w:rsid w:val="004F627C"/>
    <w:rsid w:val="004F678A"/>
    <w:rsid w:val="004F6DC0"/>
    <w:rsid w:val="004F6F21"/>
    <w:rsid w:val="004F70FF"/>
    <w:rsid w:val="004F7844"/>
    <w:rsid w:val="00500340"/>
    <w:rsid w:val="00500883"/>
    <w:rsid w:val="00502E87"/>
    <w:rsid w:val="00502F2C"/>
    <w:rsid w:val="00502F6A"/>
    <w:rsid w:val="00503BC0"/>
    <w:rsid w:val="00503BD5"/>
    <w:rsid w:val="00503C71"/>
    <w:rsid w:val="00505551"/>
    <w:rsid w:val="00505883"/>
    <w:rsid w:val="00505C8F"/>
    <w:rsid w:val="00506276"/>
    <w:rsid w:val="005062F8"/>
    <w:rsid w:val="00506847"/>
    <w:rsid w:val="00506E7E"/>
    <w:rsid w:val="00506EA5"/>
    <w:rsid w:val="005075AC"/>
    <w:rsid w:val="00510742"/>
    <w:rsid w:val="00510754"/>
    <w:rsid w:val="0051136E"/>
    <w:rsid w:val="00511B25"/>
    <w:rsid w:val="0051243D"/>
    <w:rsid w:val="005127D8"/>
    <w:rsid w:val="00512EC0"/>
    <w:rsid w:val="005130D4"/>
    <w:rsid w:val="00513896"/>
    <w:rsid w:val="005140FF"/>
    <w:rsid w:val="00514280"/>
    <w:rsid w:val="00514E5B"/>
    <w:rsid w:val="005160FD"/>
    <w:rsid w:val="00517C78"/>
    <w:rsid w:val="00517F92"/>
    <w:rsid w:val="00517FF4"/>
    <w:rsid w:val="005218BC"/>
    <w:rsid w:val="00521A51"/>
    <w:rsid w:val="00521C46"/>
    <w:rsid w:val="00522251"/>
    <w:rsid w:val="00522530"/>
    <w:rsid w:val="00522EB5"/>
    <w:rsid w:val="00523467"/>
    <w:rsid w:val="0052376B"/>
    <w:rsid w:val="00523B0C"/>
    <w:rsid w:val="00523BBA"/>
    <w:rsid w:val="005246EE"/>
    <w:rsid w:val="005252A5"/>
    <w:rsid w:val="00526D61"/>
    <w:rsid w:val="0052758E"/>
    <w:rsid w:val="005275F1"/>
    <w:rsid w:val="0052772B"/>
    <w:rsid w:val="005304DF"/>
    <w:rsid w:val="00531B5E"/>
    <w:rsid w:val="00531F05"/>
    <w:rsid w:val="00532194"/>
    <w:rsid w:val="00532B45"/>
    <w:rsid w:val="00533000"/>
    <w:rsid w:val="00533EB7"/>
    <w:rsid w:val="005357C8"/>
    <w:rsid w:val="00535BF9"/>
    <w:rsid w:val="00535F2B"/>
    <w:rsid w:val="00535F47"/>
    <w:rsid w:val="00535FFB"/>
    <w:rsid w:val="0053679E"/>
    <w:rsid w:val="00537456"/>
    <w:rsid w:val="00537F0C"/>
    <w:rsid w:val="0054075D"/>
    <w:rsid w:val="00540AC0"/>
    <w:rsid w:val="0054160E"/>
    <w:rsid w:val="00541751"/>
    <w:rsid w:val="0054185F"/>
    <w:rsid w:val="00541DB6"/>
    <w:rsid w:val="00541E28"/>
    <w:rsid w:val="0054201B"/>
    <w:rsid w:val="00542CFC"/>
    <w:rsid w:val="0054497F"/>
    <w:rsid w:val="00544A34"/>
    <w:rsid w:val="00544A68"/>
    <w:rsid w:val="00544E7D"/>
    <w:rsid w:val="00546381"/>
    <w:rsid w:val="0054653E"/>
    <w:rsid w:val="00546581"/>
    <w:rsid w:val="005471AB"/>
    <w:rsid w:val="005471DA"/>
    <w:rsid w:val="00551759"/>
    <w:rsid w:val="0055193B"/>
    <w:rsid w:val="0055249C"/>
    <w:rsid w:val="00553181"/>
    <w:rsid w:val="00553A78"/>
    <w:rsid w:val="00554032"/>
    <w:rsid w:val="005546B7"/>
    <w:rsid w:val="0055630D"/>
    <w:rsid w:val="00556EDC"/>
    <w:rsid w:val="00556F87"/>
    <w:rsid w:val="00557602"/>
    <w:rsid w:val="00557A5D"/>
    <w:rsid w:val="00557F8F"/>
    <w:rsid w:val="005617B7"/>
    <w:rsid w:val="005619FE"/>
    <w:rsid w:val="005621AB"/>
    <w:rsid w:val="00562A83"/>
    <w:rsid w:val="00562ECA"/>
    <w:rsid w:val="00563D84"/>
    <w:rsid w:val="00565974"/>
    <w:rsid w:val="00566238"/>
    <w:rsid w:val="005666E0"/>
    <w:rsid w:val="00566824"/>
    <w:rsid w:val="00570C12"/>
    <w:rsid w:val="005723D3"/>
    <w:rsid w:val="0057269A"/>
    <w:rsid w:val="005732E3"/>
    <w:rsid w:val="00573792"/>
    <w:rsid w:val="005740BE"/>
    <w:rsid w:val="00574EA2"/>
    <w:rsid w:val="00575B4A"/>
    <w:rsid w:val="00576742"/>
    <w:rsid w:val="00577367"/>
    <w:rsid w:val="00577837"/>
    <w:rsid w:val="00577B12"/>
    <w:rsid w:val="00580116"/>
    <w:rsid w:val="00580157"/>
    <w:rsid w:val="005803DE"/>
    <w:rsid w:val="00581BC7"/>
    <w:rsid w:val="005822AB"/>
    <w:rsid w:val="00582332"/>
    <w:rsid w:val="00582822"/>
    <w:rsid w:val="00582F9F"/>
    <w:rsid w:val="005835B9"/>
    <w:rsid w:val="005842D6"/>
    <w:rsid w:val="00584C44"/>
    <w:rsid w:val="00584DC9"/>
    <w:rsid w:val="00584E77"/>
    <w:rsid w:val="00585002"/>
    <w:rsid w:val="005852ED"/>
    <w:rsid w:val="00585B4C"/>
    <w:rsid w:val="00585FBA"/>
    <w:rsid w:val="005875F6"/>
    <w:rsid w:val="00587C06"/>
    <w:rsid w:val="00590861"/>
    <w:rsid w:val="00590977"/>
    <w:rsid w:val="00590FA2"/>
    <w:rsid w:val="00591994"/>
    <w:rsid w:val="00591B61"/>
    <w:rsid w:val="005920C3"/>
    <w:rsid w:val="005924CB"/>
    <w:rsid w:val="00593CFF"/>
    <w:rsid w:val="0059558A"/>
    <w:rsid w:val="0059594B"/>
    <w:rsid w:val="00596188"/>
    <w:rsid w:val="00596C7B"/>
    <w:rsid w:val="0059718E"/>
    <w:rsid w:val="005979DD"/>
    <w:rsid w:val="005979EA"/>
    <w:rsid w:val="00597E81"/>
    <w:rsid w:val="005A0619"/>
    <w:rsid w:val="005A1811"/>
    <w:rsid w:val="005A1D1F"/>
    <w:rsid w:val="005A1F5E"/>
    <w:rsid w:val="005A2622"/>
    <w:rsid w:val="005A288A"/>
    <w:rsid w:val="005A2C22"/>
    <w:rsid w:val="005A31C6"/>
    <w:rsid w:val="005A3205"/>
    <w:rsid w:val="005A43E6"/>
    <w:rsid w:val="005A5093"/>
    <w:rsid w:val="005A5ACB"/>
    <w:rsid w:val="005A5E0F"/>
    <w:rsid w:val="005A5EB8"/>
    <w:rsid w:val="005A6012"/>
    <w:rsid w:val="005A61E0"/>
    <w:rsid w:val="005A672D"/>
    <w:rsid w:val="005A79C7"/>
    <w:rsid w:val="005A7A1F"/>
    <w:rsid w:val="005B00C9"/>
    <w:rsid w:val="005B147E"/>
    <w:rsid w:val="005B2200"/>
    <w:rsid w:val="005B25FB"/>
    <w:rsid w:val="005B2E84"/>
    <w:rsid w:val="005B3222"/>
    <w:rsid w:val="005B5122"/>
    <w:rsid w:val="005B5237"/>
    <w:rsid w:val="005B534D"/>
    <w:rsid w:val="005B57F6"/>
    <w:rsid w:val="005B5966"/>
    <w:rsid w:val="005B59B7"/>
    <w:rsid w:val="005B5F93"/>
    <w:rsid w:val="005B6740"/>
    <w:rsid w:val="005B7F9F"/>
    <w:rsid w:val="005C0D26"/>
    <w:rsid w:val="005C22CB"/>
    <w:rsid w:val="005C23DC"/>
    <w:rsid w:val="005C305F"/>
    <w:rsid w:val="005C3193"/>
    <w:rsid w:val="005C3867"/>
    <w:rsid w:val="005C3F94"/>
    <w:rsid w:val="005C40C8"/>
    <w:rsid w:val="005C4F25"/>
    <w:rsid w:val="005C53A9"/>
    <w:rsid w:val="005C5971"/>
    <w:rsid w:val="005C743F"/>
    <w:rsid w:val="005D071F"/>
    <w:rsid w:val="005D09E4"/>
    <w:rsid w:val="005D0A7D"/>
    <w:rsid w:val="005D0CC6"/>
    <w:rsid w:val="005D147F"/>
    <w:rsid w:val="005D1994"/>
    <w:rsid w:val="005D3E95"/>
    <w:rsid w:val="005D4A5A"/>
    <w:rsid w:val="005D5F9C"/>
    <w:rsid w:val="005D775C"/>
    <w:rsid w:val="005D7E1C"/>
    <w:rsid w:val="005E036D"/>
    <w:rsid w:val="005E1E1B"/>
    <w:rsid w:val="005E34A1"/>
    <w:rsid w:val="005E4213"/>
    <w:rsid w:val="005E4DD8"/>
    <w:rsid w:val="005E5E86"/>
    <w:rsid w:val="005E6224"/>
    <w:rsid w:val="005E6324"/>
    <w:rsid w:val="005E64DC"/>
    <w:rsid w:val="005E6E23"/>
    <w:rsid w:val="005E6E5A"/>
    <w:rsid w:val="005E7E04"/>
    <w:rsid w:val="005E7FD1"/>
    <w:rsid w:val="005F0EAF"/>
    <w:rsid w:val="005F1134"/>
    <w:rsid w:val="005F16A0"/>
    <w:rsid w:val="005F19F4"/>
    <w:rsid w:val="005F1BAA"/>
    <w:rsid w:val="005F3043"/>
    <w:rsid w:val="005F322D"/>
    <w:rsid w:val="005F34DC"/>
    <w:rsid w:val="005F3C64"/>
    <w:rsid w:val="005F4219"/>
    <w:rsid w:val="005F438F"/>
    <w:rsid w:val="005F5405"/>
    <w:rsid w:val="005F699B"/>
    <w:rsid w:val="005F7481"/>
    <w:rsid w:val="005F7729"/>
    <w:rsid w:val="00600486"/>
    <w:rsid w:val="006006FA"/>
    <w:rsid w:val="00601088"/>
    <w:rsid w:val="006011AF"/>
    <w:rsid w:val="0060158F"/>
    <w:rsid w:val="00601D0C"/>
    <w:rsid w:val="00603444"/>
    <w:rsid w:val="006035E1"/>
    <w:rsid w:val="006038E4"/>
    <w:rsid w:val="00603B7B"/>
    <w:rsid w:val="00604006"/>
    <w:rsid w:val="006041CF"/>
    <w:rsid w:val="00604D00"/>
    <w:rsid w:val="006060EC"/>
    <w:rsid w:val="006072C2"/>
    <w:rsid w:val="0060730F"/>
    <w:rsid w:val="006107A6"/>
    <w:rsid w:val="006108EE"/>
    <w:rsid w:val="006109F2"/>
    <w:rsid w:val="00610FE3"/>
    <w:rsid w:val="00611D42"/>
    <w:rsid w:val="0061211A"/>
    <w:rsid w:val="0061275A"/>
    <w:rsid w:val="00612991"/>
    <w:rsid w:val="00613FAC"/>
    <w:rsid w:val="0061461C"/>
    <w:rsid w:val="006146F3"/>
    <w:rsid w:val="00615906"/>
    <w:rsid w:val="00615BBE"/>
    <w:rsid w:val="00617AAB"/>
    <w:rsid w:val="00617E3D"/>
    <w:rsid w:val="006204C3"/>
    <w:rsid w:val="00620B95"/>
    <w:rsid w:val="00620DB2"/>
    <w:rsid w:val="00623BFC"/>
    <w:rsid w:val="00624D81"/>
    <w:rsid w:val="00624DA6"/>
    <w:rsid w:val="00624EB2"/>
    <w:rsid w:val="0062599F"/>
    <w:rsid w:val="00626056"/>
    <w:rsid w:val="006269EE"/>
    <w:rsid w:val="00627BFC"/>
    <w:rsid w:val="0063001F"/>
    <w:rsid w:val="00631269"/>
    <w:rsid w:val="0063214E"/>
    <w:rsid w:val="006321CC"/>
    <w:rsid w:val="0063285B"/>
    <w:rsid w:val="006343E9"/>
    <w:rsid w:val="006348AE"/>
    <w:rsid w:val="00634F9D"/>
    <w:rsid w:val="006353E4"/>
    <w:rsid w:val="006355AF"/>
    <w:rsid w:val="00636771"/>
    <w:rsid w:val="00637528"/>
    <w:rsid w:val="00637E0F"/>
    <w:rsid w:val="00645231"/>
    <w:rsid w:val="00645634"/>
    <w:rsid w:val="006457A8"/>
    <w:rsid w:val="00646501"/>
    <w:rsid w:val="006468E9"/>
    <w:rsid w:val="00646F51"/>
    <w:rsid w:val="00647ADF"/>
    <w:rsid w:val="006500C4"/>
    <w:rsid w:val="00650141"/>
    <w:rsid w:val="00650758"/>
    <w:rsid w:val="006507C8"/>
    <w:rsid w:val="00650B40"/>
    <w:rsid w:val="006510E9"/>
    <w:rsid w:val="006511E6"/>
    <w:rsid w:val="00651B52"/>
    <w:rsid w:val="006524BE"/>
    <w:rsid w:val="00653BA7"/>
    <w:rsid w:val="00654065"/>
    <w:rsid w:val="0065464A"/>
    <w:rsid w:val="00655948"/>
    <w:rsid w:val="0065632F"/>
    <w:rsid w:val="00657364"/>
    <w:rsid w:val="0066031B"/>
    <w:rsid w:val="006612D2"/>
    <w:rsid w:val="00662015"/>
    <w:rsid w:val="006620C8"/>
    <w:rsid w:val="00662374"/>
    <w:rsid w:val="0066239F"/>
    <w:rsid w:val="0066281E"/>
    <w:rsid w:val="00662D4C"/>
    <w:rsid w:val="006634A6"/>
    <w:rsid w:val="0066380C"/>
    <w:rsid w:val="00663C50"/>
    <w:rsid w:val="00663DE1"/>
    <w:rsid w:val="00663F27"/>
    <w:rsid w:val="00663FDA"/>
    <w:rsid w:val="00664180"/>
    <w:rsid w:val="0066436C"/>
    <w:rsid w:val="0066563A"/>
    <w:rsid w:val="00665A9B"/>
    <w:rsid w:val="00665D6D"/>
    <w:rsid w:val="00666117"/>
    <w:rsid w:val="006661AA"/>
    <w:rsid w:val="0066684E"/>
    <w:rsid w:val="00666D19"/>
    <w:rsid w:val="006672B3"/>
    <w:rsid w:val="006702B6"/>
    <w:rsid w:val="00670617"/>
    <w:rsid w:val="006707D7"/>
    <w:rsid w:val="0067182D"/>
    <w:rsid w:val="006722BC"/>
    <w:rsid w:val="00672444"/>
    <w:rsid w:val="006728F8"/>
    <w:rsid w:val="00672D36"/>
    <w:rsid w:val="0067408B"/>
    <w:rsid w:val="006741D0"/>
    <w:rsid w:val="006746E5"/>
    <w:rsid w:val="00675A37"/>
    <w:rsid w:val="00675E4D"/>
    <w:rsid w:val="0067690D"/>
    <w:rsid w:val="00677844"/>
    <w:rsid w:val="006778DC"/>
    <w:rsid w:val="00677C71"/>
    <w:rsid w:val="00677FB0"/>
    <w:rsid w:val="00680631"/>
    <w:rsid w:val="00680A27"/>
    <w:rsid w:val="00680DDF"/>
    <w:rsid w:val="00681655"/>
    <w:rsid w:val="00681671"/>
    <w:rsid w:val="00682DE0"/>
    <w:rsid w:val="00682F4F"/>
    <w:rsid w:val="006836FF"/>
    <w:rsid w:val="0068392A"/>
    <w:rsid w:val="0068501C"/>
    <w:rsid w:val="00685F8F"/>
    <w:rsid w:val="00687221"/>
    <w:rsid w:val="00687FB7"/>
    <w:rsid w:val="006907D6"/>
    <w:rsid w:val="00690A77"/>
    <w:rsid w:val="00691EE9"/>
    <w:rsid w:val="00692058"/>
    <w:rsid w:val="006930CB"/>
    <w:rsid w:val="006936B1"/>
    <w:rsid w:val="006943CD"/>
    <w:rsid w:val="00694594"/>
    <w:rsid w:val="00694606"/>
    <w:rsid w:val="00694966"/>
    <w:rsid w:val="0069512A"/>
    <w:rsid w:val="00695683"/>
    <w:rsid w:val="006958FB"/>
    <w:rsid w:val="00696380"/>
    <w:rsid w:val="00696B42"/>
    <w:rsid w:val="00696FD8"/>
    <w:rsid w:val="0069719B"/>
    <w:rsid w:val="00697626"/>
    <w:rsid w:val="006A0C68"/>
    <w:rsid w:val="006A0CB4"/>
    <w:rsid w:val="006A1617"/>
    <w:rsid w:val="006A1A93"/>
    <w:rsid w:val="006A1B10"/>
    <w:rsid w:val="006A21ED"/>
    <w:rsid w:val="006A3D28"/>
    <w:rsid w:val="006A3ED3"/>
    <w:rsid w:val="006A3F13"/>
    <w:rsid w:val="006A3FDF"/>
    <w:rsid w:val="006A5253"/>
    <w:rsid w:val="006A5505"/>
    <w:rsid w:val="006A5A38"/>
    <w:rsid w:val="006A6DA1"/>
    <w:rsid w:val="006A722F"/>
    <w:rsid w:val="006A7B76"/>
    <w:rsid w:val="006B0A03"/>
    <w:rsid w:val="006B15C2"/>
    <w:rsid w:val="006B176E"/>
    <w:rsid w:val="006B1842"/>
    <w:rsid w:val="006B240E"/>
    <w:rsid w:val="006B2523"/>
    <w:rsid w:val="006B2710"/>
    <w:rsid w:val="006B2B90"/>
    <w:rsid w:val="006B2F25"/>
    <w:rsid w:val="006B3F99"/>
    <w:rsid w:val="006B427C"/>
    <w:rsid w:val="006B4DE9"/>
    <w:rsid w:val="006B5EA6"/>
    <w:rsid w:val="006B6D8E"/>
    <w:rsid w:val="006B6E77"/>
    <w:rsid w:val="006B7471"/>
    <w:rsid w:val="006B7CED"/>
    <w:rsid w:val="006B7DD9"/>
    <w:rsid w:val="006C016B"/>
    <w:rsid w:val="006C03F1"/>
    <w:rsid w:val="006C07D8"/>
    <w:rsid w:val="006C0CCA"/>
    <w:rsid w:val="006C1477"/>
    <w:rsid w:val="006C1E39"/>
    <w:rsid w:val="006C2B3A"/>
    <w:rsid w:val="006C2F0D"/>
    <w:rsid w:val="006C33C5"/>
    <w:rsid w:val="006C3ADB"/>
    <w:rsid w:val="006C3C4F"/>
    <w:rsid w:val="006C3EBF"/>
    <w:rsid w:val="006C4BA5"/>
    <w:rsid w:val="006C51A3"/>
    <w:rsid w:val="006C61E6"/>
    <w:rsid w:val="006C6D88"/>
    <w:rsid w:val="006C71CA"/>
    <w:rsid w:val="006C72B6"/>
    <w:rsid w:val="006C7BEA"/>
    <w:rsid w:val="006D0701"/>
    <w:rsid w:val="006D0CDE"/>
    <w:rsid w:val="006D0ED4"/>
    <w:rsid w:val="006D1C24"/>
    <w:rsid w:val="006D1CFA"/>
    <w:rsid w:val="006D2B5C"/>
    <w:rsid w:val="006D3187"/>
    <w:rsid w:val="006D3330"/>
    <w:rsid w:val="006D3D2E"/>
    <w:rsid w:val="006D3D95"/>
    <w:rsid w:val="006D3D9B"/>
    <w:rsid w:val="006D46E2"/>
    <w:rsid w:val="006D4815"/>
    <w:rsid w:val="006D4857"/>
    <w:rsid w:val="006D5DC9"/>
    <w:rsid w:val="006D5DF7"/>
    <w:rsid w:val="006D5F71"/>
    <w:rsid w:val="006D7207"/>
    <w:rsid w:val="006D7DFD"/>
    <w:rsid w:val="006D7E1B"/>
    <w:rsid w:val="006E05F3"/>
    <w:rsid w:val="006E0856"/>
    <w:rsid w:val="006E0D0E"/>
    <w:rsid w:val="006E183C"/>
    <w:rsid w:val="006E1861"/>
    <w:rsid w:val="006E18CD"/>
    <w:rsid w:val="006E1A87"/>
    <w:rsid w:val="006E1DA2"/>
    <w:rsid w:val="006E37A4"/>
    <w:rsid w:val="006E5326"/>
    <w:rsid w:val="006E537B"/>
    <w:rsid w:val="006E5DC7"/>
    <w:rsid w:val="006E5DEA"/>
    <w:rsid w:val="006E6E8A"/>
    <w:rsid w:val="006E7A39"/>
    <w:rsid w:val="006F0495"/>
    <w:rsid w:val="006F0BFC"/>
    <w:rsid w:val="006F0E8B"/>
    <w:rsid w:val="006F27C0"/>
    <w:rsid w:val="006F34C7"/>
    <w:rsid w:val="006F4D8A"/>
    <w:rsid w:val="006F5C72"/>
    <w:rsid w:val="006F6189"/>
    <w:rsid w:val="006F628A"/>
    <w:rsid w:val="006F6C6D"/>
    <w:rsid w:val="006F714B"/>
    <w:rsid w:val="00700259"/>
    <w:rsid w:val="00700464"/>
    <w:rsid w:val="00700FED"/>
    <w:rsid w:val="00701112"/>
    <w:rsid w:val="00701568"/>
    <w:rsid w:val="00701845"/>
    <w:rsid w:val="00702B64"/>
    <w:rsid w:val="00703A75"/>
    <w:rsid w:val="00703D1A"/>
    <w:rsid w:val="0070433F"/>
    <w:rsid w:val="00704843"/>
    <w:rsid w:val="007055F1"/>
    <w:rsid w:val="00705652"/>
    <w:rsid w:val="007069D2"/>
    <w:rsid w:val="0070715D"/>
    <w:rsid w:val="00707729"/>
    <w:rsid w:val="00707F28"/>
    <w:rsid w:val="00710119"/>
    <w:rsid w:val="007108B9"/>
    <w:rsid w:val="00711004"/>
    <w:rsid w:val="00711431"/>
    <w:rsid w:val="00712A2F"/>
    <w:rsid w:val="00712B4C"/>
    <w:rsid w:val="00712EA5"/>
    <w:rsid w:val="00713ABC"/>
    <w:rsid w:val="007158F7"/>
    <w:rsid w:val="00715DEA"/>
    <w:rsid w:val="007162FF"/>
    <w:rsid w:val="00716671"/>
    <w:rsid w:val="00716BD3"/>
    <w:rsid w:val="00717B7C"/>
    <w:rsid w:val="00717C6B"/>
    <w:rsid w:val="00717F25"/>
    <w:rsid w:val="007201E6"/>
    <w:rsid w:val="00722609"/>
    <w:rsid w:val="00722B68"/>
    <w:rsid w:val="00722EA7"/>
    <w:rsid w:val="00723BC4"/>
    <w:rsid w:val="007241B9"/>
    <w:rsid w:val="007244A6"/>
    <w:rsid w:val="00725588"/>
    <w:rsid w:val="00725B9A"/>
    <w:rsid w:val="00725D94"/>
    <w:rsid w:val="0072613C"/>
    <w:rsid w:val="007264D4"/>
    <w:rsid w:val="0072664D"/>
    <w:rsid w:val="007266E1"/>
    <w:rsid w:val="00726DA3"/>
    <w:rsid w:val="00726E71"/>
    <w:rsid w:val="007313E9"/>
    <w:rsid w:val="00731D75"/>
    <w:rsid w:val="00732D8C"/>
    <w:rsid w:val="00734B34"/>
    <w:rsid w:val="00734C39"/>
    <w:rsid w:val="00736609"/>
    <w:rsid w:val="007366D6"/>
    <w:rsid w:val="007371A5"/>
    <w:rsid w:val="007373FD"/>
    <w:rsid w:val="00737A90"/>
    <w:rsid w:val="00740F9B"/>
    <w:rsid w:val="00741310"/>
    <w:rsid w:val="007416EA"/>
    <w:rsid w:val="00742547"/>
    <w:rsid w:val="00743C28"/>
    <w:rsid w:val="00743F9C"/>
    <w:rsid w:val="00744B19"/>
    <w:rsid w:val="007463B3"/>
    <w:rsid w:val="00746E37"/>
    <w:rsid w:val="00746E7B"/>
    <w:rsid w:val="00747336"/>
    <w:rsid w:val="0074789D"/>
    <w:rsid w:val="00747F37"/>
    <w:rsid w:val="00750423"/>
    <w:rsid w:val="00750824"/>
    <w:rsid w:val="00753356"/>
    <w:rsid w:val="00753AC7"/>
    <w:rsid w:val="007549B1"/>
    <w:rsid w:val="00755126"/>
    <w:rsid w:val="00755665"/>
    <w:rsid w:val="00756018"/>
    <w:rsid w:val="00756061"/>
    <w:rsid w:val="00756645"/>
    <w:rsid w:val="00756F0D"/>
    <w:rsid w:val="00757B5A"/>
    <w:rsid w:val="00760147"/>
    <w:rsid w:val="00760AF4"/>
    <w:rsid w:val="0076118E"/>
    <w:rsid w:val="007615AC"/>
    <w:rsid w:val="00761A2D"/>
    <w:rsid w:val="00761F82"/>
    <w:rsid w:val="00762129"/>
    <w:rsid w:val="00762194"/>
    <w:rsid w:val="007621EC"/>
    <w:rsid w:val="00763256"/>
    <w:rsid w:val="00763CC3"/>
    <w:rsid w:val="00763CC4"/>
    <w:rsid w:val="00763D2A"/>
    <w:rsid w:val="00763F3E"/>
    <w:rsid w:val="0076519E"/>
    <w:rsid w:val="007656D3"/>
    <w:rsid w:val="00765828"/>
    <w:rsid w:val="00765E36"/>
    <w:rsid w:val="00766B26"/>
    <w:rsid w:val="00766C44"/>
    <w:rsid w:val="00767962"/>
    <w:rsid w:val="0077014D"/>
    <w:rsid w:val="00770D77"/>
    <w:rsid w:val="007716BC"/>
    <w:rsid w:val="007725AE"/>
    <w:rsid w:val="00772B33"/>
    <w:rsid w:val="0077372D"/>
    <w:rsid w:val="00773B91"/>
    <w:rsid w:val="00773D8C"/>
    <w:rsid w:val="00773FAB"/>
    <w:rsid w:val="00774C32"/>
    <w:rsid w:val="00775489"/>
    <w:rsid w:val="00775A58"/>
    <w:rsid w:val="00775DDF"/>
    <w:rsid w:val="00777106"/>
    <w:rsid w:val="00777554"/>
    <w:rsid w:val="00777F35"/>
    <w:rsid w:val="00780308"/>
    <w:rsid w:val="007808CE"/>
    <w:rsid w:val="0078123E"/>
    <w:rsid w:val="00781A0F"/>
    <w:rsid w:val="00782644"/>
    <w:rsid w:val="0078290D"/>
    <w:rsid w:val="0078293D"/>
    <w:rsid w:val="00782CC9"/>
    <w:rsid w:val="00782FAF"/>
    <w:rsid w:val="00783EC0"/>
    <w:rsid w:val="00784056"/>
    <w:rsid w:val="00784200"/>
    <w:rsid w:val="00784933"/>
    <w:rsid w:val="00784FCC"/>
    <w:rsid w:val="007869C5"/>
    <w:rsid w:val="0078762D"/>
    <w:rsid w:val="00790872"/>
    <w:rsid w:val="007913C8"/>
    <w:rsid w:val="00792D18"/>
    <w:rsid w:val="007934FA"/>
    <w:rsid w:val="00793E3C"/>
    <w:rsid w:val="00794283"/>
    <w:rsid w:val="0079484D"/>
    <w:rsid w:val="007953F4"/>
    <w:rsid w:val="00795557"/>
    <w:rsid w:val="007955AB"/>
    <w:rsid w:val="00796331"/>
    <w:rsid w:val="00797080"/>
    <w:rsid w:val="00797A22"/>
    <w:rsid w:val="007A1347"/>
    <w:rsid w:val="007A2436"/>
    <w:rsid w:val="007A24C9"/>
    <w:rsid w:val="007A2F50"/>
    <w:rsid w:val="007A372C"/>
    <w:rsid w:val="007A3E6B"/>
    <w:rsid w:val="007A5D95"/>
    <w:rsid w:val="007A60E6"/>
    <w:rsid w:val="007A62AD"/>
    <w:rsid w:val="007A7007"/>
    <w:rsid w:val="007B027B"/>
    <w:rsid w:val="007B04B1"/>
    <w:rsid w:val="007B05DC"/>
    <w:rsid w:val="007B07CF"/>
    <w:rsid w:val="007B0C97"/>
    <w:rsid w:val="007B10AE"/>
    <w:rsid w:val="007B16A2"/>
    <w:rsid w:val="007B21E3"/>
    <w:rsid w:val="007B252C"/>
    <w:rsid w:val="007B2764"/>
    <w:rsid w:val="007B3571"/>
    <w:rsid w:val="007B3C3D"/>
    <w:rsid w:val="007B49B9"/>
    <w:rsid w:val="007B4BD5"/>
    <w:rsid w:val="007B5188"/>
    <w:rsid w:val="007B53E7"/>
    <w:rsid w:val="007B563C"/>
    <w:rsid w:val="007B6C0B"/>
    <w:rsid w:val="007B6D29"/>
    <w:rsid w:val="007B798D"/>
    <w:rsid w:val="007B7A54"/>
    <w:rsid w:val="007B7BD9"/>
    <w:rsid w:val="007C076F"/>
    <w:rsid w:val="007C0B50"/>
    <w:rsid w:val="007C19B7"/>
    <w:rsid w:val="007C1B01"/>
    <w:rsid w:val="007C1E1B"/>
    <w:rsid w:val="007C2582"/>
    <w:rsid w:val="007C3A09"/>
    <w:rsid w:val="007C4023"/>
    <w:rsid w:val="007C58ED"/>
    <w:rsid w:val="007C5EFC"/>
    <w:rsid w:val="007C6826"/>
    <w:rsid w:val="007C6946"/>
    <w:rsid w:val="007C7033"/>
    <w:rsid w:val="007D18ED"/>
    <w:rsid w:val="007D2833"/>
    <w:rsid w:val="007D296F"/>
    <w:rsid w:val="007D3284"/>
    <w:rsid w:val="007D330B"/>
    <w:rsid w:val="007D41FE"/>
    <w:rsid w:val="007D43E6"/>
    <w:rsid w:val="007D44AD"/>
    <w:rsid w:val="007D475F"/>
    <w:rsid w:val="007D5AF4"/>
    <w:rsid w:val="007D6AA6"/>
    <w:rsid w:val="007D6ABC"/>
    <w:rsid w:val="007D6C9E"/>
    <w:rsid w:val="007D7234"/>
    <w:rsid w:val="007E0734"/>
    <w:rsid w:val="007E28BA"/>
    <w:rsid w:val="007E292E"/>
    <w:rsid w:val="007E2CB6"/>
    <w:rsid w:val="007E2F69"/>
    <w:rsid w:val="007E3F2A"/>
    <w:rsid w:val="007E409D"/>
    <w:rsid w:val="007E44CA"/>
    <w:rsid w:val="007E5616"/>
    <w:rsid w:val="007E67CA"/>
    <w:rsid w:val="007E7D15"/>
    <w:rsid w:val="007F028C"/>
    <w:rsid w:val="007F074A"/>
    <w:rsid w:val="007F0ADB"/>
    <w:rsid w:val="007F1656"/>
    <w:rsid w:val="007F1812"/>
    <w:rsid w:val="007F2F2E"/>
    <w:rsid w:val="007F33CB"/>
    <w:rsid w:val="007F3CF5"/>
    <w:rsid w:val="007F428F"/>
    <w:rsid w:val="007F484E"/>
    <w:rsid w:val="007F5381"/>
    <w:rsid w:val="007F5440"/>
    <w:rsid w:val="007F7B4E"/>
    <w:rsid w:val="008001B0"/>
    <w:rsid w:val="00800956"/>
    <w:rsid w:val="0080163C"/>
    <w:rsid w:val="0080251A"/>
    <w:rsid w:val="008027CF"/>
    <w:rsid w:val="00802F37"/>
    <w:rsid w:val="008040A5"/>
    <w:rsid w:val="008050FE"/>
    <w:rsid w:val="00805AC4"/>
    <w:rsid w:val="00805F42"/>
    <w:rsid w:val="008068E5"/>
    <w:rsid w:val="008104E5"/>
    <w:rsid w:val="0081079F"/>
    <w:rsid w:val="008108B9"/>
    <w:rsid w:val="00810BB7"/>
    <w:rsid w:val="008129E2"/>
    <w:rsid w:val="00812A70"/>
    <w:rsid w:val="0081445F"/>
    <w:rsid w:val="00814557"/>
    <w:rsid w:val="0081512A"/>
    <w:rsid w:val="008151AA"/>
    <w:rsid w:val="008151D3"/>
    <w:rsid w:val="00815220"/>
    <w:rsid w:val="0081668E"/>
    <w:rsid w:val="00816EEC"/>
    <w:rsid w:val="0082051A"/>
    <w:rsid w:val="0082144C"/>
    <w:rsid w:val="00822A22"/>
    <w:rsid w:val="00822DCD"/>
    <w:rsid w:val="0082465D"/>
    <w:rsid w:val="00824AED"/>
    <w:rsid w:val="0082518C"/>
    <w:rsid w:val="00825782"/>
    <w:rsid w:val="008259A6"/>
    <w:rsid w:val="00825AAA"/>
    <w:rsid w:val="00825AD8"/>
    <w:rsid w:val="00825C37"/>
    <w:rsid w:val="00825F71"/>
    <w:rsid w:val="00827757"/>
    <w:rsid w:val="008307B5"/>
    <w:rsid w:val="00830B33"/>
    <w:rsid w:val="008315F3"/>
    <w:rsid w:val="008322A7"/>
    <w:rsid w:val="00832A61"/>
    <w:rsid w:val="00834D45"/>
    <w:rsid w:val="0083545C"/>
    <w:rsid w:val="008359E8"/>
    <w:rsid w:val="00835B6E"/>
    <w:rsid w:val="00837710"/>
    <w:rsid w:val="0084126B"/>
    <w:rsid w:val="00842D04"/>
    <w:rsid w:val="00842E69"/>
    <w:rsid w:val="00843148"/>
    <w:rsid w:val="00843C9E"/>
    <w:rsid w:val="00843F70"/>
    <w:rsid w:val="00844447"/>
    <w:rsid w:val="008444B7"/>
    <w:rsid w:val="00844B61"/>
    <w:rsid w:val="008451AE"/>
    <w:rsid w:val="00845202"/>
    <w:rsid w:val="00845299"/>
    <w:rsid w:val="00845962"/>
    <w:rsid w:val="0084598F"/>
    <w:rsid w:val="00845EC2"/>
    <w:rsid w:val="00847181"/>
    <w:rsid w:val="00847DC5"/>
    <w:rsid w:val="00847E8B"/>
    <w:rsid w:val="0085006B"/>
    <w:rsid w:val="0085028E"/>
    <w:rsid w:val="008502E7"/>
    <w:rsid w:val="00850859"/>
    <w:rsid w:val="00850A20"/>
    <w:rsid w:val="00852E92"/>
    <w:rsid w:val="00853415"/>
    <w:rsid w:val="00853C43"/>
    <w:rsid w:val="00853EF4"/>
    <w:rsid w:val="008543AE"/>
    <w:rsid w:val="00854AB7"/>
    <w:rsid w:val="00855499"/>
    <w:rsid w:val="00856290"/>
    <w:rsid w:val="0085767C"/>
    <w:rsid w:val="00860617"/>
    <w:rsid w:val="00860738"/>
    <w:rsid w:val="00860FA3"/>
    <w:rsid w:val="0086200E"/>
    <w:rsid w:val="008620C7"/>
    <w:rsid w:val="00862200"/>
    <w:rsid w:val="00862735"/>
    <w:rsid w:val="0086398A"/>
    <w:rsid w:val="008639FA"/>
    <w:rsid w:val="00863E9E"/>
    <w:rsid w:val="00863EE1"/>
    <w:rsid w:val="00864114"/>
    <w:rsid w:val="00864520"/>
    <w:rsid w:val="00864BA6"/>
    <w:rsid w:val="00864CD5"/>
    <w:rsid w:val="00864EEE"/>
    <w:rsid w:val="008653AD"/>
    <w:rsid w:val="00865B27"/>
    <w:rsid w:val="00865BCC"/>
    <w:rsid w:val="00865E1E"/>
    <w:rsid w:val="00865FB8"/>
    <w:rsid w:val="00866251"/>
    <w:rsid w:val="0086657A"/>
    <w:rsid w:val="008665E6"/>
    <w:rsid w:val="008672FA"/>
    <w:rsid w:val="0086784B"/>
    <w:rsid w:val="00867F1C"/>
    <w:rsid w:val="00870191"/>
    <w:rsid w:val="00870689"/>
    <w:rsid w:val="00870B8D"/>
    <w:rsid w:val="00871EC6"/>
    <w:rsid w:val="00873258"/>
    <w:rsid w:val="0087377A"/>
    <w:rsid w:val="00873B99"/>
    <w:rsid w:val="00875170"/>
    <w:rsid w:val="00875D00"/>
    <w:rsid w:val="008763AE"/>
    <w:rsid w:val="00876DC5"/>
    <w:rsid w:val="00876E10"/>
    <w:rsid w:val="00876F7C"/>
    <w:rsid w:val="00877226"/>
    <w:rsid w:val="008776E2"/>
    <w:rsid w:val="00877FC5"/>
    <w:rsid w:val="008800BB"/>
    <w:rsid w:val="00880453"/>
    <w:rsid w:val="00880B08"/>
    <w:rsid w:val="008810BC"/>
    <w:rsid w:val="00881DEA"/>
    <w:rsid w:val="00881F74"/>
    <w:rsid w:val="00882F7A"/>
    <w:rsid w:val="0088300B"/>
    <w:rsid w:val="00883840"/>
    <w:rsid w:val="0088485F"/>
    <w:rsid w:val="00884AEF"/>
    <w:rsid w:val="0088582A"/>
    <w:rsid w:val="0088588E"/>
    <w:rsid w:val="00886B4E"/>
    <w:rsid w:val="00887B96"/>
    <w:rsid w:val="00890BD0"/>
    <w:rsid w:val="00891374"/>
    <w:rsid w:val="0089165A"/>
    <w:rsid w:val="00891786"/>
    <w:rsid w:val="00892FAE"/>
    <w:rsid w:val="00893593"/>
    <w:rsid w:val="008937D6"/>
    <w:rsid w:val="00895125"/>
    <w:rsid w:val="008964C2"/>
    <w:rsid w:val="00896B7B"/>
    <w:rsid w:val="00897AC0"/>
    <w:rsid w:val="008A126D"/>
    <w:rsid w:val="008A19EC"/>
    <w:rsid w:val="008A1EF5"/>
    <w:rsid w:val="008A2497"/>
    <w:rsid w:val="008A3140"/>
    <w:rsid w:val="008A36CC"/>
    <w:rsid w:val="008A46AE"/>
    <w:rsid w:val="008A5036"/>
    <w:rsid w:val="008A51D9"/>
    <w:rsid w:val="008A573B"/>
    <w:rsid w:val="008A5C7F"/>
    <w:rsid w:val="008A63E1"/>
    <w:rsid w:val="008A67DD"/>
    <w:rsid w:val="008A67E1"/>
    <w:rsid w:val="008A6918"/>
    <w:rsid w:val="008A7302"/>
    <w:rsid w:val="008A7A2D"/>
    <w:rsid w:val="008B029C"/>
    <w:rsid w:val="008B19AB"/>
    <w:rsid w:val="008B2E3D"/>
    <w:rsid w:val="008B2FD6"/>
    <w:rsid w:val="008B3620"/>
    <w:rsid w:val="008B37E2"/>
    <w:rsid w:val="008B3B31"/>
    <w:rsid w:val="008B43E1"/>
    <w:rsid w:val="008B4625"/>
    <w:rsid w:val="008B4B51"/>
    <w:rsid w:val="008B4C13"/>
    <w:rsid w:val="008B4C7D"/>
    <w:rsid w:val="008B58B5"/>
    <w:rsid w:val="008B5BDD"/>
    <w:rsid w:val="008B67FC"/>
    <w:rsid w:val="008B6A43"/>
    <w:rsid w:val="008B6D33"/>
    <w:rsid w:val="008B6DB5"/>
    <w:rsid w:val="008B7A88"/>
    <w:rsid w:val="008C02BC"/>
    <w:rsid w:val="008C0BAE"/>
    <w:rsid w:val="008C1794"/>
    <w:rsid w:val="008C1FBF"/>
    <w:rsid w:val="008C24A5"/>
    <w:rsid w:val="008C2B3A"/>
    <w:rsid w:val="008C35E9"/>
    <w:rsid w:val="008C38C6"/>
    <w:rsid w:val="008C3E37"/>
    <w:rsid w:val="008C4054"/>
    <w:rsid w:val="008C471A"/>
    <w:rsid w:val="008C58F6"/>
    <w:rsid w:val="008C680C"/>
    <w:rsid w:val="008C732C"/>
    <w:rsid w:val="008C73E9"/>
    <w:rsid w:val="008D09D5"/>
    <w:rsid w:val="008D1505"/>
    <w:rsid w:val="008D154B"/>
    <w:rsid w:val="008D17EB"/>
    <w:rsid w:val="008D1A0B"/>
    <w:rsid w:val="008D1AA7"/>
    <w:rsid w:val="008D21D8"/>
    <w:rsid w:val="008D3045"/>
    <w:rsid w:val="008D4221"/>
    <w:rsid w:val="008D47E4"/>
    <w:rsid w:val="008D4DB0"/>
    <w:rsid w:val="008D4ED9"/>
    <w:rsid w:val="008D7050"/>
    <w:rsid w:val="008D76FB"/>
    <w:rsid w:val="008E0292"/>
    <w:rsid w:val="008E09FF"/>
    <w:rsid w:val="008E0C44"/>
    <w:rsid w:val="008E19ED"/>
    <w:rsid w:val="008E2002"/>
    <w:rsid w:val="008E297D"/>
    <w:rsid w:val="008E2A53"/>
    <w:rsid w:val="008E2DC7"/>
    <w:rsid w:val="008E31FD"/>
    <w:rsid w:val="008E3426"/>
    <w:rsid w:val="008E3C13"/>
    <w:rsid w:val="008E479A"/>
    <w:rsid w:val="008E5FD5"/>
    <w:rsid w:val="008E6D20"/>
    <w:rsid w:val="008E6EFD"/>
    <w:rsid w:val="008E72B0"/>
    <w:rsid w:val="008F03A0"/>
    <w:rsid w:val="008F069C"/>
    <w:rsid w:val="008F0E7C"/>
    <w:rsid w:val="008F21BC"/>
    <w:rsid w:val="008F2BD8"/>
    <w:rsid w:val="008F30A9"/>
    <w:rsid w:val="008F3520"/>
    <w:rsid w:val="008F43EE"/>
    <w:rsid w:val="008F498D"/>
    <w:rsid w:val="008F51C4"/>
    <w:rsid w:val="008F5E4A"/>
    <w:rsid w:val="008F5F23"/>
    <w:rsid w:val="008F6E37"/>
    <w:rsid w:val="008F7EA0"/>
    <w:rsid w:val="009005F4"/>
    <w:rsid w:val="0090064D"/>
    <w:rsid w:val="009009B9"/>
    <w:rsid w:val="00900B8A"/>
    <w:rsid w:val="00901862"/>
    <w:rsid w:val="009028B3"/>
    <w:rsid w:val="009039D4"/>
    <w:rsid w:val="00903C27"/>
    <w:rsid w:val="00904138"/>
    <w:rsid w:val="0090446A"/>
    <w:rsid w:val="00904737"/>
    <w:rsid w:val="00904B94"/>
    <w:rsid w:val="00904C68"/>
    <w:rsid w:val="00905195"/>
    <w:rsid w:val="0090540D"/>
    <w:rsid w:val="0090546D"/>
    <w:rsid w:val="00905B46"/>
    <w:rsid w:val="00905F14"/>
    <w:rsid w:val="009061B0"/>
    <w:rsid w:val="009066EC"/>
    <w:rsid w:val="009066F3"/>
    <w:rsid w:val="00906792"/>
    <w:rsid w:val="009103A5"/>
    <w:rsid w:val="00910A02"/>
    <w:rsid w:val="009121C9"/>
    <w:rsid w:val="00913420"/>
    <w:rsid w:val="0091346E"/>
    <w:rsid w:val="00913566"/>
    <w:rsid w:val="0091401D"/>
    <w:rsid w:val="009144D4"/>
    <w:rsid w:val="0091495F"/>
    <w:rsid w:val="00915205"/>
    <w:rsid w:val="00915EA1"/>
    <w:rsid w:val="00916B67"/>
    <w:rsid w:val="00917611"/>
    <w:rsid w:val="00917743"/>
    <w:rsid w:val="0092019F"/>
    <w:rsid w:val="00920FB5"/>
    <w:rsid w:val="00921A4D"/>
    <w:rsid w:val="009222B2"/>
    <w:rsid w:val="00922532"/>
    <w:rsid w:val="00922559"/>
    <w:rsid w:val="009228FC"/>
    <w:rsid w:val="00922A80"/>
    <w:rsid w:val="00923269"/>
    <w:rsid w:val="00923DD0"/>
    <w:rsid w:val="0092455F"/>
    <w:rsid w:val="00924D70"/>
    <w:rsid w:val="00925438"/>
    <w:rsid w:val="0092548F"/>
    <w:rsid w:val="00925A71"/>
    <w:rsid w:val="00925D5D"/>
    <w:rsid w:val="00927889"/>
    <w:rsid w:val="009279FF"/>
    <w:rsid w:val="0093020B"/>
    <w:rsid w:val="0093046A"/>
    <w:rsid w:val="009307D4"/>
    <w:rsid w:val="0093139E"/>
    <w:rsid w:val="009316FC"/>
    <w:rsid w:val="0093172F"/>
    <w:rsid w:val="00931AFE"/>
    <w:rsid w:val="009327F5"/>
    <w:rsid w:val="00932B9F"/>
    <w:rsid w:val="00933698"/>
    <w:rsid w:val="009339D2"/>
    <w:rsid w:val="00933F1F"/>
    <w:rsid w:val="00934B5F"/>
    <w:rsid w:val="00935277"/>
    <w:rsid w:val="00936049"/>
    <w:rsid w:val="00936C35"/>
    <w:rsid w:val="00936D31"/>
    <w:rsid w:val="00936D88"/>
    <w:rsid w:val="00937118"/>
    <w:rsid w:val="0093766B"/>
    <w:rsid w:val="00937C17"/>
    <w:rsid w:val="0094080B"/>
    <w:rsid w:val="009410AA"/>
    <w:rsid w:val="00941A42"/>
    <w:rsid w:val="00943C4A"/>
    <w:rsid w:val="00944389"/>
    <w:rsid w:val="0094511C"/>
    <w:rsid w:val="00945D9E"/>
    <w:rsid w:val="00945F7A"/>
    <w:rsid w:val="009462D0"/>
    <w:rsid w:val="009464B6"/>
    <w:rsid w:val="00950652"/>
    <w:rsid w:val="00950CFD"/>
    <w:rsid w:val="00950FDC"/>
    <w:rsid w:val="00951203"/>
    <w:rsid w:val="0095175E"/>
    <w:rsid w:val="00952360"/>
    <w:rsid w:val="00953F4B"/>
    <w:rsid w:val="00953F8E"/>
    <w:rsid w:val="00954224"/>
    <w:rsid w:val="00955736"/>
    <w:rsid w:val="0095636D"/>
    <w:rsid w:val="00956DCA"/>
    <w:rsid w:val="00957F05"/>
    <w:rsid w:val="009605B1"/>
    <w:rsid w:val="00960F39"/>
    <w:rsid w:val="00961299"/>
    <w:rsid w:val="00961ADE"/>
    <w:rsid w:val="0096245D"/>
    <w:rsid w:val="00962813"/>
    <w:rsid w:val="00963115"/>
    <w:rsid w:val="009631E5"/>
    <w:rsid w:val="0096458F"/>
    <w:rsid w:val="00964617"/>
    <w:rsid w:val="00964CA6"/>
    <w:rsid w:val="00965B8C"/>
    <w:rsid w:val="00965F40"/>
    <w:rsid w:val="0096683E"/>
    <w:rsid w:val="00966A70"/>
    <w:rsid w:val="009702B4"/>
    <w:rsid w:val="009702B6"/>
    <w:rsid w:val="00970D24"/>
    <w:rsid w:val="00970EBF"/>
    <w:rsid w:val="00971109"/>
    <w:rsid w:val="00974156"/>
    <w:rsid w:val="00974E03"/>
    <w:rsid w:val="00975CC2"/>
    <w:rsid w:val="00976DB3"/>
    <w:rsid w:val="00976DE0"/>
    <w:rsid w:val="00977182"/>
    <w:rsid w:val="00977EC0"/>
    <w:rsid w:val="00977FAF"/>
    <w:rsid w:val="009801E3"/>
    <w:rsid w:val="00981BC4"/>
    <w:rsid w:val="009826A5"/>
    <w:rsid w:val="00982B36"/>
    <w:rsid w:val="00982BDA"/>
    <w:rsid w:val="00982DF4"/>
    <w:rsid w:val="0098312A"/>
    <w:rsid w:val="00983EA5"/>
    <w:rsid w:val="009840FB"/>
    <w:rsid w:val="0098423C"/>
    <w:rsid w:val="00984A83"/>
    <w:rsid w:val="00984AF4"/>
    <w:rsid w:val="00985865"/>
    <w:rsid w:val="00985BD5"/>
    <w:rsid w:val="00985FCD"/>
    <w:rsid w:val="00986225"/>
    <w:rsid w:val="009878FF"/>
    <w:rsid w:val="00987CFF"/>
    <w:rsid w:val="009900E2"/>
    <w:rsid w:val="009909B8"/>
    <w:rsid w:val="00990D15"/>
    <w:rsid w:val="00990F0C"/>
    <w:rsid w:val="00991623"/>
    <w:rsid w:val="00991E2A"/>
    <w:rsid w:val="00992556"/>
    <w:rsid w:val="00992A9D"/>
    <w:rsid w:val="00992DC2"/>
    <w:rsid w:val="00992F69"/>
    <w:rsid w:val="009930DC"/>
    <w:rsid w:val="0099321E"/>
    <w:rsid w:val="00993E06"/>
    <w:rsid w:val="0099470B"/>
    <w:rsid w:val="009954FC"/>
    <w:rsid w:val="00996E0B"/>
    <w:rsid w:val="00997918"/>
    <w:rsid w:val="00997A17"/>
    <w:rsid w:val="00997D1E"/>
    <w:rsid w:val="009A181F"/>
    <w:rsid w:val="009A1D20"/>
    <w:rsid w:val="009A2BC8"/>
    <w:rsid w:val="009A2C9C"/>
    <w:rsid w:val="009A3F23"/>
    <w:rsid w:val="009A4771"/>
    <w:rsid w:val="009A6846"/>
    <w:rsid w:val="009A6F56"/>
    <w:rsid w:val="009A7371"/>
    <w:rsid w:val="009A786A"/>
    <w:rsid w:val="009B007E"/>
    <w:rsid w:val="009B0375"/>
    <w:rsid w:val="009B0516"/>
    <w:rsid w:val="009B0787"/>
    <w:rsid w:val="009B1123"/>
    <w:rsid w:val="009B1621"/>
    <w:rsid w:val="009B1C60"/>
    <w:rsid w:val="009B1FE0"/>
    <w:rsid w:val="009B2D0E"/>
    <w:rsid w:val="009B2D70"/>
    <w:rsid w:val="009B3372"/>
    <w:rsid w:val="009B36CB"/>
    <w:rsid w:val="009B3746"/>
    <w:rsid w:val="009B47E7"/>
    <w:rsid w:val="009B4B73"/>
    <w:rsid w:val="009B4C17"/>
    <w:rsid w:val="009B55E8"/>
    <w:rsid w:val="009B658A"/>
    <w:rsid w:val="009B6821"/>
    <w:rsid w:val="009B7B73"/>
    <w:rsid w:val="009B7F4A"/>
    <w:rsid w:val="009C071D"/>
    <w:rsid w:val="009C0DA3"/>
    <w:rsid w:val="009C0E51"/>
    <w:rsid w:val="009C1BB5"/>
    <w:rsid w:val="009C1C20"/>
    <w:rsid w:val="009C1D34"/>
    <w:rsid w:val="009C207B"/>
    <w:rsid w:val="009C2506"/>
    <w:rsid w:val="009C2EFE"/>
    <w:rsid w:val="009C4F4D"/>
    <w:rsid w:val="009C5014"/>
    <w:rsid w:val="009C5BC9"/>
    <w:rsid w:val="009C6461"/>
    <w:rsid w:val="009D043F"/>
    <w:rsid w:val="009D0CA7"/>
    <w:rsid w:val="009D190C"/>
    <w:rsid w:val="009D268F"/>
    <w:rsid w:val="009D3638"/>
    <w:rsid w:val="009D4357"/>
    <w:rsid w:val="009D45E9"/>
    <w:rsid w:val="009D4663"/>
    <w:rsid w:val="009D4DF3"/>
    <w:rsid w:val="009D57CF"/>
    <w:rsid w:val="009D5F99"/>
    <w:rsid w:val="009D6957"/>
    <w:rsid w:val="009D6CC4"/>
    <w:rsid w:val="009D6F56"/>
    <w:rsid w:val="009E08B3"/>
    <w:rsid w:val="009E0A7D"/>
    <w:rsid w:val="009E0C7C"/>
    <w:rsid w:val="009E1044"/>
    <w:rsid w:val="009E15EA"/>
    <w:rsid w:val="009E178D"/>
    <w:rsid w:val="009E17E6"/>
    <w:rsid w:val="009E18EB"/>
    <w:rsid w:val="009E4756"/>
    <w:rsid w:val="009E5939"/>
    <w:rsid w:val="009E5E7E"/>
    <w:rsid w:val="009E64E5"/>
    <w:rsid w:val="009E67D1"/>
    <w:rsid w:val="009E6BF3"/>
    <w:rsid w:val="009F083A"/>
    <w:rsid w:val="009F1035"/>
    <w:rsid w:val="009F246F"/>
    <w:rsid w:val="009F2818"/>
    <w:rsid w:val="009F3D77"/>
    <w:rsid w:val="009F4DA8"/>
    <w:rsid w:val="009F5E14"/>
    <w:rsid w:val="009F616B"/>
    <w:rsid w:val="009F6F0A"/>
    <w:rsid w:val="009F7659"/>
    <w:rsid w:val="00A02474"/>
    <w:rsid w:val="00A0290C"/>
    <w:rsid w:val="00A04629"/>
    <w:rsid w:val="00A0498B"/>
    <w:rsid w:val="00A04BE7"/>
    <w:rsid w:val="00A04E19"/>
    <w:rsid w:val="00A04E1D"/>
    <w:rsid w:val="00A05D27"/>
    <w:rsid w:val="00A065DB"/>
    <w:rsid w:val="00A06FF2"/>
    <w:rsid w:val="00A07064"/>
    <w:rsid w:val="00A07099"/>
    <w:rsid w:val="00A072BF"/>
    <w:rsid w:val="00A07C79"/>
    <w:rsid w:val="00A100EA"/>
    <w:rsid w:val="00A10C5B"/>
    <w:rsid w:val="00A111F7"/>
    <w:rsid w:val="00A11235"/>
    <w:rsid w:val="00A1135B"/>
    <w:rsid w:val="00A1165B"/>
    <w:rsid w:val="00A11DD4"/>
    <w:rsid w:val="00A12217"/>
    <w:rsid w:val="00A129C3"/>
    <w:rsid w:val="00A136DD"/>
    <w:rsid w:val="00A138B9"/>
    <w:rsid w:val="00A14028"/>
    <w:rsid w:val="00A143DB"/>
    <w:rsid w:val="00A157D4"/>
    <w:rsid w:val="00A15B0D"/>
    <w:rsid w:val="00A16009"/>
    <w:rsid w:val="00A1664A"/>
    <w:rsid w:val="00A16DE9"/>
    <w:rsid w:val="00A1725E"/>
    <w:rsid w:val="00A17353"/>
    <w:rsid w:val="00A17A09"/>
    <w:rsid w:val="00A17B3B"/>
    <w:rsid w:val="00A20090"/>
    <w:rsid w:val="00A2035D"/>
    <w:rsid w:val="00A206DE"/>
    <w:rsid w:val="00A225BB"/>
    <w:rsid w:val="00A22847"/>
    <w:rsid w:val="00A236CB"/>
    <w:rsid w:val="00A23B80"/>
    <w:rsid w:val="00A26771"/>
    <w:rsid w:val="00A26F17"/>
    <w:rsid w:val="00A27B31"/>
    <w:rsid w:val="00A3029F"/>
    <w:rsid w:val="00A30324"/>
    <w:rsid w:val="00A3063B"/>
    <w:rsid w:val="00A30A7C"/>
    <w:rsid w:val="00A30D8E"/>
    <w:rsid w:val="00A30FC8"/>
    <w:rsid w:val="00A31389"/>
    <w:rsid w:val="00A328DB"/>
    <w:rsid w:val="00A33595"/>
    <w:rsid w:val="00A33C76"/>
    <w:rsid w:val="00A33E13"/>
    <w:rsid w:val="00A34345"/>
    <w:rsid w:val="00A3444C"/>
    <w:rsid w:val="00A34930"/>
    <w:rsid w:val="00A34983"/>
    <w:rsid w:val="00A350A3"/>
    <w:rsid w:val="00A360B9"/>
    <w:rsid w:val="00A36E8F"/>
    <w:rsid w:val="00A40163"/>
    <w:rsid w:val="00A409ED"/>
    <w:rsid w:val="00A4102C"/>
    <w:rsid w:val="00A414E4"/>
    <w:rsid w:val="00A41F8E"/>
    <w:rsid w:val="00A425B2"/>
    <w:rsid w:val="00A42D69"/>
    <w:rsid w:val="00A4392A"/>
    <w:rsid w:val="00A45191"/>
    <w:rsid w:val="00A452E2"/>
    <w:rsid w:val="00A45514"/>
    <w:rsid w:val="00A45969"/>
    <w:rsid w:val="00A468EB"/>
    <w:rsid w:val="00A469CA"/>
    <w:rsid w:val="00A47282"/>
    <w:rsid w:val="00A47473"/>
    <w:rsid w:val="00A47EA8"/>
    <w:rsid w:val="00A50286"/>
    <w:rsid w:val="00A50C95"/>
    <w:rsid w:val="00A512D4"/>
    <w:rsid w:val="00A51B62"/>
    <w:rsid w:val="00A53C5E"/>
    <w:rsid w:val="00A53D19"/>
    <w:rsid w:val="00A5438F"/>
    <w:rsid w:val="00A54F50"/>
    <w:rsid w:val="00A54F97"/>
    <w:rsid w:val="00A56559"/>
    <w:rsid w:val="00A56655"/>
    <w:rsid w:val="00A6023D"/>
    <w:rsid w:val="00A61C9E"/>
    <w:rsid w:val="00A61D0D"/>
    <w:rsid w:val="00A61DF5"/>
    <w:rsid w:val="00A62092"/>
    <w:rsid w:val="00A6212F"/>
    <w:rsid w:val="00A62AD4"/>
    <w:rsid w:val="00A6422D"/>
    <w:rsid w:val="00A659E6"/>
    <w:rsid w:val="00A6600F"/>
    <w:rsid w:val="00A6626E"/>
    <w:rsid w:val="00A666AC"/>
    <w:rsid w:val="00A66F49"/>
    <w:rsid w:val="00A671E4"/>
    <w:rsid w:val="00A673A9"/>
    <w:rsid w:val="00A673CC"/>
    <w:rsid w:val="00A67A20"/>
    <w:rsid w:val="00A7003C"/>
    <w:rsid w:val="00A70700"/>
    <w:rsid w:val="00A70DF8"/>
    <w:rsid w:val="00A70FDD"/>
    <w:rsid w:val="00A7165D"/>
    <w:rsid w:val="00A723CE"/>
    <w:rsid w:val="00A72EE5"/>
    <w:rsid w:val="00A73515"/>
    <w:rsid w:val="00A7352F"/>
    <w:rsid w:val="00A7438F"/>
    <w:rsid w:val="00A74709"/>
    <w:rsid w:val="00A7553A"/>
    <w:rsid w:val="00A75737"/>
    <w:rsid w:val="00A75DA2"/>
    <w:rsid w:val="00A763A9"/>
    <w:rsid w:val="00A7662E"/>
    <w:rsid w:val="00A76631"/>
    <w:rsid w:val="00A7693F"/>
    <w:rsid w:val="00A81EB9"/>
    <w:rsid w:val="00A82475"/>
    <w:rsid w:val="00A82CA1"/>
    <w:rsid w:val="00A83693"/>
    <w:rsid w:val="00A8486A"/>
    <w:rsid w:val="00A84D3F"/>
    <w:rsid w:val="00A84FA9"/>
    <w:rsid w:val="00A85BB5"/>
    <w:rsid w:val="00A85FDA"/>
    <w:rsid w:val="00A8652F"/>
    <w:rsid w:val="00A8659A"/>
    <w:rsid w:val="00A867F0"/>
    <w:rsid w:val="00A87ACA"/>
    <w:rsid w:val="00A9000E"/>
    <w:rsid w:val="00A9382F"/>
    <w:rsid w:val="00A938DB"/>
    <w:rsid w:val="00A93C99"/>
    <w:rsid w:val="00A93CA0"/>
    <w:rsid w:val="00A94EE4"/>
    <w:rsid w:val="00A94F08"/>
    <w:rsid w:val="00A94F7B"/>
    <w:rsid w:val="00A95612"/>
    <w:rsid w:val="00A9584D"/>
    <w:rsid w:val="00A96408"/>
    <w:rsid w:val="00A96D18"/>
    <w:rsid w:val="00A975E6"/>
    <w:rsid w:val="00A97BB3"/>
    <w:rsid w:val="00A97FA0"/>
    <w:rsid w:val="00AA0314"/>
    <w:rsid w:val="00AA2207"/>
    <w:rsid w:val="00AA2A85"/>
    <w:rsid w:val="00AA2B5C"/>
    <w:rsid w:val="00AA31DE"/>
    <w:rsid w:val="00AA34B3"/>
    <w:rsid w:val="00AA3799"/>
    <w:rsid w:val="00AA3ADF"/>
    <w:rsid w:val="00AA4023"/>
    <w:rsid w:val="00AA4637"/>
    <w:rsid w:val="00AA5F72"/>
    <w:rsid w:val="00AA6523"/>
    <w:rsid w:val="00AA74CC"/>
    <w:rsid w:val="00AB1486"/>
    <w:rsid w:val="00AB1940"/>
    <w:rsid w:val="00AB1AEA"/>
    <w:rsid w:val="00AB1B14"/>
    <w:rsid w:val="00AB20B4"/>
    <w:rsid w:val="00AB22A3"/>
    <w:rsid w:val="00AB42F1"/>
    <w:rsid w:val="00AB5CED"/>
    <w:rsid w:val="00AB665D"/>
    <w:rsid w:val="00AB6964"/>
    <w:rsid w:val="00AB6AC2"/>
    <w:rsid w:val="00AB784C"/>
    <w:rsid w:val="00AB7D89"/>
    <w:rsid w:val="00AC065C"/>
    <w:rsid w:val="00AC4AC3"/>
    <w:rsid w:val="00AC4BEA"/>
    <w:rsid w:val="00AC5FEC"/>
    <w:rsid w:val="00AC6133"/>
    <w:rsid w:val="00AC70B8"/>
    <w:rsid w:val="00AC7E96"/>
    <w:rsid w:val="00AD08ED"/>
    <w:rsid w:val="00AD1352"/>
    <w:rsid w:val="00AD14FF"/>
    <w:rsid w:val="00AD1507"/>
    <w:rsid w:val="00AD15AC"/>
    <w:rsid w:val="00AD15F1"/>
    <w:rsid w:val="00AD1F6E"/>
    <w:rsid w:val="00AD215E"/>
    <w:rsid w:val="00AD34C0"/>
    <w:rsid w:val="00AD34E0"/>
    <w:rsid w:val="00AD39C9"/>
    <w:rsid w:val="00AD3AF7"/>
    <w:rsid w:val="00AD3E01"/>
    <w:rsid w:val="00AD435B"/>
    <w:rsid w:val="00AD486B"/>
    <w:rsid w:val="00AD549A"/>
    <w:rsid w:val="00AD5DDC"/>
    <w:rsid w:val="00AD5F20"/>
    <w:rsid w:val="00AD6BAE"/>
    <w:rsid w:val="00AD6C98"/>
    <w:rsid w:val="00AD71CB"/>
    <w:rsid w:val="00AD756B"/>
    <w:rsid w:val="00AD7D23"/>
    <w:rsid w:val="00AE010D"/>
    <w:rsid w:val="00AE08F6"/>
    <w:rsid w:val="00AE0A56"/>
    <w:rsid w:val="00AE207D"/>
    <w:rsid w:val="00AE40E2"/>
    <w:rsid w:val="00AE41CA"/>
    <w:rsid w:val="00AE443C"/>
    <w:rsid w:val="00AE472B"/>
    <w:rsid w:val="00AE4B16"/>
    <w:rsid w:val="00AE598C"/>
    <w:rsid w:val="00AE6374"/>
    <w:rsid w:val="00AE63C1"/>
    <w:rsid w:val="00AE66B4"/>
    <w:rsid w:val="00AE67A7"/>
    <w:rsid w:val="00AE6E19"/>
    <w:rsid w:val="00AE709A"/>
    <w:rsid w:val="00AE715C"/>
    <w:rsid w:val="00AF0913"/>
    <w:rsid w:val="00AF096E"/>
    <w:rsid w:val="00AF185F"/>
    <w:rsid w:val="00AF25BC"/>
    <w:rsid w:val="00AF3A9C"/>
    <w:rsid w:val="00AF41A6"/>
    <w:rsid w:val="00AF4529"/>
    <w:rsid w:val="00AF461D"/>
    <w:rsid w:val="00AF4671"/>
    <w:rsid w:val="00AF47DA"/>
    <w:rsid w:val="00AF5AAD"/>
    <w:rsid w:val="00AF5EBD"/>
    <w:rsid w:val="00AF5EF3"/>
    <w:rsid w:val="00AF66A1"/>
    <w:rsid w:val="00AF66A4"/>
    <w:rsid w:val="00AF68FD"/>
    <w:rsid w:val="00AF73C8"/>
    <w:rsid w:val="00AF7BD9"/>
    <w:rsid w:val="00B00212"/>
    <w:rsid w:val="00B002C2"/>
    <w:rsid w:val="00B00489"/>
    <w:rsid w:val="00B00EC2"/>
    <w:rsid w:val="00B00F09"/>
    <w:rsid w:val="00B0195B"/>
    <w:rsid w:val="00B0259F"/>
    <w:rsid w:val="00B02B59"/>
    <w:rsid w:val="00B03B26"/>
    <w:rsid w:val="00B03E0C"/>
    <w:rsid w:val="00B03F23"/>
    <w:rsid w:val="00B04431"/>
    <w:rsid w:val="00B04538"/>
    <w:rsid w:val="00B04BE9"/>
    <w:rsid w:val="00B04C11"/>
    <w:rsid w:val="00B04F24"/>
    <w:rsid w:val="00B05138"/>
    <w:rsid w:val="00B0539D"/>
    <w:rsid w:val="00B0590E"/>
    <w:rsid w:val="00B05F4F"/>
    <w:rsid w:val="00B074A2"/>
    <w:rsid w:val="00B106EC"/>
    <w:rsid w:val="00B10EE3"/>
    <w:rsid w:val="00B10F48"/>
    <w:rsid w:val="00B11625"/>
    <w:rsid w:val="00B11792"/>
    <w:rsid w:val="00B1237A"/>
    <w:rsid w:val="00B12DCB"/>
    <w:rsid w:val="00B134ED"/>
    <w:rsid w:val="00B136E4"/>
    <w:rsid w:val="00B13E6C"/>
    <w:rsid w:val="00B142E9"/>
    <w:rsid w:val="00B145BE"/>
    <w:rsid w:val="00B1587F"/>
    <w:rsid w:val="00B17161"/>
    <w:rsid w:val="00B17926"/>
    <w:rsid w:val="00B17ECC"/>
    <w:rsid w:val="00B20231"/>
    <w:rsid w:val="00B20322"/>
    <w:rsid w:val="00B2057A"/>
    <w:rsid w:val="00B20B53"/>
    <w:rsid w:val="00B20CBF"/>
    <w:rsid w:val="00B2100A"/>
    <w:rsid w:val="00B21C16"/>
    <w:rsid w:val="00B22040"/>
    <w:rsid w:val="00B23128"/>
    <w:rsid w:val="00B234AF"/>
    <w:rsid w:val="00B2549F"/>
    <w:rsid w:val="00B25F92"/>
    <w:rsid w:val="00B27AA6"/>
    <w:rsid w:val="00B27C06"/>
    <w:rsid w:val="00B303D7"/>
    <w:rsid w:val="00B31120"/>
    <w:rsid w:val="00B3192E"/>
    <w:rsid w:val="00B329B4"/>
    <w:rsid w:val="00B32DA0"/>
    <w:rsid w:val="00B32FBE"/>
    <w:rsid w:val="00B3348B"/>
    <w:rsid w:val="00B337E0"/>
    <w:rsid w:val="00B36107"/>
    <w:rsid w:val="00B36657"/>
    <w:rsid w:val="00B36856"/>
    <w:rsid w:val="00B36DDF"/>
    <w:rsid w:val="00B378E9"/>
    <w:rsid w:val="00B37DB7"/>
    <w:rsid w:val="00B406B9"/>
    <w:rsid w:val="00B40DC0"/>
    <w:rsid w:val="00B415DD"/>
    <w:rsid w:val="00B419E0"/>
    <w:rsid w:val="00B41F2E"/>
    <w:rsid w:val="00B436D0"/>
    <w:rsid w:val="00B4374E"/>
    <w:rsid w:val="00B43895"/>
    <w:rsid w:val="00B43E04"/>
    <w:rsid w:val="00B449FD"/>
    <w:rsid w:val="00B45B53"/>
    <w:rsid w:val="00B45EAF"/>
    <w:rsid w:val="00B45EB6"/>
    <w:rsid w:val="00B466C5"/>
    <w:rsid w:val="00B46867"/>
    <w:rsid w:val="00B46DED"/>
    <w:rsid w:val="00B47674"/>
    <w:rsid w:val="00B478A4"/>
    <w:rsid w:val="00B509D6"/>
    <w:rsid w:val="00B50F51"/>
    <w:rsid w:val="00B5181D"/>
    <w:rsid w:val="00B5183B"/>
    <w:rsid w:val="00B51ACC"/>
    <w:rsid w:val="00B51EFB"/>
    <w:rsid w:val="00B521F9"/>
    <w:rsid w:val="00B52C29"/>
    <w:rsid w:val="00B5301D"/>
    <w:rsid w:val="00B5339E"/>
    <w:rsid w:val="00B54C1D"/>
    <w:rsid w:val="00B54F57"/>
    <w:rsid w:val="00B5642B"/>
    <w:rsid w:val="00B6009F"/>
    <w:rsid w:val="00B602D0"/>
    <w:rsid w:val="00B61217"/>
    <w:rsid w:val="00B624C6"/>
    <w:rsid w:val="00B63373"/>
    <w:rsid w:val="00B63466"/>
    <w:rsid w:val="00B64A16"/>
    <w:rsid w:val="00B64C51"/>
    <w:rsid w:val="00B65C31"/>
    <w:rsid w:val="00B669F3"/>
    <w:rsid w:val="00B66AD5"/>
    <w:rsid w:val="00B66BBB"/>
    <w:rsid w:val="00B718F5"/>
    <w:rsid w:val="00B72136"/>
    <w:rsid w:val="00B72871"/>
    <w:rsid w:val="00B73188"/>
    <w:rsid w:val="00B7344E"/>
    <w:rsid w:val="00B73E5E"/>
    <w:rsid w:val="00B74343"/>
    <w:rsid w:val="00B748A8"/>
    <w:rsid w:val="00B748CB"/>
    <w:rsid w:val="00B75B04"/>
    <w:rsid w:val="00B75C15"/>
    <w:rsid w:val="00B7688C"/>
    <w:rsid w:val="00B77978"/>
    <w:rsid w:val="00B77B15"/>
    <w:rsid w:val="00B77DF4"/>
    <w:rsid w:val="00B804D4"/>
    <w:rsid w:val="00B815C2"/>
    <w:rsid w:val="00B81764"/>
    <w:rsid w:val="00B828B0"/>
    <w:rsid w:val="00B82C8B"/>
    <w:rsid w:val="00B8328B"/>
    <w:rsid w:val="00B84149"/>
    <w:rsid w:val="00B84425"/>
    <w:rsid w:val="00B84539"/>
    <w:rsid w:val="00B84660"/>
    <w:rsid w:val="00B8479A"/>
    <w:rsid w:val="00B85117"/>
    <w:rsid w:val="00B8620B"/>
    <w:rsid w:val="00B86245"/>
    <w:rsid w:val="00B86627"/>
    <w:rsid w:val="00B90419"/>
    <w:rsid w:val="00B90597"/>
    <w:rsid w:val="00B915DC"/>
    <w:rsid w:val="00B91B82"/>
    <w:rsid w:val="00B9246E"/>
    <w:rsid w:val="00B932EE"/>
    <w:rsid w:val="00B9356C"/>
    <w:rsid w:val="00B938C5"/>
    <w:rsid w:val="00B94373"/>
    <w:rsid w:val="00B951CC"/>
    <w:rsid w:val="00B955ED"/>
    <w:rsid w:val="00B95610"/>
    <w:rsid w:val="00B95AD2"/>
    <w:rsid w:val="00B96501"/>
    <w:rsid w:val="00B97234"/>
    <w:rsid w:val="00B97345"/>
    <w:rsid w:val="00B97D82"/>
    <w:rsid w:val="00BA02AE"/>
    <w:rsid w:val="00BA0EE2"/>
    <w:rsid w:val="00BA1C6D"/>
    <w:rsid w:val="00BA1D46"/>
    <w:rsid w:val="00BA1D74"/>
    <w:rsid w:val="00BA1ED5"/>
    <w:rsid w:val="00BA30F0"/>
    <w:rsid w:val="00BA324D"/>
    <w:rsid w:val="00BA36A2"/>
    <w:rsid w:val="00BA3AB6"/>
    <w:rsid w:val="00BA412E"/>
    <w:rsid w:val="00BA4878"/>
    <w:rsid w:val="00BA4CA7"/>
    <w:rsid w:val="00BA4E29"/>
    <w:rsid w:val="00BA5A7D"/>
    <w:rsid w:val="00BA5FC8"/>
    <w:rsid w:val="00BA681C"/>
    <w:rsid w:val="00BA6E47"/>
    <w:rsid w:val="00BA7138"/>
    <w:rsid w:val="00BB00A6"/>
    <w:rsid w:val="00BB07E6"/>
    <w:rsid w:val="00BB122A"/>
    <w:rsid w:val="00BB1E31"/>
    <w:rsid w:val="00BB21F9"/>
    <w:rsid w:val="00BB22AD"/>
    <w:rsid w:val="00BB2338"/>
    <w:rsid w:val="00BB2ED1"/>
    <w:rsid w:val="00BB4118"/>
    <w:rsid w:val="00BB4780"/>
    <w:rsid w:val="00BB599B"/>
    <w:rsid w:val="00BB74FB"/>
    <w:rsid w:val="00BB7AF9"/>
    <w:rsid w:val="00BC01B7"/>
    <w:rsid w:val="00BC057D"/>
    <w:rsid w:val="00BC1FC1"/>
    <w:rsid w:val="00BC229A"/>
    <w:rsid w:val="00BC32DE"/>
    <w:rsid w:val="00BC35CB"/>
    <w:rsid w:val="00BC3622"/>
    <w:rsid w:val="00BC390A"/>
    <w:rsid w:val="00BC3FB9"/>
    <w:rsid w:val="00BC446D"/>
    <w:rsid w:val="00BC47E8"/>
    <w:rsid w:val="00BC4D64"/>
    <w:rsid w:val="00BC52D7"/>
    <w:rsid w:val="00BC643E"/>
    <w:rsid w:val="00BC6D39"/>
    <w:rsid w:val="00BC7003"/>
    <w:rsid w:val="00BC768F"/>
    <w:rsid w:val="00BC7844"/>
    <w:rsid w:val="00BD0F6D"/>
    <w:rsid w:val="00BD12C7"/>
    <w:rsid w:val="00BD2C6F"/>
    <w:rsid w:val="00BD34DD"/>
    <w:rsid w:val="00BD38C2"/>
    <w:rsid w:val="00BD4048"/>
    <w:rsid w:val="00BD44CF"/>
    <w:rsid w:val="00BD4727"/>
    <w:rsid w:val="00BD4EE8"/>
    <w:rsid w:val="00BD50B2"/>
    <w:rsid w:val="00BD510E"/>
    <w:rsid w:val="00BD60C5"/>
    <w:rsid w:val="00BE02F7"/>
    <w:rsid w:val="00BE0DC7"/>
    <w:rsid w:val="00BE157E"/>
    <w:rsid w:val="00BE19DE"/>
    <w:rsid w:val="00BE1FDF"/>
    <w:rsid w:val="00BE26B7"/>
    <w:rsid w:val="00BE28FA"/>
    <w:rsid w:val="00BE2C30"/>
    <w:rsid w:val="00BE2E9E"/>
    <w:rsid w:val="00BE3187"/>
    <w:rsid w:val="00BE3B0F"/>
    <w:rsid w:val="00BE44BE"/>
    <w:rsid w:val="00BE48B8"/>
    <w:rsid w:val="00BE4D7F"/>
    <w:rsid w:val="00BE5FBB"/>
    <w:rsid w:val="00BE7125"/>
    <w:rsid w:val="00BE7D4E"/>
    <w:rsid w:val="00BF0570"/>
    <w:rsid w:val="00BF0853"/>
    <w:rsid w:val="00BF08CA"/>
    <w:rsid w:val="00BF09DB"/>
    <w:rsid w:val="00BF0D9C"/>
    <w:rsid w:val="00BF13ED"/>
    <w:rsid w:val="00BF19B5"/>
    <w:rsid w:val="00BF1C57"/>
    <w:rsid w:val="00BF2C12"/>
    <w:rsid w:val="00BF2E54"/>
    <w:rsid w:val="00BF4B73"/>
    <w:rsid w:val="00BF4C6B"/>
    <w:rsid w:val="00BF524A"/>
    <w:rsid w:val="00BF56B0"/>
    <w:rsid w:val="00BF5A2C"/>
    <w:rsid w:val="00BF5C66"/>
    <w:rsid w:val="00BF5E79"/>
    <w:rsid w:val="00BF63C1"/>
    <w:rsid w:val="00BF669E"/>
    <w:rsid w:val="00BF693B"/>
    <w:rsid w:val="00BF6F5B"/>
    <w:rsid w:val="00C00C9B"/>
    <w:rsid w:val="00C01E78"/>
    <w:rsid w:val="00C023DF"/>
    <w:rsid w:val="00C034F6"/>
    <w:rsid w:val="00C04092"/>
    <w:rsid w:val="00C04476"/>
    <w:rsid w:val="00C04672"/>
    <w:rsid w:val="00C0486F"/>
    <w:rsid w:val="00C04E73"/>
    <w:rsid w:val="00C058AB"/>
    <w:rsid w:val="00C05B7A"/>
    <w:rsid w:val="00C0774F"/>
    <w:rsid w:val="00C109CA"/>
    <w:rsid w:val="00C11E8C"/>
    <w:rsid w:val="00C12A21"/>
    <w:rsid w:val="00C130D4"/>
    <w:rsid w:val="00C13218"/>
    <w:rsid w:val="00C14171"/>
    <w:rsid w:val="00C141B2"/>
    <w:rsid w:val="00C141BC"/>
    <w:rsid w:val="00C14B7D"/>
    <w:rsid w:val="00C1582B"/>
    <w:rsid w:val="00C15F82"/>
    <w:rsid w:val="00C16364"/>
    <w:rsid w:val="00C166AB"/>
    <w:rsid w:val="00C1687C"/>
    <w:rsid w:val="00C176BE"/>
    <w:rsid w:val="00C17FED"/>
    <w:rsid w:val="00C20CAC"/>
    <w:rsid w:val="00C21219"/>
    <w:rsid w:val="00C212AB"/>
    <w:rsid w:val="00C22838"/>
    <w:rsid w:val="00C22C57"/>
    <w:rsid w:val="00C2358D"/>
    <w:rsid w:val="00C2471B"/>
    <w:rsid w:val="00C25032"/>
    <w:rsid w:val="00C25B6C"/>
    <w:rsid w:val="00C2634F"/>
    <w:rsid w:val="00C26EA9"/>
    <w:rsid w:val="00C278A3"/>
    <w:rsid w:val="00C31461"/>
    <w:rsid w:val="00C3170B"/>
    <w:rsid w:val="00C31863"/>
    <w:rsid w:val="00C31F45"/>
    <w:rsid w:val="00C32554"/>
    <w:rsid w:val="00C32ABD"/>
    <w:rsid w:val="00C33187"/>
    <w:rsid w:val="00C33CE3"/>
    <w:rsid w:val="00C35492"/>
    <w:rsid w:val="00C35756"/>
    <w:rsid w:val="00C36DF6"/>
    <w:rsid w:val="00C36E04"/>
    <w:rsid w:val="00C377A8"/>
    <w:rsid w:val="00C37824"/>
    <w:rsid w:val="00C378BA"/>
    <w:rsid w:val="00C37A8E"/>
    <w:rsid w:val="00C40A0F"/>
    <w:rsid w:val="00C41F41"/>
    <w:rsid w:val="00C421CA"/>
    <w:rsid w:val="00C4255D"/>
    <w:rsid w:val="00C428AA"/>
    <w:rsid w:val="00C43010"/>
    <w:rsid w:val="00C43BD0"/>
    <w:rsid w:val="00C43CB4"/>
    <w:rsid w:val="00C44E40"/>
    <w:rsid w:val="00C45204"/>
    <w:rsid w:val="00C45962"/>
    <w:rsid w:val="00C45F9B"/>
    <w:rsid w:val="00C46393"/>
    <w:rsid w:val="00C4650A"/>
    <w:rsid w:val="00C473FA"/>
    <w:rsid w:val="00C476D6"/>
    <w:rsid w:val="00C478B9"/>
    <w:rsid w:val="00C47AEF"/>
    <w:rsid w:val="00C47DB1"/>
    <w:rsid w:val="00C5031C"/>
    <w:rsid w:val="00C5091E"/>
    <w:rsid w:val="00C5112D"/>
    <w:rsid w:val="00C51758"/>
    <w:rsid w:val="00C51A4C"/>
    <w:rsid w:val="00C52A10"/>
    <w:rsid w:val="00C52C70"/>
    <w:rsid w:val="00C538D6"/>
    <w:rsid w:val="00C54375"/>
    <w:rsid w:val="00C545BD"/>
    <w:rsid w:val="00C57738"/>
    <w:rsid w:val="00C60894"/>
    <w:rsid w:val="00C60EEF"/>
    <w:rsid w:val="00C61909"/>
    <w:rsid w:val="00C62B1F"/>
    <w:rsid w:val="00C63354"/>
    <w:rsid w:val="00C634CE"/>
    <w:rsid w:val="00C63A3A"/>
    <w:rsid w:val="00C640A4"/>
    <w:rsid w:val="00C640EB"/>
    <w:rsid w:val="00C64AC4"/>
    <w:rsid w:val="00C65029"/>
    <w:rsid w:val="00C650C1"/>
    <w:rsid w:val="00C65D0E"/>
    <w:rsid w:val="00C6638D"/>
    <w:rsid w:val="00C66711"/>
    <w:rsid w:val="00C67BC1"/>
    <w:rsid w:val="00C701F1"/>
    <w:rsid w:val="00C70380"/>
    <w:rsid w:val="00C72D1C"/>
    <w:rsid w:val="00C7442B"/>
    <w:rsid w:val="00C7545B"/>
    <w:rsid w:val="00C754C2"/>
    <w:rsid w:val="00C75B20"/>
    <w:rsid w:val="00C75EA4"/>
    <w:rsid w:val="00C7631B"/>
    <w:rsid w:val="00C7710B"/>
    <w:rsid w:val="00C77135"/>
    <w:rsid w:val="00C77187"/>
    <w:rsid w:val="00C7764B"/>
    <w:rsid w:val="00C805DD"/>
    <w:rsid w:val="00C80E83"/>
    <w:rsid w:val="00C81644"/>
    <w:rsid w:val="00C81E23"/>
    <w:rsid w:val="00C81F88"/>
    <w:rsid w:val="00C825A3"/>
    <w:rsid w:val="00C82EBD"/>
    <w:rsid w:val="00C830EF"/>
    <w:rsid w:val="00C8344D"/>
    <w:rsid w:val="00C84597"/>
    <w:rsid w:val="00C851E6"/>
    <w:rsid w:val="00C853D7"/>
    <w:rsid w:val="00C85903"/>
    <w:rsid w:val="00C867FD"/>
    <w:rsid w:val="00C87A34"/>
    <w:rsid w:val="00C91243"/>
    <w:rsid w:val="00C91B95"/>
    <w:rsid w:val="00C91E7F"/>
    <w:rsid w:val="00C920CE"/>
    <w:rsid w:val="00C92445"/>
    <w:rsid w:val="00C9446C"/>
    <w:rsid w:val="00C947E1"/>
    <w:rsid w:val="00C949CD"/>
    <w:rsid w:val="00C9529A"/>
    <w:rsid w:val="00C95394"/>
    <w:rsid w:val="00C95B0C"/>
    <w:rsid w:val="00C97BAC"/>
    <w:rsid w:val="00CA04EC"/>
    <w:rsid w:val="00CA0CBB"/>
    <w:rsid w:val="00CA183F"/>
    <w:rsid w:val="00CA24A3"/>
    <w:rsid w:val="00CA284E"/>
    <w:rsid w:val="00CA2F20"/>
    <w:rsid w:val="00CA385F"/>
    <w:rsid w:val="00CA3FB7"/>
    <w:rsid w:val="00CA416E"/>
    <w:rsid w:val="00CA4337"/>
    <w:rsid w:val="00CA4E13"/>
    <w:rsid w:val="00CA4FA3"/>
    <w:rsid w:val="00CA5245"/>
    <w:rsid w:val="00CA66D7"/>
    <w:rsid w:val="00CA6C61"/>
    <w:rsid w:val="00CA6E85"/>
    <w:rsid w:val="00CA72FF"/>
    <w:rsid w:val="00CA735A"/>
    <w:rsid w:val="00CA74E4"/>
    <w:rsid w:val="00CA7550"/>
    <w:rsid w:val="00CA79C5"/>
    <w:rsid w:val="00CA7C99"/>
    <w:rsid w:val="00CB1200"/>
    <w:rsid w:val="00CB1379"/>
    <w:rsid w:val="00CB184F"/>
    <w:rsid w:val="00CB192B"/>
    <w:rsid w:val="00CB1DB9"/>
    <w:rsid w:val="00CB286F"/>
    <w:rsid w:val="00CB2AD2"/>
    <w:rsid w:val="00CB3341"/>
    <w:rsid w:val="00CB39F8"/>
    <w:rsid w:val="00CB403F"/>
    <w:rsid w:val="00CB4103"/>
    <w:rsid w:val="00CB4B85"/>
    <w:rsid w:val="00CB4C1D"/>
    <w:rsid w:val="00CB56B8"/>
    <w:rsid w:val="00CB5C26"/>
    <w:rsid w:val="00CB5F13"/>
    <w:rsid w:val="00CB7200"/>
    <w:rsid w:val="00CB750A"/>
    <w:rsid w:val="00CB76D6"/>
    <w:rsid w:val="00CC02AD"/>
    <w:rsid w:val="00CC0616"/>
    <w:rsid w:val="00CC087E"/>
    <w:rsid w:val="00CC0CBB"/>
    <w:rsid w:val="00CC18D3"/>
    <w:rsid w:val="00CC2AF9"/>
    <w:rsid w:val="00CC3203"/>
    <w:rsid w:val="00CC35EB"/>
    <w:rsid w:val="00CC383A"/>
    <w:rsid w:val="00CC3929"/>
    <w:rsid w:val="00CC6F6C"/>
    <w:rsid w:val="00CC70F1"/>
    <w:rsid w:val="00CC7C76"/>
    <w:rsid w:val="00CD1529"/>
    <w:rsid w:val="00CD1E5C"/>
    <w:rsid w:val="00CD2BD2"/>
    <w:rsid w:val="00CD2CF2"/>
    <w:rsid w:val="00CD3C1B"/>
    <w:rsid w:val="00CD4323"/>
    <w:rsid w:val="00CD516E"/>
    <w:rsid w:val="00CD5B0F"/>
    <w:rsid w:val="00CD66CC"/>
    <w:rsid w:val="00CD6D4D"/>
    <w:rsid w:val="00CD74D0"/>
    <w:rsid w:val="00CD784E"/>
    <w:rsid w:val="00CD7868"/>
    <w:rsid w:val="00CE0772"/>
    <w:rsid w:val="00CE07FE"/>
    <w:rsid w:val="00CE0B8B"/>
    <w:rsid w:val="00CE105B"/>
    <w:rsid w:val="00CE18C1"/>
    <w:rsid w:val="00CE193C"/>
    <w:rsid w:val="00CE23AE"/>
    <w:rsid w:val="00CE2AB1"/>
    <w:rsid w:val="00CE34F6"/>
    <w:rsid w:val="00CE35DD"/>
    <w:rsid w:val="00CE3923"/>
    <w:rsid w:val="00CE3F98"/>
    <w:rsid w:val="00CE4DAB"/>
    <w:rsid w:val="00CE5269"/>
    <w:rsid w:val="00CE6759"/>
    <w:rsid w:val="00CE7688"/>
    <w:rsid w:val="00CE778D"/>
    <w:rsid w:val="00CE7886"/>
    <w:rsid w:val="00CE78F1"/>
    <w:rsid w:val="00CE7CCB"/>
    <w:rsid w:val="00CE7E39"/>
    <w:rsid w:val="00CE7EB8"/>
    <w:rsid w:val="00CF18A5"/>
    <w:rsid w:val="00CF2143"/>
    <w:rsid w:val="00CF23A3"/>
    <w:rsid w:val="00CF2852"/>
    <w:rsid w:val="00CF28D8"/>
    <w:rsid w:val="00CF31A1"/>
    <w:rsid w:val="00CF36FA"/>
    <w:rsid w:val="00CF3CB0"/>
    <w:rsid w:val="00CF3FD5"/>
    <w:rsid w:val="00CF447E"/>
    <w:rsid w:val="00CF45E6"/>
    <w:rsid w:val="00CF57D8"/>
    <w:rsid w:val="00CF6375"/>
    <w:rsid w:val="00CF6406"/>
    <w:rsid w:val="00CF6569"/>
    <w:rsid w:val="00CF7382"/>
    <w:rsid w:val="00D016DC"/>
    <w:rsid w:val="00D01E7C"/>
    <w:rsid w:val="00D027C7"/>
    <w:rsid w:val="00D02DC6"/>
    <w:rsid w:val="00D03007"/>
    <w:rsid w:val="00D037AD"/>
    <w:rsid w:val="00D0518B"/>
    <w:rsid w:val="00D057C9"/>
    <w:rsid w:val="00D058E8"/>
    <w:rsid w:val="00D05952"/>
    <w:rsid w:val="00D068D8"/>
    <w:rsid w:val="00D072E6"/>
    <w:rsid w:val="00D07D40"/>
    <w:rsid w:val="00D104E2"/>
    <w:rsid w:val="00D11506"/>
    <w:rsid w:val="00D127D7"/>
    <w:rsid w:val="00D12F94"/>
    <w:rsid w:val="00D13239"/>
    <w:rsid w:val="00D146FC"/>
    <w:rsid w:val="00D153FA"/>
    <w:rsid w:val="00D1576A"/>
    <w:rsid w:val="00D15922"/>
    <w:rsid w:val="00D15FD1"/>
    <w:rsid w:val="00D16D7D"/>
    <w:rsid w:val="00D177EE"/>
    <w:rsid w:val="00D20271"/>
    <w:rsid w:val="00D211A9"/>
    <w:rsid w:val="00D2186E"/>
    <w:rsid w:val="00D21BEA"/>
    <w:rsid w:val="00D22231"/>
    <w:rsid w:val="00D22397"/>
    <w:rsid w:val="00D22489"/>
    <w:rsid w:val="00D234B9"/>
    <w:rsid w:val="00D24701"/>
    <w:rsid w:val="00D24F15"/>
    <w:rsid w:val="00D25AA7"/>
    <w:rsid w:val="00D2664C"/>
    <w:rsid w:val="00D26866"/>
    <w:rsid w:val="00D26EEA"/>
    <w:rsid w:val="00D26FDA"/>
    <w:rsid w:val="00D272B8"/>
    <w:rsid w:val="00D27351"/>
    <w:rsid w:val="00D273D7"/>
    <w:rsid w:val="00D2759C"/>
    <w:rsid w:val="00D2781C"/>
    <w:rsid w:val="00D308AC"/>
    <w:rsid w:val="00D312CC"/>
    <w:rsid w:val="00D32FE8"/>
    <w:rsid w:val="00D3337A"/>
    <w:rsid w:val="00D338C0"/>
    <w:rsid w:val="00D34BD2"/>
    <w:rsid w:val="00D34E1D"/>
    <w:rsid w:val="00D355D9"/>
    <w:rsid w:val="00D35EAB"/>
    <w:rsid w:val="00D3770C"/>
    <w:rsid w:val="00D377EB"/>
    <w:rsid w:val="00D37C85"/>
    <w:rsid w:val="00D37F47"/>
    <w:rsid w:val="00D402ED"/>
    <w:rsid w:val="00D40A2F"/>
    <w:rsid w:val="00D4118B"/>
    <w:rsid w:val="00D416E3"/>
    <w:rsid w:val="00D418BE"/>
    <w:rsid w:val="00D419DB"/>
    <w:rsid w:val="00D4279C"/>
    <w:rsid w:val="00D433E2"/>
    <w:rsid w:val="00D436B5"/>
    <w:rsid w:val="00D44AA4"/>
    <w:rsid w:val="00D454FE"/>
    <w:rsid w:val="00D45653"/>
    <w:rsid w:val="00D464D9"/>
    <w:rsid w:val="00D47046"/>
    <w:rsid w:val="00D47BA0"/>
    <w:rsid w:val="00D5047F"/>
    <w:rsid w:val="00D50810"/>
    <w:rsid w:val="00D50B4E"/>
    <w:rsid w:val="00D514D6"/>
    <w:rsid w:val="00D51BEB"/>
    <w:rsid w:val="00D52144"/>
    <w:rsid w:val="00D525C0"/>
    <w:rsid w:val="00D52894"/>
    <w:rsid w:val="00D52CAD"/>
    <w:rsid w:val="00D53198"/>
    <w:rsid w:val="00D550F1"/>
    <w:rsid w:val="00D5517B"/>
    <w:rsid w:val="00D56347"/>
    <w:rsid w:val="00D568F8"/>
    <w:rsid w:val="00D56FED"/>
    <w:rsid w:val="00D57A07"/>
    <w:rsid w:val="00D57EDF"/>
    <w:rsid w:val="00D60697"/>
    <w:rsid w:val="00D611BC"/>
    <w:rsid w:val="00D61D64"/>
    <w:rsid w:val="00D61E9A"/>
    <w:rsid w:val="00D61F5D"/>
    <w:rsid w:val="00D62869"/>
    <w:rsid w:val="00D628D2"/>
    <w:rsid w:val="00D62A67"/>
    <w:rsid w:val="00D631C6"/>
    <w:rsid w:val="00D63EEA"/>
    <w:rsid w:val="00D6444C"/>
    <w:rsid w:val="00D647A6"/>
    <w:rsid w:val="00D654EE"/>
    <w:rsid w:val="00D65F64"/>
    <w:rsid w:val="00D66FAF"/>
    <w:rsid w:val="00D6710B"/>
    <w:rsid w:val="00D6788D"/>
    <w:rsid w:val="00D6796C"/>
    <w:rsid w:val="00D67C73"/>
    <w:rsid w:val="00D70240"/>
    <w:rsid w:val="00D7064D"/>
    <w:rsid w:val="00D70EB3"/>
    <w:rsid w:val="00D71099"/>
    <w:rsid w:val="00D7124B"/>
    <w:rsid w:val="00D71A95"/>
    <w:rsid w:val="00D7242E"/>
    <w:rsid w:val="00D72B99"/>
    <w:rsid w:val="00D7310A"/>
    <w:rsid w:val="00D7339F"/>
    <w:rsid w:val="00D7345E"/>
    <w:rsid w:val="00D736A7"/>
    <w:rsid w:val="00D73E9C"/>
    <w:rsid w:val="00D74004"/>
    <w:rsid w:val="00D74074"/>
    <w:rsid w:val="00D75E37"/>
    <w:rsid w:val="00D7603C"/>
    <w:rsid w:val="00D76379"/>
    <w:rsid w:val="00D76790"/>
    <w:rsid w:val="00D767C8"/>
    <w:rsid w:val="00D7731E"/>
    <w:rsid w:val="00D779CB"/>
    <w:rsid w:val="00D77DC0"/>
    <w:rsid w:val="00D8052B"/>
    <w:rsid w:val="00D806E2"/>
    <w:rsid w:val="00D80C00"/>
    <w:rsid w:val="00D80F82"/>
    <w:rsid w:val="00D81110"/>
    <w:rsid w:val="00D8151D"/>
    <w:rsid w:val="00D81BB9"/>
    <w:rsid w:val="00D82381"/>
    <w:rsid w:val="00D83481"/>
    <w:rsid w:val="00D83A68"/>
    <w:rsid w:val="00D845E2"/>
    <w:rsid w:val="00D84801"/>
    <w:rsid w:val="00D84CF7"/>
    <w:rsid w:val="00D85551"/>
    <w:rsid w:val="00D8600B"/>
    <w:rsid w:val="00D86139"/>
    <w:rsid w:val="00D8687C"/>
    <w:rsid w:val="00D86E0F"/>
    <w:rsid w:val="00D87372"/>
    <w:rsid w:val="00D938AD"/>
    <w:rsid w:val="00D9399E"/>
    <w:rsid w:val="00D944FA"/>
    <w:rsid w:val="00D94842"/>
    <w:rsid w:val="00D95422"/>
    <w:rsid w:val="00D95708"/>
    <w:rsid w:val="00D960DE"/>
    <w:rsid w:val="00D976B2"/>
    <w:rsid w:val="00DA19AE"/>
    <w:rsid w:val="00DA19C3"/>
    <w:rsid w:val="00DA30A2"/>
    <w:rsid w:val="00DA34C5"/>
    <w:rsid w:val="00DA3DC8"/>
    <w:rsid w:val="00DA44EB"/>
    <w:rsid w:val="00DA45E0"/>
    <w:rsid w:val="00DA48C5"/>
    <w:rsid w:val="00DA4B13"/>
    <w:rsid w:val="00DA4E28"/>
    <w:rsid w:val="00DA4EE8"/>
    <w:rsid w:val="00DA548D"/>
    <w:rsid w:val="00DA54A4"/>
    <w:rsid w:val="00DA594C"/>
    <w:rsid w:val="00DA62B4"/>
    <w:rsid w:val="00DA63A2"/>
    <w:rsid w:val="00DA6E83"/>
    <w:rsid w:val="00DA71FD"/>
    <w:rsid w:val="00DA7200"/>
    <w:rsid w:val="00DA7851"/>
    <w:rsid w:val="00DB02EB"/>
    <w:rsid w:val="00DB07F7"/>
    <w:rsid w:val="00DB09A1"/>
    <w:rsid w:val="00DB0E66"/>
    <w:rsid w:val="00DB1082"/>
    <w:rsid w:val="00DB122F"/>
    <w:rsid w:val="00DB1343"/>
    <w:rsid w:val="00DB1CD9"/>
    <w:rsid w:val="00DB3312"/>
    <w:rsid w:val="00DB33BC"/>
    <w:rsid w:val="00DB386F"/>
    <w:rsid w:val="00DB3928"/>
    <w:rsid w:val="00DB3CEA"/>
    <w:rsid w:val="00DB5688"/>
    <w:rsid w:val="00DB5A98"/>
    <w:rsid w:val="00DB5F0E"/>
    <w:rsid w:val="00DB6077"/>
    <w:rsid w:val="00DB6401"/>
    <w:rsid w:val="00DB7E38"/>
    <w:rsid w:val="00DC01E2"/>
    <w:rsid w:val="00DC0205"/>
    <w:rsid w:val="00DC0283"/>
    <w:rsid w:val="00DC07EE"/>
    <w:rsid w:val="00DC0880"/>
    <w:rsid w:val="00DC11E1"/>
    <w:rsid w:val="00DC131D"/>
    <w:rsid w:val="00DC1D27"/>
    <w:rsid w:val="00DC2E59"/>
    <w:rsid w:val="00DC3AEB"/>
    <w:rsid w:val="00DC3E61"/>
    <w:rsid w:val="00DC4724"/>
    <w:rsid w:val="00DC49EE"/>
    <w:rsid w:val="00DC4BB7"/>
    <w:rsid w:val="00DC6E72"/>
    <w:rsid w:val="00DC7DDE"/>
    <w:rsid w:val="00DD06EC"/>
    <w:rsid w:val="00DD0845"/>
    <w:rsid w:val="00DD1336"/>
    <w:rsid w:val="00DD1A53"/>
    <w:rsid w:val="00DD2330"/>
    <w:rsid w:val="00DD303A"/>
    <w:rsid w:val="00DD3989"/>
    <w:rsid w:val="00DD4056"/>
    <w:rsid w:val="00DD40A7"/>
    <w:rsid w:val="00DD4AD2"/>
    <w:rsid w:val="00DD4C92"/>
    <w:rsid w:val="00DD4DE9"/>
    <w:rsid w:val="00DD5118"/>
    <w:rsid w:val="00DD54DD"/>
    <w:rsid w:val="00DD562B"/>
    <w:rsid w:val="00DD6BCE"/>
    <w:rsid w:val="00DD6CD1"/>
    <w:rsid w:val="00DD73A4"/>
    <w:rsid w:val="00DD74CE"/>
    <w:rsid w:val="00DE0E26"/>
    <w:rsid w:val="00DE2C84"/>
    <w:rsid w:val="00DE2E0D"/>
    <w:rsid w:val="00DE390B"/>
    <w:rsid w:val="00DE3AD9"/>
    <w:rsid w:val="00DE48CE"/>
    <w:rsid w:val="00DE4FC0"/>
    <w:rsid w:val="00DE5DE3"/>
    <w:rsid w:val="00DE62CD"/>
    <w:rsid w:val="00DE660B"/>
    <w:rsid w:val="00DE72E2"/>
    <w:rsid w:val="00DF0BC5"/>
    <w:rsid w:val="00DF0C12"/>
    <w:rsid w:val="00DF116D"/>
    <w:rsid w:val="00DF1A2C"/>
    <w:rsid w:val="00DF1B19"/>
    <w:rsid w:val="00DF1CBF"/>
    <w:rsid w:val="00DF2283"/>
    <w:rsid w:val="00DF2284"/>
    <w:rsid w:val="00DF2479"/>
    <w:rsid w:val="00DF28D0"/>
    <w:rsid w:val="00DF2DAD"/>
    <w:rsid w:val="00DF359F"/>
    <w:rsid w:val="00DF37F4"/>
    <w:rsid w:val="00DF3AAD"/>
    <w:rsid w:val="00DF4565"/>
    <w:rsid w:val="00DF4A17"/>
    <w:rsid w:val="00DF4BB0"/>
    <w:rsid w:val="00DF50FD"/>
    <w:rsid w:val="00DF52A0"/>
    <w:rsid w:val="00DF56C4"/>
    <w:rsid w:val="00DF58E7"/>
    <w:rsid w:val="00DF5D64"/>
    <w:rsid w:val="00DF6FF2"/>
    <w:rsid w:val="00DF7C4A"/>
    <w:rsid w:val="00E01A2A"/>
    <w:rsid w:val="00E01B19"/>
    <w:rsid w:val="00E0231A"/>
    <w:rsid w:val="00E02C8C"/>
    <w:rsid w:val="00E02CB9"/>
    <w:rsid w:val="00E030A9"/>
    <w:rsid w:val="00E04AF6"/>
    <w:rsid w:val="00E0527E"/>
    <w:rsid w:val="00E0574A"/>
    <w:rsid w:val="00E05DA2"/>
    <w:rsid w:val="00E0712D"/>
    <w:rsid w:val="00E07FBC"/>
    <w:rsid w:val="00E10677"/>
    <w:rsid w:val="00E108CF"/>
    <w:rsid w:val="00E12E5E"/>
    <w:rsid w:val="00E1301F"/>
    <w:rsid w:val="00E13210"/>
    <w:rsid w:val="00E13330"/>
    <w:rsid w:val="00E147BF"/>
    <w:rsid w:val="00E14D50"/>
    <w:rsid w:val="00E155E3"/>
    <w:rsid w:val="00E16AB8"/>
    <w:rsid w:val="00E16BD2"/>
    <w:rsid w:val="00E16C34"/>
    <w:rsid w:val="00E16C7B"/>
    <w:rsid w:val="00E16DC2"/>
    <w:rsid w:val="00E1753C"/>
    <w:rsid w:val="00E17572"/>
    <w:rsid w:val="00E17837"/>
    <w:rsid w:val="00E20CA5"/>
    <w:rsid w:val="00E22868"/>
    <w:rsid w:val="00E22AA2"/>
    <w:rsid w:val="00E23020"/>
    <w:rsid w:val="00E233A5"/>
    <w:rsid w:val="00E23D76"/>
    <w:rsid w:val="00E243D6"/>
    <w:rsid w:val="00E24944"/>
    <w:rsid w:val="00E25B88"/>
    <w:rsid w:val="00E26479"/>
    <w:rsid w:val="00E2695D"/>
    <w:rsid w:val="00E30B4A"/>
    <w:rsid w:val="00E31C8D"/>
    <w:rsid w:val="00E31FA7"/>
    <w:rsid w:val="00E32562"/>
    <w:rsid w:val="00E330B9"/>
    <w:rsid w:val="00E33721"/>
    <w:rsid w:val="00E33FD9"/>
    <w:rsid w:val="00E3465C"/>
    <w:rsid w:val="00E35173"/>
    <w:rsid w:val="00E3586F"/>
    <w:rsid w:val="00E35B30"/>
    <w:rsid w:val="00E365B1"/>
    <w:rsid w:val="00E368A3"/>
    <w:rsid w:val="00E374E6"/>
    <w:rsid w:val="00E3754A"/>
    <w:rsid w:val="00E40FDF"/>
    <w:rsid w:val="00E411B6"/>
    <w:rsid w:val="00E41978"/>
    <w:rsid w:val="00E41C70"/>
    <w:rsid w:val="00E41FF0"/>
    <w:rsid w:val="00E4247F"/>
    <w:rsid w:val="00E42582"/>
    <w:rsid w:val="00E42741"/>
    <w:rsid w:val="00E42F06"/>
    <w:rsid w:val="00E4317E"/>
    <w:rsid w:val="00E43809"/>
    <w:rsid w:val="00E43886"/>
    <w:rsid w:val="00E438AB"/>
    <w:rsid w:val="00E43CC5"/>
    <w:rsid w:val="00E4466F"/>
    <w:rsid w:val="00E446C0"/>
    <w:rsid w:val="00E45A5B"/>
    <w:rsid w:val="00E461B9"/>
    <w:rsid w:val="00E47D62"/>
    <w:rsid w:val="00E5064E"/>
    <w:rsid w:val="00E507C8"/>
    <w:rsid w:val="00E52D80"/>
    <w:rsid w:val="00E533C3"/>
    <w:rsid w:val="00E53D99"/>
    <w:rsid w:val="00E53F8D"/>
    <w:rsid w:val="00E54172"/>
    <w:rsid w:val="00E541D4"/>
    <w:rsid w:val="00E5513D"/>
    <w:rsid w:val="00E55A5B"/>
    <w:rsid w:val="00E56DB4"/>
    <w:rsid w:val="00E57770"/>
    <w:rsid w:val="00E6065C"/>
    <w:rsid w:val="00E60723"/>
    <w:rsid w:val="00E61401"/>
    <w:rsid w:val="00E61D32"/>
    <w:rsid w:val="00E62D8F"/>
    <w:rsid w:val="00E634EF"/>
    <w:rsid w:val="00E63A8A"/>
    <w:rsid w:val="00E64426"/>
    <w:rsid w:val="00E64C19"/>
    <w:rsid w:val="00E6545C"/>
    <w:rsid w:val="00E65667"/>
    <w:rsid w:val="00E65D03"/>
    <w:rsid w:val="00E66178"/>
    <w:rsid w:val="00E66294"/>
    <w:rsid w:val="00E6636C"/>
    <w:rsid w:val="00E70486"/>
    <w:rsid w:val="00E70E76"/>
    <w:rsid w:val="00E70EB5"/>
    <w:rsid w:val="00E71069"/>
    <w:rsid w:val="00E7167B"/>
    <w:rsid w:val="00E72A0C"/>
    <w:rsid w:val="00E72E88"/>
    <w:rsid w:val="00E73D8D"/>
    <w:rsid w:val="00E73FAB"/>
    <w:rsid w:val="00E743FD"/>
    <w:rsid w:val="00E75761"/>
    <w:rsid w:val="00E759C2"/>
    <w:rsid w:val="00E759D1"/>
    <w:rsid w:val="00E761DF"/>
    <w:rsid w:val="00E77C9E"/>
    <w:rsid w:val="00E77FA3"/>
    <w:rsid w:val="00E81726"/>
    <w:rsid w:val="00E8293C"/>
    <w:rsid w:val="00E84027"/>
    <w:rsid w:val="00E84184"/>
    <w:rsid w:val="00E84BA1"/>
    <w:rsid w:val="00E84DB1"/>
    <w:rsid w:val="00E8523E"/>
    <w:rsid w:val="00E86176"/>
    <w:rsid w:val="00E86972"/>
    <w:rsid w:val="00E86C8F"/>
    <w:rsid w:val="00E87293"/>
    <w:rsid w:val="00E8743A"/>
    <w:rsid w:val="00E87D44"/>
    <w:rsid w:val="00E90A22"/>
    <w:rsid w:val="00E90AD9"/>
    <w:rsid w:val="00E915DB"/>
    <w:rsid w:val="00E91F0C"/>
    <w:rsid w:val="00E9219A"/>
    <w:rsid w:val="00E936C8"/>
    <w:rsid w:val="00E951A9"/>
    <w:rsid w:val="00E962B9"/>
    <w:rsid w:val="00E96351"/>
    <w:rsid w:val="00E9660E"/>
    <w:rsid w:val="00E971D3"/>
    <w:rsid w:val="00E97EAA"/>
    <w:rsid w:val="00EA0456"/>
    <w:rsid w:val="00EA0616"/>
    <w:rsid w:val="00EA1B7E"/>
    <w:rsid w:val="00EA1BF1"/>
    <w:rsid w:val="00EA1D15"/>
    <w:rsid w:val="00EA1E7B"/>
    <w:rsid w:val="00EA2772"/>
    <w:rsid w:val="00EA2828"/>
    <w:rsid w:val="00EA3178"/>
    <w:rsid w:val="00EA4E4A"/>
    <w:rsid w:val="00EA53A3"/>
    <w:rsid w:val="00EA5B60"/>
    <w:rsid w:val="00EA6B1D"/>
    <w:rsid w:val="00EA6C0C"/>
    <w:rsid w:val="00EA7F50"/>
    <w:rsid w:val="00EB02BD"/>
    <w:rsid w:val="00EB0485"/>
    <w:rsid w:val="00EB0498"/>
    <w:rsid w:val="00EB140D"/>
    <w:rsid w:val="00EB1855"/>
    <w:rsid w:val="00EB2357"/>
    <w:rsid w:val="00EB2CFE"/>
    <w:rsid w:val="00EB2D18"/>
    <w:rsid w:val="00EB41B8"/>
    <w:rsid w:val="00EB4E84"/>
    <w:rsid w:val="00EB5A58"/>
    <w:rsid w:val="00EB5C75"/>
    <w:rsid w:val="00EC0064"/>
    <w:rsid w:val="00EC0EAA"/>
    <w:rsid w:val="00EC129B"/>
    <w:rsid w:val="00EC19AA"/>
    <w:rsid w:val="00EC2376"/>
    <w:rsid w:val="00EC423F"/>
    <w:rsid w:val="00EC5577"/>
    <w:rsid w:val="00EC571E"/>
    <w:rsid w:val="00EC5A34"/>
    <w:rsid w:val="00EC6158"/>
    <w:rsid w:val="00EC7704"/>
    <w:rsid w:val="00EC7D6A"/>
    <w:rsid w:val="00ED030F"/>
    <w:rsid w:val="00ED0CE0"/>
    <w:rsid w:val="00ED1920"/>
    <w:rsid w:val="00ED2107"/>
    <w:rsid w:val="00ED2597"/>
    <w:rsid w:val="00ED2D50"/>
    <w:rsid w:val="00ED2FC1"/>
    <w:rsid w:val="00ED411D"/>
    <w:rsid w:val="00ED47B3"/>
    <w:rsid w:val="00ED481B"/>
    <w:rsid w:val="00ED4D3E"/>
    <w:rsid w:val="00ED69A0"/>
    <w:rsid w:val="00ED72A8"/>
    <w:rsid w:val="00EE077B"/>
    <w:rsid w:val="00EE118B"/>
    <w:rsid w:val="00EE1C70"/>
    <w:rsid w:val="00EE2070"/>
    <w:rsid w:val="00EE25DA"/>
    <w:rsid w:val="00EE3078"/>
    <w:rsid w:val="00EE329F"/>
    <w:rsid w:val="00EE3D9D"/>
    <w:rsid w:val="00EE42EA"/>
    <w:rsid w:val="00EE587B"/>
    <w:rsid w:val="00EE7035"/>
    <w:rsid w:val="00EE73EF"/>
    <w:rsid w:val="00EE78ED"/>
    <w:rsid w:val="00EE7E00"/>
    <w:rsid w:val="00EF016F"/>
    <w:rsid w:val="00EF02AC"/>
    <w:rsid w:val="00EF0716"/>
    <w:rsid w:val="00EF15A4"/>
    <w:rsid w:val="00EF1678"/>
    <w:rsid w:val="00EF16F0"/>
    <w:rsid w:val="00EF2174"/>
    <w:rsid w:val="00EF24A7"/>
    <w:rsid w:val="00EF34D2"/>
    <w:rsid w:val="00EF3CB7"/>
    <w:rsid w:val="00EF4401"/>
    <w:rsid w:val="00EF4831"/>
    <w:rsid w:val="00EF49A3"/>
    <w:rsid w:val="00EF4C63"/>
    <w:rsid w:val="00EF624A"/>
    <w:rsid w:val="00EF668C"/>
    <w:rsid w:val="00EF6695"/>
    <w:rsid w:val="00F001F1"/>
    <w:rsid w:val="00F00A8A"/>
    <w:rsid w:val="00F01071"/>
    <w:rsid w:val="00F0118B"/>
    <w:rsid w:val="00F0142E"/>
    <w:rsid w:val="00F0241C"/>
    <w:rsid w:val="00F03048"/>
    <w:rsid w:val="00F03594"/>
    <w:rsid w:val="00F0423A"/>
    <w:rsid w:val="00F04764"/>
    <w:rsid w:val="00F0477C"/>
    <w:rsid w:val="00F05771"/>
    <w:rsid w:val="00F0714E"/>
    <w:rsid w:val="00F07C42"/>
    <w:rsid w:val="00F10125"/>
    <w:rsid w:val="00F101B2"/>
    <w:rsid w:val="00F10864"/>
    <w:rsid w:val="00F10995"/>
    <w:rsid w:val="00F10E12"/>
    <w:rsid w:val="00F10FD0"/>
    <w:rsid w:val="00F11B4E"/>
    <w:rsid w:val="00F1206F"/>
    <w:rsid w:val="00F12F7F"/>
    <w:rsid w:val="00F13CF7"/>
    <w:rsid w:val="00F14028"/>
    <w:rsid w:val="00F148FB"/>
    <w:rsid w:val="00F14C44"/>
    <w:rsid w:val="00F14F69"/>
    <w:rsid w:val="00F15B6A"/>
    <w:rsid w:val="00F15F17"/>
    <w:rsid w:val="00F173F0"/>
    <w:rsid w:val="00F174BF"/>
    <w:rsid w:val="00F17F9F"/>
    <w:rsid w:val="00F20E00"/>
    <w:rsid w:val="00F21116"/>
    <w:rsid w:val="00F21897"/>
    <w:rsid w:val="00F21B06"/>
    <w:rsid w:val="00F21EB0"/>
    <w:rsid w:val="00F235A7"/>
    <w:rsid w:val="00F24357"/>
    <w:rsid w:val="00F24A28"/>
    <w:rsid w:val="00F25AEE"/>
    <w:rsid w:val="00F25B13"/>
    <w:rsid w:val="00F2686C"/>
    <w:rsid w:val="00F273B6"/>
    <w:rsid w:val="00F2753B"/>
    <w:rsid w:val="00F27A0C"/>
    <w:rsid w:val="00F27A59"/>
    <w:rsid w:val="00F27B69"/>
    <w:rsid w:val="00F307C7"/>
    <w:rsid w:val="00F30956"/>
    <w:rsid w:val="00F30DBF"/>
    <w:rsid w:val="00F30E07"/>
    <w:rsid w:val="00F30FCD"/>
    <w:rsid w:val="00F31084"/>
    <w:rsid w:val="00F32930"/>
    <w:rsid w:val="00F331EA"/>
    <w:rsid w:val="00F331EF"/>
    <w:rsid w:val="00F33989"/>
    <w:rsid w:val="00F33D4C"/>
    <w:rsid w:val="00F33F11"/>
    <w:rsid w:val="00F347C9"/>
    <w:rsid w:val="00F349D4"/>
    <w:rsid w:val="00F349F5"/>
    <w:rsid w:val="00F36324"/>
    <w:rsid w:val="00F365AD"/>
    <w:rsid w:val="00F3694A"/>
    <w:rsid w:val="00F36DB5"/>
    <w:rsid w:val="00F4106A"/>
    <w:rsid w:val="00F41275"/>
    <w:rsid w:val="00F419F1"/>
    <w:rsid w:val="00F42451"/>
    <w:rsid w:val="00F42482"/>
    <w:rsid w:val="00F42718"/>
    <w:rsid w:val="00F42D40"/>
    <w:rsid w:val="00F43835"/>
    <w:rsid w:val="00F438DF"/>
    <w:rsid w:val="00F43AEC"/>
    <w:rsid w:val="00F45682"/>
    <w:rsid w:val="00F4704B"/>
    <w:rsid w:val="00F47623"/>
    <w:rsid w:val="00F5043C"/>
    <w:rsid w:val="00F51A61"/>
    <w:rsid w:val="00F51C73"/>
    <w:rsid w:val="00F5217F"/>
    <w:rsid w:val="00F52295"/>
    <w:rsid w:val="00F5255B"/>
    <w:rsid w:val="00F528E2"/>
    <w:rsid w:val="00F53070"/>
    <w:rsid w:val="00F53318"/>
    <w:rsid w:val="00F537C9"/>
    <w:rsid w:val="00F543BF"/>
    <w:rsid w:val="00F54746"/>
    <w:rsid w:val="00F54E5A"/>
    <w:rsid w:val="00F55633"/>
    <w:rsid w:val="00F5661C"/>
    <w:rsid w:val="00F56E4D"/>
    <w:rsid w:val="00F572AD"/>
    <w:rsid w:val="00F57375"/>
    <w:rsid w:val="00F577BD"/>
    <w:rsid w:val="00F61B5E"/>
    <w:rsid w:val="00F635B8"/>
    <w:rsid w:val="00F638E0"/>
    <w:rsid w:val="00F67007"/>
    <w:rsid w:val="00F67628"/>
    <w:rsid w:val="00F676B0"/>
    <w:rsid w:val="00F67EE0"/>
    <w:rsid w:val="00F70F1C"/>
    <w:rsid w:val="00F71160"/>
    <w:rsid w:val="00F715B2"/>
    <w:rsid w:val="00F71B8A"/>
    <w:rsid w:val="00F71C30"/>
    <w:rsid w:val="00F734B6"/>
    <w:rsid w:val="00F74593"/>
    <w:rsid w:val="00F74AA6"/>
    <w:rsid w:val="00F74D54"/>
    <w:rsid w:val="00F75961"/>
    <w:rsid w:val="00F75DE8"/>
    <w:rsid w:val="00F76001"/>
    <w:rsid w:val="00F77BC2"/>
    <w:rsid w:val="00F77FCB"/>
    <w:rsid w:val="00F802F0"/>
    <w:rsid w:val="00F80493"/>
    <w:rsid w:val="00F80FEE"/>
    <w:rsid w:val="00F81EE2"/>
    <w:rsid w:val="00F833CB"/>
    <w:rsid w:val="00F83B6D"/>
    <w:rsid w:val="00F84973"/>
    <w:rsid w:val="00F84B7D"/>
    <w:rsid w:val="00F84B9B"/>
    <w:rsid w:val="00F84BE2"/>
    <w:rsid w:val="00F855DC"/>
    <w:rsid w:val="00F8585A"/>
    <w:rsid w:val="00F868ED"/>
    <w:rsid w:val="00F86C76"/>
    <w:rsid w:val="00F9094B"/>
    <w:rsid w:val="00F9098B"/>
    <w:rsid w:val="00F910B4"/>
    <w:rsid w:val="00F9180C"/>
    <w:rsid w:val="00F9191F"/>
    <w:rsid w:val="00F92068"/>
    <w:rsid w:val="00F93689"/>
    <w:rsid w:val="00F93F47"/>
    <w:rsid w:val="00F94BC9"/>
    <w:rsid w:val="00F9500B"/>
    <w:rsid w:val="00F951B1"/>
    <w:rsid w:val="00F960ED"/>
    <w:rsid w:val="00F97706"/>
    <w:rsid w:val="00FA094C"/>
    <w:rsid w:val="00FA0ACA"/>
    <w:rsid w:val="00FA173A"/>
    <w:rsid w:val="00FA213D"/>
    <w:rsid w:val="00FA2863"/>
    <w:rsid w:val="00FA29ED"/>
    <w:rsid w:val="00FA2CC2"/>
    <w:rsid w:val="00FA2D8A"/>
    <w:rsid w:val="00FA4306"/>
    <w:rsid w:val="00FA4533"/>
    <w:rsid w:val="00FA4771"/>
    <w:rsid w:val="00FA49E6"/>
    <w:rsid w:val="00FA5BFA"/>
    <w:rsid w:val="00FA6A61"/>
    <w:rsid w:val="00FA7DE7"/>
    <w:rsid w:val="00FB0036"/>
    <w:rsid w:val="00FB192D"/>
    <w:rsid w:val="00FB1BB5"/>
    <w:rsid w:val="00FB2138"/>
    <w:rsid w:val="00FB327A"/>
    <w:rsid w:val="00FB3297"/>
    <w:rsid w:val="00FB345D"/>
    <w:rsid w:val="00FB3882"/>
    <w:rsid w:val="00FB3ECF"/>
    <w:rsid w:val="00FB4337"/>
    <w:rsid w:val="00FB481E"/>
    <w:rsid w:val="00FB4C3B"/>
    <w:rsid w:val="00FB59FD"/>
    <w:rsid w:val="00FB6A81"/>
    <w:rsid w:val="00FC02A7"/>
    <w:rsid w:val="00FC1244"/>
    <w:rsid w:val="00FC230B"/>
    <w:rsid w:val="00FC2C71"/>
    <w:rsid w:val="00FC3650"/>
    <w:rsid w:val="00FC3D3E"/>
    <w:rsid w:val="00FC62EF"/>
    <w:rsid w:val="00FC638F"/>
    <w:rsid w:val="00FC72B9"/>
    <w:rsid w:val="00FC75F5"/>
    <w:rsid w:val="00FC7D0B"/>
    <w:rsid w:val="00FC7FAE"/>
    <w:rsid w:val="00FD0004"/>
    <w:rsid w:val="00FD026D"/>
    <w:rsid w:val="00FD0BB6"/>
    <w:rsid w:val="00FD1259"/>
    <w:rsid w:val="00FD13C8"/>
    <w:rsid w:val="00FD1468"/>
    <w:rsid w:val="00FD183B"/>
    <w:rsid w:val="00FD1C51"/>
    <w:rsid w:val="00FD2320"/>
    <w:rsid w:val="00FD2368"/>
    <w:rsid w:val="00FD2D5C"/>
    <w:rsid w:val="00FD2ED7"/>
    <w:rsid w:val="00FD318D"/>
    <w:rsid w:val="00FD35F8"/>
    <w:rsid w:val="00FD5D2E"/>
    <w:rsid w:val="00FD6366"/>
    <w:rsid w:val="00FD6ECF"/>
    <w:rsid w:val="00FD736D"/>
    <w:rsid w:val="00FE03C8"/>
    <w:rsid w:val="00FE0981"/>
    <w:rsid w:val="00FE09C0"/>
    <w:rsid w:val="00FE261C"/>
    <w:rsid w:val="00FE268A"/>
    <w:rsid w:val="00FE2D58"/>
    <w:rsid w:val="00FE35E4"/>
    <w:rsid w:val="00FE4302"/>
    <w:rsid w:val="00FE4D84"/>
    <w:rsid w:val="00FE5F7D"/>
    <w:rsid w:val="00FE6357"/>
    <w:rsid w:val="00FE748E"/>
    <w:rsid w:val="00FE75F3"/>
    <w:rsid w:val="00FF030F"/>
    <w:rsid w:val="00FF1419"/>
    <w:rsid w:val="00FF2A39"/>
    <w:rsid w:val="00FF4E70"/>
    <w:rsid w:val="00FF569B"/>
    <w:rsid w:val="00FF57D8"/>
    <w:rsid w:val="00FF621F"/>
    <w:rsid w:val="00FF6444"/>
    <w:rsid w:val="00FF64F0"/>
    <w:rsid w:val="00FF6668"/>
    <w:rsid w:val="00FF69DE"/>
    <w:rsid w:val="00FF6C6E"/>
    <w:rsid w:val="00FF6DB0"/>
    <w:rsid w:val="00FF7829"/>
    <w:rsid w:val="00FF7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85C"/>
    <w:pPr>
      <w:widowControl w:val="0"/>
      <w:spacing w:before="60" w:after="120" w:line="400" w:lineRule="exact"/>
      <w:jc w:val="both"/>
    </w:pPr>
    <w:rPr>
      <w:rFonts w:ascii="宋体"/>
      <w:spacing w:val="8"/>
      <w:kern w:val="2"/>
      <w:sz w:val="24"/>
      <w:szCs w:val="24"/>
    </w:rPr>
  </w:style>
  <w:style w:type="paragraph" w:styleId="1">
    <w:name w:val="heading 1"/>
    <w:aliases w:val="H1,Part"/>
    <w:basedOn w:val="a"/>
    <w:next w:val="a"/>
    <w:autoRedefine/>
    <w:qFormat/>
    <w:rsid w:val="002759AB"/>
    <w:pPr>
      <w:numPr>
        <w:numId w:val="9"/>
      </w:numPr>
      <w:spacing w:before="240" w:after="240"/>
      <w:ind w:left="0" w:firstLine="0"/>
      <w:jc w:val="center"/>
      <w:outlineLvl w:val="0"/>
    </w:pPr>
    <w:rPr>
      <w:rFonts w:ascii="Times New Roman" w:eastAsia="楷体_GB2312"/>
      <w:b/>
      <w:sz w:val="28"/>
      <w:szCs w:val="34"/>
    </w:rPr>
  </w:style>
  <w:style w:type="paragraph" w:styleId="2">
    <w:name w:val="heading 2"/>
    <w:aliases w:val="H2,Chpt"/>
    <w:basedOn w:val="a"/>
    <w:next w:val="a0"/>
    <w:autoRedefine/>
    <w:qFormat/>
    <w:rsid w:val="007B027B"/>
    <w:pPr>
      <w:outlineLvl w:val="1"/>
    </w:pPr>
    <w:rPr>
      <w:rFonts w:ascii="Times New Roman" w:eastAsia="幼圆"/>
      <w:b/>
      <w:bCs/>
      <w:lang w:val="en-GB"/>
    </w:rPr>
  </w:style>
  <w:style w:type="paragraph" w:styleId="3">
    <w:name w:val="heading 3"/>
    <w:aliases w:val="H3,Sec"/>
    <w:basedOn w:val="a"/>
    <w:next w:val="a"/>
    <w:autoRedefine/>
    <w:qFormat/>
    <w:rsid w:val="007F1812"/>
    <w:pPr>
      <w:keepNext/>
      <w:outlineLvl w:val="2"/>
    </w:pPr>
    <w:rPr>
      <w:rFonts w:ascii="Times New Roman" w:eastAsia="楷体_GB2312"/>
      <w:b/>
      <w:bCs/>
      <w:kern w:val="0"/>
      <w:lang w:val="zh-CN"/>
    </w:rPr>
  </w:style>
  <w:style w:type="paragraph" w:styleId="4">
    <w:name w:val="heading 4"/>
    <w:aliases w:val="H4,MainPara"/>
    <w:basedOn w:val="paraNUM"/>
    <w:next w:val="paraNUM"/>
    <w:qFormat/>
    <w:rsid w:val="0025385C"/>
    <w:pPr>
      <w:keepNext/>
      <w:numPr>
        <w:numId w:val="2"/>
      </w:numPr>
      <w:spacing w:before="180"/>
      <w:jc w:val="center"/>
      <w:outlineLvl w:val="3"/>
    </w:pPr>
    <w:rPr>
      <w:rFonts w:ascii="楷体" w:eastAsia="楷体"/>
      <w:b/>
      <w:bCs/>
      <w:sz w:val="28"/>
      <w:szCs w:val="28"/>
    </w:rPr>
  </w:style>
  <w:style w:type="paragraph" w:styleId="5">
    <w:name w:val="heading 5"/>
    <w:aliases w:val="Subpara 2"/>
    <w:basedOn w:val="a"/>
    <w:next w:val="a"/>
    <w:qFormat/>
    <w:rsid w:val="00B0539D"/>
    <w:pPr>
      <w:spacing w:before="240" w:after="60"/>
      <w:outlineLvl w:val="4"/>
    </w:pPr>
    <w:rPr>
      <w:b/>
      <w:bCs/>
      <w:i/>
      <w:iCs/>
      <w:sz w:val="26"/>
      <w:szCs w:val="26"/>
    </w:rPr>
  </w:style>
  <w:style w:type="paragraph" w:styleId="6">
    <w:name w:val="heading 6"/>
    <w:aliases w:val="Subpara 3"/>
    <w:basedOn w:val="3"/>
    <w:next w:val="a"/>
    <w:qFormat/>
    <w:rsid w:val="00A9382F"/>
    <w:pPr>
      <w:spacing w:before="120" w:after="0" w:line="240" w:lineRule="auto"/>
      <w:outlineLvl w:val="5"/>
    </w:pPr>
    <w:rPr>
      <w:rFonts w:eastAsia="Times New Roman"/>
      <w:b w:val="0"/>
      <w:bCs w:val="0"/>
      <w:i/>
      <w:noProof/>
      <w:spacing w:val="0"/>
      <w:szCs w:val="20"/>
      <w:lang w:val="en-GB" w:eastAsia="en-GB"/>
    </w:rPr>
  </w:style>
  <w:style w:type="paragraph" w:styleId="7">
    <w:name w:val="heading 7"/>
    <w:aliases w:val="Subpara 4"/>
    <w:basedOn w:val="3"/>
    <w:next w:val="a"/>
    <w:qFormat/>
    <w:rsid w:val="00A9382F"/>
    <w:pPr>
      <w:spacing w:before="120" w:after="0" w:line="240" w:lineRule="auto"/>
      <w:outlineLvl w:val="6"/>
    </w:pPr>
    <w:rPr>
      <w:rFonts w:eastAsia="Times New Roman"/>
      <w:b w:val="0"/>
      <w:bCs w:val="0"/>
      <w:i/>
      <w:noProof/>
      <w:spacing w:val="0"/>
      <w:szCs w:val="20"/>
      <w:lang w:val="en-GB" w:eastAsia="en-GB"/>
    </w:rPr>
  </w:style>
  <w:style w:type="paragraph" w:styleId="8">
    <w:name w:val="heading 8"/>
    <w:aliases w:val="Subpara 5"/>
    <w:basedOn w:val="3"/>
    <w:next w:val="a"/>
    <w:qFormat/>
    <w:rsid w:val="00A9382F"/>
    <w:pPr>
      <w:spacing w:before="120" w:after="0" w:line="240" w:lineRule="auto"/>
      <w:outlineLvl w:val="7"/>
    </w:pPr>
    <w:rPr>
      <w:rFonts w:eastAsia="Times New Roman"/>
      <w:b w:val="0"/>
      <w:bCs w:val="0"/>
      <w:i/>
      <w:noProof/>
      <w:spacing w:val="0"/>
      <w:szCs w:val="20"/>
      <w:lang w:val="en-GB" w:eastAsia="en-GB"/>
    </w:rPr>
  </w:style>
  <w:style w:type="paragraph" w:styleId="9">
    <w:name w:val="heading 9"/>
    <w:aliases w:val="Subpara 6"/>
    <w:basedOn w:val="3"/>
    <w:next w:val="a"/>
    <w:qFormat/>
    <w:rsid w:val="00A9382F"/>
    <w:pPr>
      <w:tabs>
        <w:tab w:val="num" w:pos="360"/>
      </w:tabs>
      <w:spacing w:before="120" w:after="0" w:line="240" w:lineRule="auto"/>
      <w:outlineLvl w:val="8"/>
    </w:pPr>
    <w:rPr>
      <w:rFonts w:eastAsia="Times New Roman"/>
      <w:b w:val="0"/>
      <w:bCs w:val="0"/>
      <w:i/>
      <w:noProof/>
      <w:spacing w:val="0"/>
      <w:szCs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5385C"/>
    <w:pPr>
      <w:ind w:firstLine="420"/>
    </w:pPr>
  </w:style>
  <w:style w:type="paragraph" w:customStyle="1" w:styleId="paraNUM">
    <w:name w:val="paraNUM"/>
    <w:basedOn w:val="a"/>
    <w:rsid w:val="0025385C"/>
    <w:pPr>
      <w:widowControl/>
      <w:overflowPunct w:val="0"/>
      <w:autoSpaceDE w:val="0"/>
      <w:autoSpaceDN w:val="0"/>
      <w:adjustRightInd w:val="0"/>
      <w:textAlignment w:val="baseline"/>
    </w:pPr>
    <w:rPr>
      <w:kern w:val="0"/>
    </w:rPr>
  </w:style>
  <w:style w:type="paragraph" w:styleId="a4">
    <w:name w:val="header"/>
    <w:basedOn w:val="a"/>
    <w:rsid w:val="0025385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25385C"/>
    <w:pPr>
      <w:tabs>
        <w:tab w:val="center" w:pos="4153"/>
        <w:tab w:val="right" w:pos="8306"/>
      </w:tabs>
      <w:snapToGrid w:val="0"/>
      <w:jc w:val="left"/>
    </w:pPr>
    <w:rPr>
      <w:sz w:val="18"/>
      <w:szCs w:val="18"/>
    </w:rPr>
  </w:style>
  <w:style w:type="character" w:styleId="a6">
    <w:name w:val="page number"/>
    <w:basedOn w:val="a1"/>
    <w:rsid w:val="0025385C"/>
  </w:style>
  <w:style w:type="paragraph" w:customStyle="1" w:styleId="Style1">
    <w:name w:val="Style1"/>
    <w:basedOn w:val="2"/>
    <w:rsid w:val="0025385C"/>
    <w:pPr>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a7">
    <w:name w:val="Hyperlink"/>
    <w:basedOn w:val="a1"/>
    <w:rsid w:val="0025385C"/>
    <w:rPr>
      <w:color w:val="0000FF"/>
      <w:u w:val="single"/>
    </w:rPr>
  </w:style>
  <w:style w:type="paragraph" w:styleId="a8">
    <w:name w:val="Body Text Indent"/>
    <w:basedOn w:val="a"/>
    <w:rsid w:val="0025385C"/>
    <w:pPr>
      <w:tabs>
        <w:tab w:val="left" w:pos="510"/>
      </w:tabs>
      <w:ind w:left="510"/>
    </w:pPr>
    <w:rPr>
      <w:rFonts w:ascii="楷体" w:eastAsia="楷体"/>
      <w:i/>
      <w:iCs/>
    </w:rPr>
  </w:style>
  <w:style w:type="paragraph" w:styleId="a9">
    <w:name w:val="footnote text"/>
    <w:basedOn w:val="a"/>
    <w:autoRedefine/>
    <w:semiHidden/>
    <w:rsid w:val="00B84660"/>
    <w:pPr>
      <w:snapToGrid w:val="0"/>
      <w:spacing w:before="0" w:after="0" w:line="280" w:lineRule="exact"/>
    </w:pPr>
    <w:rPr>
      <w:rFonts w:ascii="Times New Roman"/>
      <w:sz w:val="18"/>
      <w:szCs w:val="18"/>
    </w:rPr>
  </w:style>
  <w:style w:type="character" w:styleId="aa">
    <w:name w:val="footnote reference"/>
    <w:basedOn w:val="a1"/>
    <w:semiHidden/>
    <w:rsid w:val="0025385C"/>
    <w:rPr>
      <w:vertAlign w:val="superscript"/>
    </w:rPr>
  </w:style>
  <w:style w:type="character" w:customStyle="1" w:styleId="Italic">
    <w:name w:val="Italic"/>
    <w:basedOn w:val="a1"/>
    <w:rsid w:val="0025385C"/>
    <w:rPr>
      <w:i/>
      <w:iCs/>
      <w:sz w:val="20"/>
      <w:szCs w:val="20"/>
    </w:rPr>
  </w:style>
  <w:style w:type="character" w:customStyle="1" w:styleId="Underline">
    <w:name w:val="Underline"/>
    <w:basedOn w:val="a1"/>
    <w:rsid w:val="0025385C"/>
    <w:rPr>
      <w:sz w:val="20"/>
      <w:szCs w:val="20"/>
      <w:u w:val="single"/>
    </w:rPr>
  </w:style>
  <w:style w:type="character" w:customStyle="1" w:styleId="y-logo-CHI">
    <w:name w:val="y-logo-CHI"/>
    <w:basedOn w:val="a1"/>
    <w:rsid w:val="0025385C"/>
  </w:style>
  <w:style w:type="paragraph" w:customStyle="1" w:styleId="RandListLev1">
    <w:name w:val="Rand List Lev1"/>
    <w:basedOn w:val="a"/>
    <w:rsid w:val="0025385C"/>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25385C"/>
    <w:rPr>
      <w:rFonts w:ascii="Courier New" w:hAnsi="Courier New"/>
      <w:vanish/>
      <w:color w:val="800080"/>
      <w:vertAlign w:val="subscript"/>
    </w:rPr>
  </w:style>
  <w:style w:type="paragraph" w:customStyle="1" w:styleId="MeetingInfo">
    <w:name w:val="MeetingInfo"/>
    <w:basedOn w:val="a"/>
    <w:rsid w:val="0025385C"/>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a1"/>
    <w:rsid w:val="0025385C"/>
    <w:rPr>
      <w:b/>
      <w:bCs/>
    </w:rPr>
  </w:style>
  <w:style w:type="character" w:customStyle="1" w:styleId="tw4winError">
    <w:name w:val="tw4winError"/>
    <w:rsid w:val="0025385C"/>
    <w:rPr>
      <w:color w:val="00FF00"/>
      <w:sz w:val="40"/>
      <w:szCs w:val="40"/>
    </w:rPr>
  </w:style>
  <w:style w:type="character" w:customStyle="1" w:styleId="tw4winTerm">
    <w:name w:val="tw4winTerm"/>
    <w:rsid w:val="0025385C"/>
    <w:rPr>
      <w:color w:val="0000FF"/>
    </w:rPr>
  </w:style>
  <w:style w:type="character" w:customStyle="1" w:styleId="tw4winPopup">
    <w:name w:val="tw4winPopup"/>
    <w:rsid w:val="0025385C"/>
    <w:rPr>
      <w:noProof w:val="0"/>
      <w:color w:val="008000"/>
    </w:rPr>
  </w:style>
  <w:style w:type="character" w:customStyle="1" w:styleId="tw4winJump">
    <w:name w:val="tw4winJump"/>
    <w:rsid w:val="0025385C"/>
    <w:rPr>
      <w:noProof w:val="0"/>
      <w:color w:val="008080"/>
    </w:rPr>
  </w:style>
  <w:style w:type="character" w:customStyle="1" w:styleId="tw4winExternal">
    <w:name w:val="tw4winExternal"/>
    <w:rsid w:val="0025385C"/>
    <w:rPr>
      <w:noProof w:val="0"/>
      <w:color w:val="808080"/>
    </w:rPr>
  </w:style>
  <w:style w:type="character" w:customStyle="1" w:styleId="tw4winInternal">
    <w:name w:val="tw4winInternal"/>
    <w:rsid w:val="0025385C"/>
    <w:rPr>
      <w:noProof w:val="0"/>
      <w:color w:val="FF0000"/>
    </w:rPr>
  </w:style>
  <w:style w:type="paragraph" w:customStyle="1" w:styleId="ab">
    <w:name w:val="Îáû÷íûé"/>
    <w:rsid w:val="00283C83"/>
    <w:pPr>
      <w:overflowPunct w:val="0"/>
      <w:autoSpaceDE w:val="0"/>
      <w:autoSpaceDN w:val="0"/>
      <w:adjustRightInd w:val="0"/>
      <w:textAlignment w:val="baseline"/>
    </w:pPr>
    <w:rPr>
      <w:lang w:val="ru-RU" w:eastAsia="zh-TW"/>
    </w:rPr>
  </w:style>
  <w:style w:type="paragraph" w:customStyle="1" w:styleId="BoxRandList1">
    <w:name w:val="Box RandList 1"/>
    <w:basedOn w:val="a"/>
    <w:autoRedefine/>
    <w:rsid w:val="00B0539D"/>
    <w:pPr>
      <w:keepNext/>
      <w:keepLines/>
      <w:widowControl/>
      <w:numPr>
        <w:numId w:val="4"/>
      </w:numPr>
      <w:pBdr>
        <w:left w:val="single" w:sz="6" w:space="12" w:color="00697A"/>
        <w:right w:val="single" w:sz="6" w:space="12" w:color="00697A"/>
      </w:pBdr>
      <w:shd w:val="pct15" w:color="00697A" w:fill="auto"/>
      <w:spacing w:before="0" w:after="0" w:line="240" w:lineRule="auto"/>
      <w:ind w:right="181"/>
    </w:pPr>
    <w:rPr>
      <w:rFonts w:ascii="Garamond" w:hAnsi="Garamond"/>
      <w:b/>
      <w:color w:val="00697A"/>
      <w:spacing w:val="0"/>
      <w:kern w:val="0"/>
      <w:szCs w:val="20"/>
      <w:lang w:val="en-GB"/>
    </w:rPr>
  </w:style>
  <w:style w:type="paragraph" w:customStyle="1" w:styleId="BoxText">
    <w:name w:val="Box Text"/>
    <w:basedOn w:val="a"/>
    <w:autoRedefine/>
    <w:rsid w:val="00B0539D"/>
    <w:pPr>
      <w:keepNext/>
      <w:keepLines/>
      <w:widowControl/>
      <w:pBdr>
        <w:left w:val="single" w:sz="6" w:space="3" w:color="00697A"/>
        <w:right w:val="single" w:sz="6" w:space="3" w:color="00697A"/>
      </w:pBdr>
      <w:shd w:val="pct15" w:color="00697A" w:fill="auto"/>
      <w:tabs>
        <w:tab w:val="left" w:pos="426"/>
      </w:tabs>
      <w:spacing w:before="0" w:after="0" w:line="240" w:lineRule="auto"/>
    </w:pPr>
    <w:rPr>
      <w:rFonts w:ascii="Garamond" w:hAnsi="Garamond"/>
      <w:b/>
      <w:color w:val="00697A"/>
      <w:spacing w:val="0"/>
      <w:kern w:val="0"/>
      <w:szCs w:val="20"/>
      <w:lang w:val="en-GB" w:eastAsia="en-GB"/>
    </w:rPr>
  </w:style>
  <w:style w:type="paragraph" w:customStyle="1" w:styleId="BoxTitle">
    <w:name w:val="Box Title"/>
    <w:basedOn w:val="a"/>
    <w:next w:val="BoxText"/>
    <w:autoRedefine/>
    <w:rsid w:val="001172C1"/>
    <w:pPr>
      <w:keepNext/>
      <w:keepLines/>
      <w:widowControl/>
      <w:pBdr>
        <w:top w:val="single" w:sz="6" w:space="7" w:color="00697A"/>
        <w:left w:val="single" w:sz="6" w:space="9" w:color="00697A"/>
        <w:right w:val="single" w:sz="6" w:space="9" w:color="00697A"/>
      </w:pBdr>
      <w:shd w:val="pct15" w:color="00697A" w:fill="auto"/>
      <w:spacing w:before="80" w:after="0" w:line="240" w:lineRule="auto"/>
      <w:ind w:left="119" w:right="119"/>
      <w:jc w:val="center"/>
    </w:pPr>
    <w:rPr>
      <w:rFonts w:ascii="Optima" w:eastAsia="楷体_GB2312" w:hAnsi="Optima" w:cs="Times New Roman Bold"/>
      <w:b/>
      <w:bCs/>
      <w:i/>
      <w:iCs/>
      <w:color w:val="00697A"/>
      <w:spacing w:val="0"/>
      <w:kern w:val="0"/>
      <w:sz w:val="22"/>
      <w:szCs w:val="18"/>
      <w:lang w:val="en-GB"/>
    </w:rPr>
  </w:style>
  <w:style w:type="paragraph" w:customStyle="1" w:styleId="EndBox">
    <w:name w:val="EndBox"/>
    <w:basedOn w:val="a"/>
    <w:next w:val="a"/>
    <w:link w:val="EndBoxChar"/>
    <w:autoRedefine/>
    <w:rsid w:val="00B0539D"/>
    <w:pPr>
      <w:keepNext/>
      <w:widowControl/>
      <w:pBdr>
        <w:left w:val="single" w:sz="6" w:space="3" w:color="00697A"/>
        <w:bottom w:val="single" w:sz="6" w:space="1" w:color="00697A"/>
        <w:right w:val="single" w:sz="6" w:space="3" w:color="00697A"/>
      </w:pBdr>
      <w:shd w:val="pct15" w:color="00697A" w:fill="auto"/>
      <w:spacing w:before="0" w:after="0" w:line="240" w:lineRule="auto"/>
      <w:jc w:val="center"/>
    </w:pPr>
    <w:rPr>
      <w:rFonts w:ascii="Garamond" w:hAnsi="Garamond"/>
      <w:color w:val="00697A"/>
      <w:sz w:val="12"/>
      <w:szCs w:val="12"/>
      <w:lang w:val="en-GB" w:eastAsia="en-US"/>
    </w:rPr>
  </w:style>
  <w:style w:type="paragraph" w:customStyle="1" w:styleId="NewPara">
    <w:name w:val="NewPara"/>
    <w:basedOn w:val="a"/>
    <w:next w:val="a"/>
    <w:link w:val="NewParaChar"/>
    <w:qFormat/>
    <w:rsid w:val="00B0539D"/>
    <w:pPr>
      <w:widowControl/>
      <w:tabs>
        <w:tab w:val="left" w:pos="709"/>
      </w:tabs>
      <w:spacing w:before="160" w:after="20" w:line="240" w:lineRule="auto"/>
      <w:jc w:val="center"/>
    </w:pPr>
    <w:rPr>
      <w:rFonts w:ascii="Garamond" w:hAnsi="Garamond"/>
      <w:b/>
      <w:spacing w:val="0"/>
      <w:kern w:val="0"/>
      <w:szCs w:val="20"/>
      <w:lang w:val="en-GB"/>
    </w:rPr>
  </w:style>
  <w:style w:type="character" w:customStyle="1" w:styleId="NroPara">
    <w:name w:val="NroPara"/>
    <w:basedOn w:val="a1"/>
    <w:rsid w:val="00B0539D"/>
  </w:style>
  <w:style w:type="paragraph" w:customStyle="1" w:styleId="TableEntry">
    <w:name w:val="TableEntry"/>
    <w:basedOn w:val="a"/>
    <w:rsid w:val="00B0539D"/>
    <w:pPr>
      <w:keepNext/>
      <w:keepLines/>
      <w:widowControl/>
      <w:spacing w:before="80" w:after="0" w:line="240" w:lineRule="auto"/>
      <w:jc w:val="center"/>
    </w:pPr>
    <w:rPr>
      <w:rFonts w:ascii="Optima" w:hAnsi="Optima"/>
      <w:b/>
      <w:spacing w:val="0"/>
      <w:kern w:val="0"/>
      <w:sz w:val="18"/>
      <w:szCs w:val="20"/>
      <w:lang w:val="en-GB"/>
    </w:rPr>
  </w:style>
  <w:style w:type="character" w:customStyle="1" w:styleId="EndBoxChar">
    <w:name w:val="EndBox Char"/>
    <w:basedOn w:val="a1"/>
    <w:link w:val="EndBox"/>
    <w:rsid w:val="00B0539D"/>
    <w:rPr>
      <w:rFonts w:ascii="Garamond" w:eastAsia="宋体" w:hAnsi="Garamond"/>
      <w:color w:val="00697A"/>
      <w:spacing w:val="8"/>
      <w:kern w:val="2"/>
      <w:sz w:val="12"/>
      <w:szCs w:val="12"/>
      <w:lang w:val="en-GB" w:eastAsia="en-US" w:bidi="ar-SA"/>
    </w:rPr>
  </w:style>
  <w:style w:type="paragraph" w:customStyle="1" w:styleId="StyleTBL-COLMNhdBefore006cmAfter004cmBefore0pt">
    <w:name w:val="Style TBL-COLMNhd + Before:  0.06 cm After:  0.04 cm Before:  0 pt"/>
    <w:basedOn w:val="a"/>
    <w:rsid w:val="00B0539D"/>
    <w:pPr>
      <w:keepNext/>
      <w:keepLines/>
      <w:widowControl/>
      <w:tabs>
        <w:tab w:val="left" w:pos="-720"/>
      </w:tabs>
      <w:suppressAutoHyphens/>
      <w:spacing w:before="0" w:after="20" w:line="200" w:lineRule="exact"/>
      <w:ind w:left="32" w:right="20"/>
      <w:jc w:val="center"/>
    </w:pPr>
    <w:rPr>
      <w:rFonts w:eastAsia="Times New Roman" w:hAnsi="宋体"/>
      <w:spacing w:val="0"/>
      <w:kern w:val="0"/>
      <w:sz w:val="16"/>
      <w:szCs w:val="20"/>
      <w:lang w:val="en-GB"/>
    </w:rPr>
  </w:style>
  <w:style w:type="paragraph" w:customStyle="1" w:styleId="StyleTableEntryBefore006cmAfter011cmBefore1pt2">
    <w:name w:val="Style TableEntry + Before:  0.06 cm After:  0.11 cm Before:  1 pt2"/>
    <w:basedOn w:val="TableEntry"/>
    <w:rsid w:val="00B0539D"/>
    <w:pPr>
      <w:spacing w:before="20"/>
      <w:ind w:left="32" w:right="62"/>
    </w:pPr>
    <w:rPr>
      <w:rFonts w:ascii="宋体" w:eastAsia="Times New Roman" w:hAnsi="宋体"/>
    </w:rPr>
  </w:style>
  <w:style w:type="paragraph" w:customStyle="1" w:styleId="StyleTBL-COLMNhdRightBefore006cmAfter004cmBefor">
    <w:name w:val="Style TBL-COLMNhd + Right Before:  0.06 cm After:  0.04 cm Befor..."/>
    <w:basedOn w:val="a"/>
    <w:rsid w:val="00B0539D"/>
    <w:pPr>
      <w:keepNext/>
      <w:keepLines/>
      <w:widowControl/>
      <w:tabs>
        <w:tab w:val="left" w:pos="-720"/>
      </w:tabs>
      <w:suppressAutoHyphens/>
      <w:spacing w:before="0" w:after="20" w:line="200" w:lineRule="exact"/>
      <w:ind w:left="32" w:right="20"/>
      <w:jc w:val="right"/>
    </w:pPr>
    <w:rPr>
      <w:rFonts w:eastAsia="Times New Roman" w:hAnsi="宋体"/>
      <w:spacing w:val="0"/>
      <w:kern w:val="0"/>
      <w:sz w:val="16"/>
      <w:szCs w:val="20"/>
      <w:lang w:val="en-GB"/>
    </w:rPr>
  </w:style>
  <w:style w:type="paragraph" w:customStyle="1" w:styleId="TBL-COLMNhd">
    <w:name w:val="TBL-COLMNhd"/>
    <w:basedOn w:val="a"/>
    <w:rsid w:val="00C77135"/>
    <w:pPr>
      <w:keepNext/>
      <w:keepLines/>
      <w:widowControl/>
      <w:tabs>
        <w:tab w:val="left" w:pos="-720"/>
      </w:tabs>
      <w:suppressAutoHyphens/>
      <w:spacing w:after="20" w:line="200" w:lineRule="exact"/>
      <w:ind w:right="-57"/>
      <w:jc w:val="center"/>
    </w:pPr>
    <w:rPr>
      <w:rFonts w:ascii="Optima" w:hAnsi="Optima"/>
      <w:spacing w:val="0"/>
      <w:kern w:val="0"/>
      <w:sz w:val="16"/>
      <w:szCs w:val="20"/>
      <w:lang w:val="en-GB"/>
    </w:rPr>
  </w:style>
  <w:style w:type="paragraph" w:styleId="ac">
    <w:name w:val="Balloon Text"/>
    <w:basedOn w:val="a"/>
    <w:semiHidden/>
    <w:rsid w:val="00A54F97"/>
    <w:rPr>
      <w:sz w:val="18"/>
      <w:szCs w:val="18"/>
    </w:rPr>
  </w:style>
  <w:style w:type="table" w:styleId="ad">
    <w:name w:val="Table Grid"/>
    <w:basedOn w:val="a2"/>
    <w:rsid w:val="00C7442B"/>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ph">
    <w:name w:val="Graph"/>
    <w:basedOn w:val="a1"/>
    <w:rsid w:val="0081079F"/>
  </w:style>
  <w:style w:type="character" w:customStyle="1" w:styleId="Char">
    <w:name w:val="页脚 Char"/>
    <w:basedOn w:val="a1"/>
    <w:link w:val="a5"/>
    <w:rsid w:val="00A11DD4"/>
    <w:rPr>
      <w:rFonts w:ascii="宋体" w:eastAsia="宋体"/>
      <w:spacing w:val="8"/>
      <w:kern w:val="2"/>
      <w:sz w:val="18"/>
      <w:szCs w:val="18"/>
      <w:lang w:val="en-US" w:eastAsia="zh-CN" w:bidi="ar-SA"/>
    </w:rPr>
  </w:style>
  <w:style w:type="paragraph" w:customStyle="1" w:styleId="StyleHeading2Chpt11ptJustifiedBefore0cmFirstline">
    <w:name w:val="Style Heading 2Chpt + 11 pt Justified Before:  0 cm First line:..."/>
    <w:basedOn w:val="2"/>
    <w:rsid w:val="00A9382F"/>
    <w:pPr>
      <w:keepNext/>
      <w:widowControl/>
      <w:numPr>
        <w:ilvl w:val="1"/>
        <w:numId w:val="1"/>
      </w:numPr>
      <w:spacing w:before="240" w:after="240" w:line="240" w:lineRule="auto"/>
    </w:pPr>
    <w:rPr>
      <w:rFonts w:eastAsia="Times New Roman"/>
      <w:bCs w:val="0"/>
      <w:caps/>
      <w:noProof/>
      <w:spacing w:val="0"/>
      <w:kern w:val="0"/>
      <w:sz w:val="22"/>
      <w:szCs w:val="22"/>
      <w:lang w:eastAsia="en-GB"/>
    </w:rPr>
  </w:style>
  <w:style w:type="paragraph" w:customStyle="1" w:styleId="BlankLine">
    <w:name w:val="BlankLine"/>
    <w:basedOn w:val="a"/>
    <w:next w:val="a"/>
    <w:rsid w:val="0026429E"/>
    <w:pPr>
      <w:widowControl/>
      <w:numPr>
        <w:numId w:val="5"/>
      </w:numPr>
      <w:spacing w:before="0" w:after="0" w:line="240" w:lineRule="auto"/>
      <w:jc w:val="left"/>
    </w:pPr>
    <w:rPr>
      <w:rFonts w:ascii="Times New Roman"/>
      <w:noProof/>
      <w:snapToGrid w:val="0"/>
      <w:spacing w:val="0"/>
      <w:kern w:val="0"/>
      <w:sz w:val="22"/>
      <w:szCs w:val="22"/>
    </w:rPr>
  </w:style>
  <w:style w:type="paragraph" w:customStyle="1" w:styleId="PgBrk">
    <w:name w:val="PgBrk"/>
    <w:basedOn w:val="a"/>
    <w:next w:val="1"/>
    <w:rsid w:val="0026429E"/>
    <w:pPr>
      <w:pageBreakBefore/>
      <w:widowControl/>
      <w:spacing w:before="120" w:after="0" w:line="14" w:lineRule="exact"/>
      <w:jc w:val="left"/>
    </w:pPr>
    <w:rPr>
      <w:rFonts w:ascii="Times New Roman"/>
      <w:noProof/>
      <w:snapToGrid w:val="0"/>
      <w:spacing w:val="0"/>
      <w:kern w:val="0"/>
      <w:sz w:val="22"/>
      <w:szCs w:val="22"/>
    </w:rPr>
  </w:style>
  <w:style w:type="paragraph" w:customStyle="1" w:styleId="HeadingAnnex">
    <w:name w:val="Heading Annex"/>
    <w:basedOn w:val="a"/>
    <w:next w:val="a"/>
    <w:rsid w:val="0026429E"/>
    <w:pPr>
      <w:keepNext/>
      <w:widowControl/>
      <w:pBdr>
        <w:top w:val="single" w:sz="6" w:space="1" w:color="auto"/>
        <w:bottom w:val="single" w:sz="6" w:space="1" w:color="auto"/>
      </w:pBdr>
      <w:spacing w:before="240" w:after="0" w:line="240" w:lineRule="auto"/>
      <w:ind w:left="709" w:hanging="709"/>
      <w:jc w:val="center"/>
    </w:pPr>
    <w:rPr>
      <w:rFonts w:ascii="Times New Roman Bold" w:hAnsi="Times New Roman Bold" w:cs="Times New Roman Bold"/>
      <w:b/>
      <w:bCs/>
      <w:caps/>
      <w:noProof/>
      <w:snapToGrid w:val="0"/>
      <w:spacing w:val="0"/>
      <w:kern w:val="0"/>
    </w:rPr>
  </w:style>
  <w:style w:type="paragraph" w:customStyle="1" w:styleId="SeqListLev1">
    <w:name w:val="Seq List Lev1"/>
    <w:basedOn w:val="a"/>
    <w:rsid w:val="0026429E"/>
    <w:pPr>
      <w:widowControl/>
      <w:numPr>
        <w:ilvl w:val="1"/>
        <w:numId w:val="5"/>
      </w:numPr>
      <w:spacing w:before="0" w:after="0" w:line="240" w:lineRule="auto"/>
      <w:jc w:val="left"/>
    </w:pPr>
    <w:rPr>
      <w:rFonts w:ascii="Times New Roman"/>
      <w:noProof/>
      <w:snapToGrid w:val="0"/>
      <w:spacing w:val="0"/>
      <w:kern w:val="0"/>
      <w:sz w:val="22"/>
      <w:szCs w:val="22"/>
    </w:rPr>
  </w:style>
  <w:style w:type="paragraph" w:customStyle="1" w:styleId="SeqListLev2">
    <w:name w:val="Seq List Lev2"/>
    <w:basedOn w:val="SeqListLev1"/>
    <w:rsid w:val="0026429E"/>
    <w:pPr>
      <w:numPr>
        <w:ilvl w:val="2"/>
      </w:numPr>
    </w:pPr>
  </w:style>
  <w:style w:type="paragraph" w:customStyle="1" w:styleId="SeqListLev3">
    <w:name w:val="Seq List Lev3"/>
    <w:basedOn w:val="SeqListLev2"/>
    <w:rsid w:val="0026429E"/>
    <w:pPr>
      <w:numPr>
        <w:ilvl w:val="3"/>
      </w:numPr>
    </w:pPr>
  </w:style>
  <w:style w:type="paragraph" w:customStyle="1" w:styleId="SeqListLev4">
    <w:name w:val="Seq List Lev4"/>
    <w:basedOn w:val="SeqListLev3"/>
    <w:rsid w:val="0026429E"/>
    <w:pPr>
      <w:numPr>
        <w:ilvl w:val="4"/>
      </w:numPr>
    </w:pPr>
  </w:style>
  <w:style w:type="paragraph" w:customStyle="1" w:styleId="1H1Part">
    <w:name w:val="标题 1H1Part"/>
    <w:basedOn w:val="1"/>
    <w:autoRedefine/>
    <w:rsid w:val="0026429E"/>
    <w:rPr>
      <w:rFonts w:eastAsia="黑体"/>
      <w:b w:val="0"/>
      <w:szCs w:val="28"/>
    </w:rPr>
  </w:style>
  <w:style w:type="paragraph" w:customStyle="1" w:styleId="DocTitle">
    <w:name w:val="DocTitle"/>
    <w:basedOn w:val="a"/>
    <w:qFormat/>
    <w:rsid w:val="009702B6"/>
    <w:pPr>
      <w:widowControl/>
      <w:spacing w:before="240" w:after="360" w:line="240" w:lineRule="auto"/>
      <w:jc w:val="center"/>
    </w:pPr>
    <w:rPr>
      <w:rFonts w:ascii="Times New Roman" w:cs="Akhbar MT"/>
      <w:bCs/>
      <w:color w:val="7F7F7F"/>
      <w:spacing w:val="0"/>
      <w:kern w:val="0"/>
      <w:sz w:val="56"/>
      <w:szCs w:val="72"/>
      <w:lang w:val="zh-CN" w:eastAsia="en-US"/>
    </w:rPr>
  </w:style>
  <w:style w:type="paragraph" w:customStyle="1" w:styleId="LanguageSymbol">
    <w:name w:val="LanguageSymbol"/>
    <w:basedOn w:val="a"/>
    <w:qFormat/>
    <w:rsid w:val="00180BDA"/>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character" w:customStyle="1" w:styleId="NewParaChar">
    <w:name w:val="NewPara Char"/>
    <w:basedOn w:val="a1"/>
    <w:link w:val="NewPara"/>
    <w:rsid w:val="00F30DBF"/>
    <w:rPr>
      <w:rFonts w:ascii="Garamond" w:hAnsi="Garamond"/>
      <w:b/>
      <w:sz w:val="24"/>
      <w:lang w:val="en-GB"/>
    </w:rPr>
  </w:style>
  <w:style w:type="paragraph" w:customStyle="1" w:styleId="BulletList">
    <w:name w:val="Bullet List"/>
    <w:basedOn w:val="ae"/>
    <w:link w:val="BulletListChar"/>
    <w:qFormat/>
    <w:rsid w:val="00F30DBF"/>
    <w:pPr>
      <w:widowControl/>
      <w:numPr>
        <w:numId w:val="7"/>
      </w:numPr>
      <w:spacing w:before="120" w:after="0" w:line="240" w:lineRule="auto"/>
      <w:contextualSpacing/>
      <w:jc w:val="left"/>
    </w:pPr>
    <w:rPr>
      <w:rFonts w:eastAsiaTheme="minorEastAsia" w:hAnsi="宋体" w:cs="宋体"/>
      <w:spacing w:val="0"/>
      <w:kern w:val="0"/>
      <w:sz w:val="22"/>
      <w:szCs w:val="30"/>
      <w:lang w:val="zh-CN" w:bidi="zh-CN"/>
    </w:rPr>
  </w:style>
  <w:style w:type="character" w:customStyle="1" w:styleId="BulletListChar">
    <w:name w:val="Bullet List Char"/>
    <w:basedOn w:val="a1"/>
    <w:link w:val="BulletList"/>
    <w:rsid w:val="00F30DBF"/>
    <w:rPr>
      <w:rFonts w:ascii="宋体" w:eastAsiaTheme="minorEastAsia" w:hAnsi="宋体" w:cs="宋体"/>
      <w:sz w:val="22"/>
      <w:szCs w:val="30"/>
      <w:lang w:val="zh-CN" w:bidi="zh-CN"/>
    </w:rPr>
  </w:style>
  <w:style w:type="paragraph" w:styleId="ae">
    <w:name w:val="List Paragraph"/>
    <w:basedOn w:val="a"/>
    <w:uiPriority w:val="34"/>
    <w:qFormat/>
    <w:rsid w:val="00F30DBF"/>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85C"/>
    <w:pPr>
      <w:widowControl w:val="0"/>
      <w:spacing w:before="60" w:after="120" w:line="400" w:lineRule="exact"/>
      <w:jc w:val="both"/>
    </w:pPr>
    <w:rPr>
      <w:rFonts w:ascii="宋体"/>
      <w:spacing w:val="8"/>
      <w:kern w:val="2"/>
      <w:sz w:val="24"/>
      <w:szCs w:val="24"/>
    </w:rPr>
  </w:style>
  <w:style w:type="paragraph" w:styleId="1">
    <w:name w:val="heading 1"/>
    <w:aliases w:val="H1,Part"/>
    <w:basedOn w:val="a"/>
    <w:next w:val="a"/>
    <w:autoRedefine/>
    <w:qFormat/>
    <w:rsid w:val="002759AB"/>
    <w:pPr>
      <w:numPr>
        <w:numId w:val="9"/>
      </w:numPr>
      <w:spacing w:before="240" w:after="240"/>
      <w:ind w:left="0" w:firstLine="0"/>
      <w:jc w:val="center"/>
      <w:outlineLvl w:val="0"/>
    </w:pPr>
    <w:rPr>
      <w:rFonts w:ascii="Times New Roman" w:eastAsia="楷体_GB2312"/>
      <w:b/>
      <w:sz w:val="28"/>
      <w:szCs w:val="34"/>
    </w:rPr>
  </w:style>
  <w:style w:type="paragraph" w:styleId="2">
    <w:name w:val="heading 2"/>
    <w:aliases w:val="H2,Chpt"/>
    <w:basedOn w:val="a"/>
    <w:next w:val="a0"/>
    <w:autoRedefine/>
    <w:qFormat/>
    <w:rsid w:val="007B027B"/>
    <w:pPr>
      <w:outlineLvl w:val="1"/>
    </w:pPr>
    <w:rPr>
      <w:rFonts w:ascii="Times New Roman" w:eastAsia="幼圆"/>
      <w:b/>
      <w:bCs/>
      <w:lang w:val="en-GB"/>
    </w:rPr>
  </w:style>
  <w:style w:type="paragraph" w:styleId="3">
    <w:name w:val="heading 3"/>
    <w:aliases w:val="H3,Sec"/>
    <w:basedOn w:val="a"/>
    <w:next w:val="a"/>
    <w:autoRedefine/>
    <w:qFormat/>
    <w:rsid w:val="007F1812"/>
    <w:pPr>
      <w:keepNext/>
      <w:outlineLvl w:val="2"/>
    </w:pPr>
    <w:rPr>
      <w:rFonts w:ascii="Times New Roman" w:eastAsia="楷体_GB2312"/>
      <w:b/>
      <w:bCs/>
      <w:kern w:val="0"/>
      <w:lang w:val="zh-CN"/>
    </w:rPr>
  </w:style>
  <w:style w:type="paragraph" w:styleId="4">
    <w:name w:val="heading 4"/>
    <w:aliases w:val="H4,MainPara"/>
    <w:basedOn w:val="paraNUM"/>
    <w:next w:val="paraNUM"/>
    <w:qFormat/>
    <w:rsid w:val="0025385C"/>
    <w:pPr>
      <w:keepNext/>
      <w:numPr>
        <w:numId w:val="2"/>
      </w:numPr>
      <w:spacing w:before="180"/>
      <w:jc w:val="center"/>
      <w:outlineLvl w:val="3"/>
    </w:pPr>
    <w:rPr>
      <w:rFonts w:ascii="楷体" w:eastAsia="楷体"/>
      <w:b/>
      <w:bCs/>
      <w:sz w:val="28"/>
      <w:szCs w:val="28"/>
    </w:rPr>
  </w:style>
  <w:style w:type="paragraph" w:styleId="5">
    <w:name w:val="heading 5"/>
    <w:aliases w:val="Subpara 2"/>
    <w:basedOn w:val="a"/>
    <w:next w:val="a"/>
    <w:qFormat/>
    <w:rsid w:val="00B0539D"/>
    <w:pPr>
      <w:spacing w:before="240" w:after="60"/>
      <w:outlineLvl w:val="4"/>
    </w:pPr>
    <w:rPr>
      <w:b/>
      <w:bCs/>
      <w:i/>
      <w:iCs/>
      <w:sz w:val="26"/>
      <w:szCs w:val="26"/>
    </w:rPr>
  </w:style>
  <w:style w:type="paragraph" w:styleId="6">
    <w:name w:val="heading 6"/>
    <w:aliases w:val="Subpara 3"/>
    <w:basedOn w:val="3"/>
    <w:next w:val="a"/>
    <w:qFormat/>
    <w:rsid w:val="00A9382F"/>
    <w:pPr>
      <w:spacing w:before="120" w:after="0" w:line="240" w:lineRule="auto"/>
      <w:outlineLvl w:val="5"/>
    </w:pPr>
    <w:rPr>
      <w:rFonts w:eastAsia="Times New Roman"/>
      <w:b w:val="0"/>
      <w:bCs w:val="0"/>
      <w:i/>
      <w:noProof/>
      <w:spacing w:val="0"/>
      <w:szCs w:val="20"/>
      <w:lang w:val="en-GB" w:eastAsia="en-GB"/>
    </w:rPr>
  </w:style>
  <w:style w:type="paragraph" w:styleId="7">
    <w:name w:val="heading 7"/>
    <w:aliases w:val="Subpara 4"/>
    <w:basedOn w:val="3"/>
    <w:next w:val="a"/>
    <w:qFormat/>
    <w:rsid w:val="00A9382F"/>
    <w:pPr>
      <w:spacing w:before="120" w:after="0" w:line="240" w:lineRule="auto"/>
      <w:outlineLvl w:val="6"/>
    </w:pPr>
    <w:rPr>
      <w:rFonts w:eastAsia="Times New Roman"/>
      <w:b w:val="0"/>
      <w:bCs w:val="0"/>
      <w:i/>
      <w:noProof/>
      <w:spacing w:val="0"/>
      <w:szCs w:val="20"/>
      <w:lang w:val="en-GB" w:eastAsia="en-GB"/>
    </w:rPr>
  </w:style>
  <w:style w:type="paragraph" w:styleId="8">
    <w:name w:val="heading 8"/>
    <w:aliases w:val="Subpara 5"/>
    <w:basedOn w:val="3"/>
    <w:next w:val="a"/>
    <w:qFormat/>
    <w:rsid w:val="00A9382F"/>
    <w:pPr>
      <w:spacing w:before="120" w:after="0" w:line="240" w:lineRule="auto"/>
      <w:outlineLvl w:val="7"/>
    </w:pPr>
    <w:rPr>
      <w:rFonts w:eastAsia="Times New Roman"/>
      <w:b w:val="0"/>
      <w:bCs w:val="0"/>
      <w:i/>
      <w:noProof/>
      <w:spacing w:val="0"/>
      <w:szCs w:val="20"/>
      <w:lang w:val="en-GB" w:eastAsia="en-GB"/>
    </w:rPr>
  </w:style>
  <w:style w:type="paragraph" w:styleId="9">
    <w:name w:val="heading 9"/>
    <w:aliases w:val="Subpara 6"/>
    <w:basedOn w:val="3"/>
    <w:next w:val="a"/>
    <w:qFormat/>
    <w:rsid w:val="00A9382F"/>
    <w:pPr>
      <w:tabs>
        <w:tab w:val="num" w:pos="360"/>
      </w:tabs>
      <w:spacing w:before="120" w:after="0" w:line="240" w:lineRule="auto"/>
      <w:outlineLvl w:val="8"/>
    </w:pPr>
    <w:rPr>
      <w:rFonts w:eastAsia="Times New Roman"/>
      <w:b w:val="0"/>
      <w:bCs w:val="0"/>
      <w:i/>
      <w:noProof/>
      <w:spacing w:val="0"/>
      <w:szCs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5385C"/>
    <w:pPr>
      <w:ind w:firstLine="420"/>
    </w:pPr>
  </w:style>
  <w:style w:type="paragraph" w:customStyle="1" w:styleId="paraNUM">
    <w:name w:val="paraNUM"/>
    <w:basedOn w:val="a"/>
    <w:rsid w:val="0025385C"/>
    <w:pPr>
      <w:widowControl/>
      <w:overflowPunct w:val="0"/>
      <w:autoSpaceDE w:val="0"/>
      <w:autoSpaceDN w:val="0"/>
      <w:adjustRightInd w:val="0"/>
      <w:textAlignment w:val="baseline"/>
    </w:pPr>
    <w:rPr>
      <w:kern w:val="0"/>
    </w:rPr>
  </w:style>
  <w:style w:type="paragraph" w:styleId="a4">
    <w:name w:val="header"/>
    <w:basedOn w:val="a"/>
    <w:rsid w:val="0025385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25385C"/>
    <w:pPr>
      <w:tabs>
        <w:tab w:val="center" w:pos="4153"/>
        <w:tab w:val="right" w:pos="8306"/>
      </w:tabs>
      <w:snapToGrid w:val="0"/>
      <w:jc w:val="left"/>
    </w:pPr>
    <w:rPr>
      <w:sz w:val="18"/>
      <w:szCs w:val="18"/>
    </w:rPr>
  </w:style>
  <w:style w:type="character" w:styleId="a6">
    <w:name w:val="page number"/>
    <w:basedOn w:val="a1"/>
    <w:rsid w:val="0025385C"/>
  </w:style>
  <w:style w:type="paragraph" w:customStyle="1" w:styleId="Style1">
    <w:name w:val="Style1"/>
    <w:basedOn w:val="2"/>
    <w:rsid w:val="0025385C"/>
    <w:pPr>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a7">
    <w:name w:val="Hyperlink"/>
    <w:basedOn w:val="a1"/>
    <w:rsid w:val="0025385C"/>
    <w:rPr>
      <w:color w:val="0000FF"/>
      <w:u w:val="single"/>
    </w:rPr>
  </w:style>
  <w:style w:type="paragraph" w:styleId="a8">
    <w:name w:val="Body Text Indent"/>
    <w:basedOn w:val="a"/>
    <w:rsid w:val="0025385C"/>
    <w:pPr>
      <w:tabs>
        <w:tab w:val="left" w:pos="510"/>
      </w:tabs>
      <w:ind w:left="510"/>
    </w:pPr>
    <w:rPr>
      <w:rFonts w:ascii="楷体" w:eastAsia="楷体"/>
      <w:i/>
      <w:iCs/>
    </w:rPr>
  </w:style>
  <w:style w:type="paragraph" w:styleId="a9">
    <w:name w:val="footnote text"/>
    <w:basedOn w:val="a"/>
    <w:autoRedefine/>
    <w:semiHidden/>
    <w:rsid w:val="00B84660"/>
    <w:pPr>
      <w:snapToGrid w:val="0"/>
      <w:spacing w:before="0" w:after="0" w:line="280" w:lineRule="exact"/>
    </w:pPr>
    <w:rPr>
      <w:rFonts w:ascii="Times New Roman"/>
      <w:sz w:val="18"/>
      <w:szCs w:val="18"/>
    </w:rPr>
  </w:style>
  <w:style w:type="character" w:styleId="aa">
    <w:name w:val="footnote reference"/>
    <w:basedOn w:val="a1"/>
    <w:semiHidden/>
    <w:rsid w:val="0025385C"/>
    <w:rPr>
      <w:vertAlign w:val="superscript"/>
    </w:rPr>
  </w:style>
  <w:style w:type="character" w:customStyle="1" w:styleId="Italic">
    <w:name w:val="Italic"/>
    <w:basedOn w:val="a1"/>
    <w:rsid w:val="0025385C"/>
    <w:rPr>
      <w:i/>
      <w:iCs/>
      <w:sz w:val="20"/>
      <w:szCs w:val="20"/>
    </w:rPr>
  </w:style>
  <w:style w:type="character" w:customStyle="1" w:styleId="Underline">
    <w:name w:val="Underline"/>
    <w:basedOn w:val="a1"/>
    <w:rsid w:val="0025385C"/>
    <w:rPr>
      <w:sz w:val="20"/>
      <w:szCs w:val="20"/>
      <w:u w:val="single"/>
    </w:rPr>
  </w:style>
  <w:style w:type="character" w:customStyle="1" w:styleId="y-logo-CHI">
    <w:name w:val="y-logo-CHI"/>
    <w:basedOn w:val="a1"/>
    <w:rsid w:val="0025385C"/>
  </w:style>
  <w:style w:type="paragraph" w:customStyle="1" w:styleId="RandListLev1">
    <w:name w:val="Rand List Lev1"/>
    <w:basedOn w:val="a"/>
    <w:rsid w:val="0025385C"/>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25385C"/>
    <w:rPr>
      <w:rFonts w:ascii="Courier New" w:hAnsi="Courier New"/>
      <w:vanish/>
      <w:color w:val="800080"/>
      <w:vertAlign w:val="subscript"/>
    </w:rPr>
  </w:style>
  <w:style w:type="paragraph" w:customStyle="1" w:styleId="MeetingInfo">
    <w:name w:val="MeetingInfo"/>
    <w:basedOn w:val="a"/>
    <w:rsid w:val="0025385C"/>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a1"/>
    <w:rsid w:val="0025385C"/>
    <w:rPr>
      <w:b/>
      <w:bCs/>
    </w:rPr>
  </w:style>
  <w:style w:type="character" w:customStyle="1" w:styleId="tw4winError">
    <w:name w:val="tw4winError"/>
    <w:rsid w:val="0025385C"/>
    <w:rPr>
      <w:color w:val="00FF00"/>
      <w:sz w:val="40"/>
      <w:szCs w:val="40"/>
    </w:rPr>
  </w:style>
  <w:style w:type="character" w:customStyle="1" w:styleId="tw4winTerm">
    <w:name w:val="tw4winTerm"/>
    <w:rsid w:val="0025385C"/>
    <w:rPr>
      <w:color w:val="0000FF"/>
    </w:rPr>
  </w:style>
  <w:style w:type="character" w:customStyle="1" w:styleId="tw4winPopup">
    <w:name w:val="tw4winPopup"/>
    <w:rsid w:val="0025385C"/>
    <w:rPr>
      <w:noProof w:val="0"/>
      <w:color w:val="008000"/>
    </w:rPr>
  </w:style>
  <w:style w:type="character" w:customStyle="1" w:styleId="tw4winJump">
    <w:name w:val="tw4winJump"/>
    <w:rsid w:val="0025385C"/>
    <w:rPr>
      <w:noProof w:val="0"/>
      <w:color w:val="008080"/>
    </w:rPr>
  </w:style>
  <w:style w:type="character" w:customStyle="1" w:styleId="tw4winExternal">
    <w:name w:val="tw4winExternal"/>
    <w:rsid w:val="0025385C"/>
    <w:rPr>
      <w:noProof w:val="0"/>
      <w:color w:val="808080"/>
    </w:rPr>
  </w:style>
  <w:style w:type="character" w:customStyle="1" w:styleId="tw4winInternal">
    <w:name w:val="tw4winInternal"/>
    <w:rsid w:val="0025385C"/>
    <w:rPr>
      <w:noProof w:val="0"/>
      <w:color w:val="FF0000"/>
    </w:rPr>
  </w:style>
  <w:style w:type="paragraph" w:customStyle="1" w:styleId="ab">
    <w:name w:val="Îáû÷íûé"/>
    <w:rsid w:val="00283C83"/>
    <w:pPr>
      <w:overflowPunct w:val="0"/>
      <w:autoSpaceDE w:val="0"/>
      <w:autoSpaceDN w:val="0"/>
      <w:adjustRightInd w:val="0"/>
      <w:textAlignment w:val="baseline"/>
    </w:pPr>
    <w:rPr>
      <w:lang w:val="ru-RU" w:eastAsia="zh-TW"/>
    </w:rPr>
  </w:style>
  <w:style w:type="paragraph" w:customStyle="1" w:styleId="BoxRandList1">
    <w:name w:val="Box RandList 1"/>
    <w:basedOn w:val="a"/>
    <w:autoRedefine/>
    <w:rsid w:val="00B0539D"/>
    <w:pPr>
      <w:keepNext/>
      <w:keepLines/>
      <w:widowControl/>
      <w:numPr>
        <w:numId w:val="4"/>
      </w:numPr>
      <w:pBdr>
        <w:left w:val="single" w:sz="6" w:space="12" w:color="00697A"/>
        <w:right w:val="single" w:sz="6" w:space="12" w:color="00697A"/>
      </w:pBdr>
      <w:shd w:val="pct15" w:color="00697A" w:fill="auto"/>
      <w:spacing w:before="0" w:after="0" w:line="240" w:lineRule="auto"/>
      <w:ind w:right="181"/>
    </w:pPr>
    <w:rPr>
      <w:rFonts w:ascii="Garamond" w:hAnsi="Garamond"/>
      <w:b/>
      <w:color w:val="00697A"/>
      <w:spacing w:val="0"/>
      <w:kern w:val="0"/>
      <w:szCs w:val="20"/>
      <w:lang w:val="en-GB"/>
    </w:rPr>
  </w:style>
  <w:style w:type="paragraph" w:customStyle="1" w:styleId="BoxText">
    <w:name w:val="Box Text"/>
    <w:basedOn w:val="a"/>
    <w:autoRedefine/>
    <w:rsid w:val="00B0539D"/>
    <w:pPr>
      <w:keepNext/>
      <w:keepLines/>
      <w:widowControl/>
      <w:pBdr>
        <w:left w:val="single" w:sz="6" w:space="3" w:color="00697A"/>
        <w:right w:val="single" w:sz="6" w:space="3" w:color="00697A"/>
      </w:pBdr>
      <w:shd w:val="pct15" w:color="00697A" w:fill="auto"/>
      <w:tabs>
        <w:tab w:val="left" w:pos="426"/>
      </w:tabs>
      <w:spacing w:before="0" w:after="0" w:line="240" w:lineRule="auto"/>
    </w:pPr>
    <w:rPr>
      <w:rFonts w:ascii="Garamond" w:hAnsi="Garamond"/>
      <w:b/>
      <w:color w:val="00697A"/>
      <w:spacing w:val="0"/>
      <w:kern w:val="0"/>
      <w:szCs w:val="20"/>
      <w:lang w:val="en-GB" w:eastAsia="en-GB"/>
    </w:rPr>
  </w:style>
  <w:style w:type="paragraph" w:customStyle="1" w:styleId="BoxTitle">
    <w:name w:val="Box Title"/>
    <w:basedOn w:val="a"/>
    <w:next w:val="BoxText"/>
    <w:autoRedefine/>
    <w:rsid w:val="001172C1"/>
    <w:pPr>
      <w:keepNext/>
      <w:keepLines/>
      <w:widowControl/>
      <w:pBdr>
        <w:top w:val="single" w:sz="6" w:space="7" w:color="00697A"/>
        <w:left w:val="single" w:sz="6" w:space="9" w:color="00697A"/>
        <w:right w:val="single" w:sz="6" w:space="9" w:color="00697A"/>
      </w:pBdr>
      <w:shd w:val="pct15" w:color="00697A" w:fill="auto"/>
      <w:spacing w:before="80" w:after="0" w:line="240" w:lineRule="auto"/>
      <w:ind w:left="119" w:right="119"/>
      <w:jc w:val="center"/>
    </w:pPr>
    <w:rPr>
      <w:rFonts w:ascii="Optima" w:eastAsia="楷体_GB2312" w:hAnsi="Optima" w:cs="Times New Roman Bold"/>
      <w:b/>
      <w:bCs/>
      <w:i/>
      <w:iCs/>
      <w:color w:val="00697A"/>
      <w:spacing w:val="0"/>
      <w:kern w:val="0"/>
      <w:sz w:val="22"/>
      <w:szCs w:val="18"/>
      <w:lang w:val="en-GB"/>
    </w:rPr>
  </w:style>
  <w:style w:type="paragraph" w:customStyle="1" w:styleId="EndBox">
    <w:name w:val="EndBox"/>
    <w:basedOn w:val="a"/>
    <w:next w:val="a"/>
    <w:link w:val="EndBoxChar"/>
    <w:autoRedefine/>
    <w:rsid w:val="00B0539D"/>
    <w:pPr>
      <w:keepNext/>
      <w:widowControl/>
      <w:pBdr>
        <w:left w:val="single" w:sz="6" w:space="3" w:color="00697A"/>
        <w:bottom w:val="single" w:sz="6" w:space="1" w:color="00697A"/>
        <w:right w:val="single" w:sz="6" w:space="3" w:color="00697A"/>
      </w:pBdr>
      <w:shd w:val="pct15" w:color="00697A" w:fill="auto"/>
      <w:spacing w:before="0" w:after="0" w:line="240" w:lineRule="auto"/>
      <w:jc w:val="center"/>
    </w:pPr>
    <w:rPr>
      <w:rFonts w:ascii="Garamond" w:hAnsi="Garamond"/>
      <w:color w:val="00697A"/>
      <w:sz w:val="12"/>
      <w:szCs w:val="12"/>
      <w:lang w:val="en-GB" w:eastAsia="en-US"/>
    </w:rPr>
  </w:style>
  <w:style w:type="paragraph" w:customStyle="1" w:styleId="NewPara">
    <w:name w:val="NewPara"/>
    <w:basedOn w:val="a"/>
    <w:next w:val="a"/>
    <w:link w:val="NewParaChar"/>
    <w:qFormat/>
    <w:rsid w:val="00B0539D"/>
    <w:pPr>
      <w:widowControl/>
      <w:tabs>
        <w:tab w:val="left" w:pos="709"/>
      </w:tabs>
      <w:spacing w:before="160" w:after="20" w:line="240" w:lineRule="auto"/>
      <w:jc w:val="center"/>
    </w:pPr>
    <w:rPr>
      <w:rFonts w:ascii="Garamond" w:hAnsi="Garamond"/>
      <w:b/>
      <w:spacing w:val="0"/>
      <w:kern w:val="0"/>
      <w:szCs w:val="20"/>
      <w:lang w:val="en-GB"/>
    </w:rPr>
  </w:style>
  <w:style w:type="character" w:customStyle="1" w:styleId="NroPara">
    <w:name w:val="NroPara"/>
    <w:basedOn w:val="a1"/>
    <w:rsid w:val="00B0539D"/>
  </w:style>
  <w:style w:type="paragraph" w:customStyle="1" w:styleId="TableEntry">
    <w:name w:val="TableEntry"/>
    <w:basedOn w:val="a"/>
    <w:rsid w:val="00B0539D"/>
    <w:pPr>
      <w:keepNext/>
      <w:keepLines/>
      <w:widowControl/>
      <w:spacing w:before="80" w:after="0" w:line="240" w:lineRule="auto"/>
      <w:jc w:val="center"/>
    </w:pPr>
    <w:rPr>
      <w:rFonts w:ascii="Optima" w:hAnsi="Optima"/>
      <w:b/>
      <w:spacing w:val="0"/>
      <w:kern w:val="0"/>
      <w:sz w:val="18"/>
      <w:szCs w:val="20"/>
      <w:lang w:val="en-GB"/>
    </w:rPr>
  </w:style>
  <w:style w:type="character" w:customStyle="1" w:styleId="EndBoxChar">
    <w:name w:val="EndBox Char"/>
    <w:basedOn w:val="a1"/>
    <w:link w:val="EndBox"/>
    <w:rsid w:val="00B0539D"/>
    <w:rPr>
      <w:rFonts w:ascii="Garamond" w:eastAsia="宋体" w:hAnsi="Garamond"/>
      <w:color w:val="00697A"/>
      <w:spacing w:val="8"/>
      <w:kern w:val="2"/>
      <w:sz w:val="12"/>
      <w:szCs w:val="12"/>
      <w:lang w:val="en-GB" w:eastAsia="en-US" w:bidi="ar-SA"/>
    </w:rPr>
  </w:style>
  <w:style w:type="paragraph" w:customStyle="1" w:styleId="StyleTBL-COLMNhdBefore006cmAfter004cmBefore0pt">
    <w:name w:val="Style TBL-COLMNhd + Before:  0.06 cm After:  0.04 cm Before:  0 pt"/>
    <w:basedOn w:val="a"/>
    <w:rsid w:val="00B0539D"/>
    <w:pPr>
      <w:keepNext/>
      <w:keepLines/>
      <w:widowControl/>
      <w:tabs>
        <w:tab w:val="left" w:pos="-720"/>
      </w:tabs>
      <w:suppressAutoHyphens/>
      <w:spacing w:before="0" w:after="20" w:line="200" w:lineRule="exact"/>
      <w:ind w:left="32" w:right="20"/>
      <w:jc w:val="center"/>
    </w:pPr>
    <w:rPr>
      <w:rFonts w:eastAsia="Times New Roman" w:hAnsi="宋体"/>
      <w:spacing w:val="0"/>
      <w:kern w:val="0"/>
      <w:sz w:val="16"/>
      <w:szCs w:val="20"/>
      <w:lang w:val="en-GB"/>
    </w:rPr>
  </w:style>
  <w:style w:type="paragraph" w:customStyle="1" w:styleId="StyleTableEntryBefore006cmAfter011cmBefore1pt2">
    <w:name w:val="Style TableEntry + Before:  0.06 cm After:  0.11 cm Before:  1 pt2"/>
    <w:basedOn w:val="TableEntry"/>
    <w:rsid w:val="00B0539D"/>
    <w:pPr>
      <w:spacing w:before="20"/>
      <w:ind w:left="32" w:right="62"/>
    </w:pPr>
    <w:rPr>
      <w:rFonts w:ascii="宋体" w:eastAsia="Times New Roman" w:hAnsi="宋体"/>
    </w:rPr>
  </w:style>
  <w:style w:type="paragraph" w:customStyle="1" w:styleId="StyleTBL-COLMNhdRightBefore006cmAfter004cmBefor">
    <w:name w:val="Style TBL-COLMNhd + Right Before:  0.06 cm After:  0.04 cm Befor..."/>
    <w:basedOn w:val="a"/>
    <w:rsid w:val="00B0539D"/>
    <w:pPr>
      <w:keepNext/>
      <w:keepLines/>
      <w:widowControl/>
      <w:tabs>
        <w:tab w:val="left" w:pos="-720"/>
      </w:tabs>
      <w:suppressAutoHyphens/>
      <w:spacing w:before="0" w:after="20" w:line="200" w:lineRule="exact"/>
      <w:ind w:left="32" w:right="20"/>
      <w:jc w:val="right"/>
    </w:pPr>
    <w:rPr>
      <w:rFonts w:eastAsia="Times New Roman" w:hAnsi="宋体"/>
      <w:spacing w:val="0"/>
      <w:kern w:val="0"/>
      <w:sz w:val="16"/>
      <w:szCs w:val="20"/>
      <w:lang w:val="en-GB"/>
    </w:rPr>
  </w:style>
  <w:style w:type="paragraph" w:customStyle="1" w:styleId="TBL-COLMNhd">
    <w:name w:val="TBL-COLMNhd"/>
    <w:basedOn w:val="a"/>
    <w:rsid w:val="00C77135"/>
    <w:pPr>
      <w:keepNext/>
      <w:keepLines/>
      <w:widowControl/>
      <w:tabs>
        <w:tab w:val="left" w:pos="-720"/>
      </w:tabs>
      <w:suppressAutoHyphens/>
      <w:spacing w:after="20" w:line="200" w:lineRule="exact"/>
      <w:ind w:right="-57"/>
      <w:jc w:val="center"/>
    </w:pPr>
    <w:rPr>
      <w:rFonts w:ascii="Optima" w:hAnsi="Optima"/>
      <w:spacing w:val="0"/>
      <w:kern w:val="0"/>
      <w:sz w:val="16"/>
      <w:szCs w:val="20"/>
      <w:lang w:val="en-GB"/>
    </w:rPr>
  </w:style>
  <w:style w:type="paragraph" w:styleId="ac">
    <w:name w:val="Balloon Text"/>
    <w:basedOn w:val="a"/>
    <w:semiHidden/>
    <w:rsid w:val="00A54F97"/>
    <w:rPr>
      <w:sz w:val="18"/>
      <w:szCs w:val="18"/>
    </w:rPr>
  </w:style>
  <w:style w:type="table" w:styleId="ad">
    <w:name w:val="Table Grid"/>
    <w:basedOn w:val="a2"/>
    <w:rsid w:val="00C7442B"/>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ph">
    <w:name w:val="Graph"/>
    <w:basedOn w:val="a1"/>
    <w:rsid w:val="0081079F"/>
  </w:style>
  <w:style w:type="character" w:customStyle="1" w:styleId="Char">
    <w:name w:val="页脚 Char"/>
    <w:basedOn w:val="a1"/>
    <w:link w:val="a5"/>
    <w:rsid w:val="00A11DD4"/>
    <w:rPr>
      <w:rFonts w:ascii="宋体" w:eastAsia="宋体"/>
      <w:spacing w:val="8"/>
      <w:kern w:val="2"/>
      <w:sz w:val="18"/>
      <w:szCs w:val="18"/>
      <w:lang w:val="en-US" w:eastAsia="zh-CN" w:bidi="ar-SA"/>
    </w:rPr>
  </w:style>
  <w:style w:type="paragraph" w:customStyle="1" w:styleId="StyleHeading2Chpt11ptJustifiedBefore0cmFirstline">
    <w:name w:val="Style Heading 2Chpt + 11 pt Justified Before:  0 cm First line:..."/>
    <w:basedOn w:val="2"/>
    <w:rsid w:val="00A9382F"/>
    <w:pPr>
      <w:keepNext/>
      <w:widowControl/>
      <w:numPr>
        <w:ilvl w:val="1"/>
        <w:numId w:val="1"/>
      </w:numPr>
      <w:spacing w:before="240" w:after="240" w:line="240" w:lineRule="auto"/>
    </w:pPr>
    <w:rPr>
      <w:rFonts w:eastAsia="Times New Roman"/>
      <w:bCs w:val="0"/>
      <w:caps/>
      <w:noProof/>
      <w:spacing w:val="0"/>
      <w:kern w:val="0"/>
      <w:sz w:val="22"/>
      <w:szCs w:val="22"/>
      <w:lang w:eastAsia="en-GB"/>
    </w:rPr>
  </w:style>
  <w:style w:type="paragraph" w:customStyle="1" w:styleId="BlankLine">
    <w:name w:val="BlankLine"/>
    <w:basedOn w:val="a"/>
    <w:next w:val="a"/>
    <w:rsid w:val="0026429E"/>
    <w:pPr>
      <w:widowControl/>
      <w:numPr>
        <w:numId w:val="5"/>
      </w:numPr>
      <w:spacing w:before="0" w:after="0" w:line="240" w:lineRule="auto"/>
      <w:jc w:val="left"/>
    </w:pPr>
    <w:rPr>
      <w:rFonts w:ascii="Times New Roman"/>
      <w:noProof/>
      <w:snapToGrid w:val="0"/>
      <w:spacing w:val="0"/>
      <w:kern w:val="0"/>
      <w:sz w:val="22"/>
      <w:szCs w:val="22"/>
    </w:rPr>
  </w:style>
  <w:style w:type="paragraph" w:customStyle="1" w:styleId="PgBrk">
    <w:name w:val="PgBrk"/>
    <w:basedOn w:val="a"/>
    <w:next w:val="1"/>
    <w:rsid w:val="0026429E"/>
    <w:pPr>
      <w:pageBreakBefore/>
      <w:widowControl/>
      <w:spacing w:before="120" w:after="0" w:line="14" w:lineRule="exact"/>
      <w:jc w:val="left"/>
    </w:pPr>
    <w:rPr>
      <w:rFonts w:ascii="Times New Roman"/>
      <w:noProof/>
      <w:snapToGrid w:val="0"/>
      <w:spacing w:val="0"/>
      <w:kern w:val="0"/>
      <w:sz w:val="22"/>
      <w:szCs w:val="22"/>
    </w:rPr>
  </w:style>
  <w:style w:type="paragraph" w:customStyle="1" w:styleId="HeadingAnnex">
    <w:name w:val="Heading Annex"/>
    <w:basedOn w:val="a"/>
    <w:next w:val="a"/>
    <w:rsid w:val="0026429E"/>
    <w:pPr>
      <w:keepNext/>
      <w:widowControl/>
      <w:pBdr>
        <w:top w:val="single" w:sz="6" w:space="1" w:color="auto"/>
        <w:bottom w:val="single" w:sz="6" w:space="1" w:color="auto"/>
      </w:pBdr>
      <w:spacing w:before="240" w:after="0" w:line="240" w:lineRule="auto"/>
      <w:ind w:left="709" w:hanging="709"/>
      <w:jc w:val="center"/>
    </w:pPr>
    <w:rPr>
      <w:rFonts w:ascii="Times New Roman Bold" w:hAnsi="Times New Roman Bold" w:cs="Times New Roman Bold"/>
      <w:b/>
      <w:bCs/>
      <w:caps/>
      <w:noProof/>
      <w:snapToGrid w:val="0"/>
      <w:spacing w:val="0"/>
      <w:kern w:val="0"/>
    </w:rPr>
  </w:style>
  <w:style w:type="paragraph" w:customStyle="1" w:styleId="SeqListLev1">
    <w:name w:val="Seq List Lev1"/>
    <w:basedOn w:val="a"/>
    <w:rsid w:val="0026429E"/>
    <w:pPr>
      <w:widowControl/>
      <w:numPr>
        <w:ilvl w:val="1"/>
        <w:numId w:val="5"/>
      </w:numPr>
      <w:spacing w:before="0" w:after="0" w:line="240" w:lineRule="auto"/>
      <w:jc w:val="left"/>
    </w:pPr>
    <w:rPr>
      <w:rFonts w:ascii="Times New Roman"/>
      <w:noProof/>
      <w:snapToGrid w:val="0"/>
      <w:spacing w:val="0"/>
      <w:kern w:val="0"/>
      <w:sz w:val="22"/>
      <w:szCs w:val="22"/>
    </w:rPr>
  </w:style>
  <w:style w:type="paragraph" w:customStyle="1" w:styleId="SeqListLev2">
    <w:name w:val="Seq List Lev2"/>
    <w:basedOn w:val="SeqListLev1"/>
    <w:rsid w:val="0026429E"/>
    <w:pPr>
      <w:numPr>
        <w:ilvl w:val="2"/>
      </w:numPr>
    </w:pPr>
  </w:style>
  <w:style w:type="paragraph" w:customStyle="1" w:styleId="SeqListLev3">
    <w:name w:val="Seq List Lev3"/>
    <w:basedOn w:val="SeqListLev2"/>
    <w:rsid w:val="0026429E"/>
    <w:pPr>
      <w:numPr>
        <w:ilvl w:val="3"/>
      </w:numPr>
    </w:pPr>
  </w:style>
  <w:style w:type="paragraph" w:customStyle="1" w:styleId="SeqListLev4">
    <w:name w:val="Seq List Lev4"/>
    <w:basedOn w:val="SeqListLev3"/>
    <w:rsid w:val="0026429E"/>
    <w:pPr>
      <w:numPr>
        <w:ilvl w:val="4"/>
      </w:numPr>
    </w:pPr>
  </w:style>
  <w:style w:type="paragraph" w:customStyle="1" w:styleId="1H1Part">
    <w:name w:val="标题 1H1Part"/>
    <w:basedOn w:val="1"/>
    <w:autoRedefine/>
    <w:rsid w:val="0026429E"/>
    <w:rPr>
      <w:rFonts w:eastAsia="黑体"/>
      <w:b w:val="0"/>
      <w:szCs w:val="28"/>
    </w:rPr>
  </w:style>
  <w:style w:type="paragraph" w:customStyle="1" w:styleId="DocTitle">
    <w:name w:val="DocTitle"/>
    <w:basedOn w:val="a"/>
    <w:qFormat/>
    <w:rsid w:val="009702B6"/>
    <w:pPr>
      <w:widowControl/>
      <w:spacing w:before="240" w:after="360" w:line="240" w:lineRule="auto"/>
      <w:jc w:val="center"/>
    </w:pPr>
    <w:rPr>
      <w:rFonts w:ascii="Times New Roman" w:cs="Akhbar MT"/>
      <w:bCs/>
      <w:color w:val="7F7F7F"/>
      <w:spacing w:val="0"/>
      <w:kern w:val="0"/>
      <w:sz w:val="56"/>
      <w:szCs w:val="72"/>
      <w:lang w:val="zh-CN" w:eastAsia="en-US"/>
    </w:rPr>
  </w:style>
  <w:style w:type="paragraph" w:customStyle="1" w:styleId="LanguageSymbol">
    <w:name w:val="LanguageSymbol"/>
    <w:basedOn w:val="a"/>
    <w:qFormat/>
    <w:rsid w:val="00180BDA"/>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character" w:customStyle="1" w:styleId="NewParaChar">
    <w:name w:val="NewPara Char"/>
    <w:basedOn w:val="a1"/>
    <w:link w:val="NewPara"/>
    <w:rsid w:val="00F30DBF"/>
    <w:rPr>
      <w:rFonts w:ascii="Garamond" w:hAnsi="Garamond"/>
      <w:b/>
      <w:sz w:val="24"/>
      <w:lang w:val="en-GB"/>
    </w:rPr>
  </w:style>
  <w:style w:type="paragraph" w:customStyle="1" w:styleId="BulletList">
    <w:name w:val="Bullet List"/>
    <w:basedOn w:val="ae"/>
    <w:link w:val="BulletListChar"/>
    <w:qFormat/>
    <w:rsid w:val="00F30DBF"/>
    <w:pPr>
      <w:widowControl/>
      <w:numPr>
        <w:numId w:val="7"/>
      </w:numPr>
      <w:spacing w:before="120" w:after="0" w:line="240" w:lineRule="auto"/>
      <w:contextualSpacing/>
      <w:jc w:val="left"/>
    </w:pPr>
    <w:rPr>
      <w:rFonts w:eastAsiaTheme="minorEastAsia" w:hAnsi="宋体" w:cs="宋体"/>
      <w:spacing w:val="0"/>
      <w:kern w:val="0"/>
      <w:sz w:val="22"/>
      <w:szCs w:val="30"/>
      <w:lang w:val="zh-CN" w:bidi="zh-CN"/>
    </w:rPr>
  </w:style>
  <w:style w:type="character" w:customStyle="1" w:styleId="BulletListChar">
    <w:name w:val="Bullet List Char"/>
    <w:basedOn w:val="a1"/>
    <w:link w:val="BulletList"/>
    <w:rsid w:val="00F30DBF"/>
    <w:rPr>
      <w:rFonts w:ascii="宋体" w:eastAsiaTheme="minorEastAsia" w:hAnsi="宋体" w:cs="宋体"/>
      <w:sz w:val="22"/>
      <w:szCs w:val="30"/>
      <w:lang w:val="zh-CN" w:bidi="zh-CN"/>
    </w:rPr>
  </w:style>
  <w:style w:type="paragraph" w:styleId="ae">
    <w:name w:val="List Paragraph"/>
    <w:basedOn w:val="a"/>
    <w:uiPriority w:val="34"/>
    <w:qFormat/>
    <w:rsid w:val="00F30DBF"/>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fao.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temp\aa-meeting.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aa-meeting.dot</Template>
  <TotalTime>21</TotalTime>
  <Pages>12</Pages>
  <Words>1688</Words>
  <Characters>9622</Characters>
  <Application>Microsoft Office Word</Application>
  <DocSecurity>0</DocSecurity>
  <Lines>80</Lines>
  <Paragraphs>22</Paragraphs>
  <ScaleCrop>false</ScaleCrop>
  <HeadingPairs>
    <vt:vector size="4" baseType="variant">
      <vt:variant>
        <vt:lpstr>Title</vt:lpstr>
      </vt:variant>
      <vt:variant>
        <vt:i4>1</vt:i4>
      </vt:variant>
      <vt:variant>
        <vt:lpstr>标题</vt:lpstr>
      </vt:variant>
      <vt:variant>
        <vt:i4>6</vt:i4>
      </vt:variant>
    </vt:vector>
  </HeadingPairs>
  <TitlesOfParts>
    <vt:vector size="7" baseType="lpstr">
      <vt:lpstr/>
      <vt:lpstr>亚洲及太平洋</vt:lpstr>
      <vt:lpstr>欧洲</vt:lpstr>
      <vt:lpstr>拉丁美洲及加勒比</vt:lpstr>
      <vt:lpstr>近东和北非</vt:lpstr>
      <vt:lpstr>北美洲</vt:lpstr>
      <vt:lpstr>撒哈拉以南非洲地区</vt:lpstr>
    </vt:vector>
  </TitlesOfParts>
  <Company>FAO of The UN</Company>
  <LinksUpToDate>false</LinksUpToDate>
  <CharactersWithSpaces>11288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FAO</dc:creator>
  <cp:lastModifiedBy>Xiaomei Wang (CPAM)</cp:lastModifiedBy>
  <cp:revision>174</cp:revision>
  <cp:lastPrinted>2015-07-09T09:44:00Z</cp:lastPrinted>
  <dcterms:created xsi:type="dcterms:W3CDTF">2015-07-09T09:28:00Z</dcterms:created>
  <dcterms:modified xsi:type="dcterms:W3CDTF">2015-07-09T09:51:00Z</dcterms:modified>
</cp:coreProperties>
</file>