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E3" w:rsidRPr="00EC6CD5" w:rsidRDefault="000914E3" w:rsidP="00105311">
      <w:bookmarkStart w:id="0" w:name="CoverBookmark"/>
      <w:bookmarkStart w:id="1" w:name="CoverTitleBookmark"/>
    </w:p>
    <w:p w:rsidR="000914E3" w:rsidRPr="002D049F" w:rsidRDefault="000914E3" w:rsidP="000914E3">
      <w:pPr>
        <w:pStyle w:val="DocTitle"/>
      </w:pPr>
      <w:r w:rsidRPr="002D049F">
        <w:rPr>
          <w:smallCaps/>
        </w:rPr>
        <w:t>Comité des pêches</w:t>
      </w:r>
    </w:p>
    <w:bookmarkEnd w:id="1" w:displacedByCustomXml="next"/>
    <w:sdt>
      <w:sdtPr>
        <w:alias w:val="Meeting Information"/>
        <w:tag w:val="Meeting Information"/>
        <w:id w:val="8308208"/>
      </w:sdtPr>
      <w:sdtEndPr/>
      <w:sdtContent>
        <w:p w:rsidR="000914E3" w:rsidRPr="002D049F" w:rsidRDefault="000914E3" w:rsidP="000914E3">
          <w:pPr>
            <w:pStyle w:val="MeetingInfo"/>
          </w:pPr>
          <w:r w:rsidRPr="002D049F">
            <w:t>SOUS-COMITÉ DE L'AQUACULTURE</w:t>
          </w:r>
        </w:p>
        <w:p w:rsidR="000914E3" w:rsidRPr="002D049F" w:rsidRDefault="000914E3" w:rsidP="000914E3">
          <w:pPr>
            <w:pStyle w:val="MeetingInfo"/>
          </w:pPr>
          <w:r w:rsidRPr="002D049F">
            <w:t>Huitième session</w:t>
          </w:r>
        </w:p>
        <w:p w:rsidR="000914E3" w:rsidRPr="002D049F" w:rsidRDefault="000914E3" w:rsidP="000914E3">
          <w:pPr>
            <w:pStyle w:val="MeetingInfo"/>
          </w:pPr>
          <w:r w:rsidRPr="002D049F">
            <w:t>Brasilia (Brésil), 5–9 octobre 2015</w:t>
          </w:r>
        </w:p>
        <w:p w:rsidR="000914E3" w:rsidRPr="002D049F" w:rsidRDefault="000914E3" w:rsidP="000914E3">
          <w:pPr>
            <w:pStyle w:val="MeetingInfo"/>
          </w:pPr>
          <w:r w:rsidRPr="002D049F">
            <w:t>ORDRE DU JOUR ET CALENDRIER PROVISOIRES</w:t>
          </w:r>
        </w:p>
      </w:sdtContent>
    </w:sdt>
    <w:p w:rsidR="000914E3" w:rsidRPr="002D049F" w:rsidRDefault="000914E3" w:rsidP="000914E3">
      <w:r w:rsidRPr="002D049F">
        <w:t xml:space="preserve"> </w:t>
      </w:r>
      <w:bookmarkEnd w:id="0"/>
      <w:r w:rsidRPr="002D049F">
        <w:t xml:space="preserve"> </w:t>
      </w:r>
      <w:bookmarkStart w:id="2" w:name="TableOfContentsRangeBookmark"/>
      <w:r w:rsidRPr="002D049F">
        <w:t xml:space="preserve"> </w:t>
      </w:r>
      <w:bookmarkEnd w:id="2"/>
      <w:r w:rsidRPr="002D049F">
        <w:t xml:space="preserve"> </w:t>
      </w:r>
      <w:bookmarkStart w:id="3" w:name="SummaryBoxBookmark"/>
      <w:r w:rsidRPr="002D049F">
        <w:t xml:space="preserve"> </w:t>
      </w:r>
      <w:bookmarkEnd w:id="3"/>
    </w:p>
    <w:tbl>
      <w:tblPr>
        <w:tblW w:w="9257" w:type="dxa"/>
        <w:tblLayout w:type="fixed"/>
        <w:tblLook w:val="0000" w:firstRow="0" w:lastRow="0" w:firstColumn="0" w:lastColumn="0" w:noHBand="0" w:noVBand="0"/>
      </w:tblPr>
      <w:tblGrid>
        <w:gridCol w:w="959"/>
        <w:gridCol w:w="5605"/>
        <w:gridCol w:w="65"/>
        <w:gridCol w:w="2628"/>
      </w:tblGrid>
      <w:tr w:rsidR="000914E3" w:rsidRPr="002D049F" w:rsidTr="00897A3E">
        <w:trPr>
          <w:cantSplit/>
        </w:trPr>
        <w:tc>
          <w:tcPr>
            <w:tcW w:w="9257" w:type="dxa"/>
            <w:gridSpan w:val="4"/>
          </w:tcPr>
          <w:p w:rsidR="000914E3" w:rsidRPr="002D049F" w:rsidRDefault="000914E3" w:rsidP="002D049F">
            <w:pPr>
              <w:spacing w:before="240"/>
              <w:jc w:val="center"/>
              <w:rPr>
                <w:b/>
              </w:rPr>
            </w:pPr>
            <w:r w:rsidRPr="002D049F">
              <w:rPr>
                <w:b/>
              </w:rPr>
              <w:t>Lundi 5 octobre 2015</w:t>
            </w:r>
          </w:p>
          <w:p w:rsidR="000914E3" w:rsidRPr="002D049F" w:rsidRDefault="000914E3" w:rsidP="00897A3E">
            <w:pPr>
              <w:jc w:val="center"/>
              <w:rPr>
                <w:b/>
              </w:rPr>
            </w:pPr>
          </w:p>
          <w:p w:rsidR="000914E3" w:rsidRPr="002D049F" w:rsidRDefault="000914E3" w:rsidP="00897A3E">
            <w:pPr>
              <w:jc w:val="center"/>
              <w:rPr>
                <w:b/>
              </w:rPr>
            </w:pPr>
            <w:r w:rsidRPr="002D049F">
              <w:rPr>
                <w:b/>
              </w:rPr>
              <w:t>Matin</w:t>
            </w:r>
            <w:r w:rsidR="00EC6CD5" w:rsidRPr="002D049F">
              <w:rPr>
                <w:b/>
              </w:rPr>
              <w:t>:</w:t>
            </w:r>
            <w:r w:rsidRPr="002D049F">
              <w:rPr>
                <w:b/>
              </w:rPr>
              <w:t xml:space="preserve"> 9 h 30</w:t>
            </w:r>
          </w:p>
          <w:p w:rsidR="000914E3" w:rsidRPr="002D049F" w:rsidRDefault="000914E3" w:rsidP="00897A3E">
            <w:pPr>
              <w:jc w:val="center"/>
              <w:rPr>
                <w:b/>
              </w:rPr>
            </w:pPr>
          </w:p>
        </w:tc>
      </w:tr>
      <w:tr w:rsidR="000914E3" w:rsidRPr="002D049F" w:rsidTr="00897A3E">
        <w:tc>
          <w:tcPr>
            <w:tcW w:w="959" w:type="dxa"/>
          </w:tcPr>
          <w:p w:rsidR="000914E3" w:rsidRPr="002D049F" w:rsidRDefault="000914E3" w:rsidP="00897A3E">
            <w:r w:rsidRPr="002D049F">
              <w:t>1.</w:t>
            </w:r>
          </w:p>
        </w:tc>
        <w:tc>
          <w:tcPr>
            <w:tcW w:w="5670" w:type="dxa"/>
            <w:gridSpan w:val="2"/>
          </w:tcPr>
          <w:p w:rsidR="000914E3" w:rsidRPr="002D049F" w:rsidRDefault="000914E3" w:rsidP="00897A3E">
            <w:r w:rsidRPr="002D049F">
              <w:t>Ouverture de la session</w:t>
            </w:r>
          </w:p>
          <w:p w:rsidR="000914E3" w:rsidRPr="002D049F" w:rsidRDefault="000914E3" w:rsidP="00897A3E"/>
        </w:tc>
        <w:tc>
          <w:tcPr>
            <w:tcW w:w="2628" w:type="dxa"/>
          </w:tcPr>
          <w:p w:rsidR="000914E3" w:rsidRPr="002D049F" w:rsidRDefault="000914E3" w:rsidP="00897A3E"/>
        </w:tc>
      </w:tr>
      <w:tr w:rsidR="000914E3" w:rsidRPr="002D049F" w:rsidTr="00897A3E">
        <w:tc>
          <w:tcPr>
            <w:tcW w:w="959" w:type="dxa"/>
          </w:tcPr>
          <w:p w:rsidR="000914E3" w:rsidRPr="002D049F" w:rsidRDefault="000914E3" w:rsidP="00897A3E">
            <w:r w:rsidRPr="002D049F">
              <w:t>2.</w:t>
            </w:r>
          </w:p>
        </w:tc>
        <w:tc>
          <w:tcPr>
            <w:tcW w:w="5670" w:type="dxa"/>
            <w:gridSpan w:val="2"/>
          </w:tcPr>
          <w:p w:rsidR="000914E3" w:rsidRPr="002D049F" w:rsidRDefault="000914E3" w:rsidP="00897A3E">
            <w:r w:rsidRPr="002D049F">
              <w:t>Adoption de l’ordre du jour, organisation de la session et désignation du Comité de rédaction: pour décision</w:t>
            </w:r>
          </w:p>
          <w:p w:rsidR="000914E3" w:rsidRPr="002D049F" w:rsidRDefault="000914E3" w:rsidP="00897A3E"/>
        </w:tc>
        <w:tc>
          <w:tcPr>
            <w:tcW w:w="2628" w:type="dxa"/>
          </w:tcPr>
          <w:p w:rsidR="000914E3" w:rsidRPr="002D049F" w:rsidRDefault="000914E3" w:rsidP="00897A3E">
            <w:r w:rsidRPr="002D049F">
              <w:t>COFI:AQ/VIII/2015/1</w:t>
            </w:r>
          </w:p>
          <w:p w:rsidR="000914E3" w:rsidRPr="002D049F" w:rsidRDefault="000914E3" w:rsidP="00897A3E"/>
        </w:tc>
      </w:tr>
      <w:tr w:rsidR="000914E3" w:rsidRPr="002D049F" w:rsidTr="00897A3E">
        <w:tc>
          <w:tcPr>
            <w:tcW w:w="959" w:type="dxa"/>
          </w:tcPr>
          <w:p w:rsidR="000914E3" w:rsidRPr="002D049F" w:rsidRDefault="000914E3" w:rsidP="00897A3E">
            <w:r w:rsidRPr="002D049F">
              <w:t>3.</w:t>
            </w:r>
          </w:p>
        </w:tc>
        <w:tc>
          <w:tcPr>
            <w:tcW w:w="5670" w:type="dxa"/>
            <w:gridSpan w:val="2"/>
          </w:tcPr>
          <w:p w:rsidR="000914E3" w:rsidRPr="002D049F" w:rsidRDefault="000914E3" w:rsidP="002D049F">
            <w:r w:rsidRPr="002D049F">
              <w:t>Efforts déployés par le Département des pêches et de l’aquaculture</w:t>
            </w:r>
            <w:r w:rsidR="000A2005" w:rsidRPr="002D049F">
              <w:t xml:space="preserve"> pour mettre en </w:t>
            </w:r>
            <w:r w:rsidR="00EC6CD5" w:rsidRPr="002D049F">
              <w:t>œuvre</w:t>
            </w:r>
            <w:r w:rsidR="000A2005" w:rsidRPr="002D049F">
              <w:t xml:space="preserve"> les recommandations formulées par le Sous-Comité de l'aquaculture du Comité des pêches à des sessions antérieures: pour examen et recommandation </w:t>
            </w:r>
          </w:p>
          <w:p w:rsidR="000914E3" w:rsidRPr="002D049F" w:rsidRDefault="000914E3" w:rsidP="00897A3E"/>
        </w:tc>
        <w:tc>
          <w:tcPr>
            <w:tcW w:w="2628" w:type="dxa"/>
          </w:tcPr>
          <w:p w:rsidR="000914E3" w:rsidRPr="002D049F" w:rsidRDefault="000914E3" w:rsidP="00897A3E">
            <w:r w:rsidRPr="002D049F">
              <w:t>COFI:AQ/VIII/2015/2</w:t>
            </w:r>
          </w:p>
        </w:tc>
      </w:tr>
      <w:tr w:rsidR="000914E3" w:rsidRPr="002D049F" w:rsidTr="00897A3E">
        <w:tc>
          <w:tcPr>
            <w:tcW w:w="959" w:type="dxa"/>
          </w:tcPr>
          <w:p w:rsidR="000914E3" w:rsidRPr="002D049F" w:rsidRDefault="000914E3" w:rsidP="00897A3E">
            <w:r w:rsidRPr="002D049F">
              <w:t>4.</w:t>
            </w:r>
          </w:p>
        </w:tc>
        <w:tc>
          <w:tcPr>
            <w:tcW w:w="5670" w:type="dxa"/>
            <w:gridSpan w:val="2"/>
          </w:tcPr>
          <w:p w:rsidR="000914E3" w:rsidRPr="002D049F" w:rsidRDefault="000A2005" w:rsidP="000A2005">
            <w:r w:rsidRPr="002D049F">
              <w:t xml:space="preserve">Rapports intérimaires sur la mise en </w:t>
            </w:r>
            <w:r w:rsidR="00EC6CD5" w:rsidRPr="002D049F">
              <w:t>œuvre</w:t>
            </w:r>
            <w:r w:rsidRPr="002D049F">
              <w:t xml:space="preserve"> des dispositions du Code de conduite pour une pêche responsable (CCPR), relatives à l’aquaculture et </w:t>
            </w:r>
            <w:r w:rsidR="00105311" w:rsidRPr="002D049F">
              <w:t xml:space="preserve">à </w:t>
            </w:r>
            <w:r w:rsidRPr="002D049F">
              <w:t>la pêche fondée sur l’élevage faisant appel au nouveau mécanisme d’établissement de rapports: pour examen et recomma</w:t>
            </w:r>
            <w:r w:rsidR="000914E3" w:rsidRPr="002D049F">
              <w:t>ndation</w:t>
            </w:r>
          </w:p>
          <w:p w:rsidR="000914E3" w:rsidRPr="002D049F" w:rsidRDefault="000914E3" w:rsidP="00897A3E"/>
        </w:tc>
        <w:tc>
          <w:tcPr>
            <w:tcW w:w="2628" w:type="dxa"/>
          </w:tcPr>
          <w:p w:rsidR="000914E3" w:rsidRPr="002D049F" w:rsidRDefault="000914E3" w:rsidP="00897A3E">
            <w:r w:rsidRPr="002D049F">
              <w:t>COFI:AQ/VIII/2015/3</w:t>
            </w:r>
          </w:p>
        </w:tc>
      </w:tr>
      <w:tr w:rsidR="000914E3" w:rsidRPr="002D049F" w:rsidTr="002D049F">
        <w:trPr>
          <w:cantSplit/>
        </w:trPr>
        <w:tc>
          <w:tcPr>
            <w:tcW w:w="959" w:type="dxa"/>
          </w:tcPr>
          <w:p w:rsidR="000914E3" w:rsidRPr="002D049F" w:rsidRDefault="000914E3" w:rsidP="00897A3E"/>
        </w:tc>
        <w:tc>
          <w:tcPr>
            <w:tcW w:w="5670" w:type="dxa"/>
            <w:gridSpan w:val="2"/>
          </w:tcPr>
          <w:p w:rsidR="000914E3" w:rsidRPr="002D049F" w:rsidRDefault="000914E3" w:rsidP="00897A3E"/>
        </w:tc>
        <w:tc>
          <w:tcPr>
            <w:tcW w:w="2628" w:type="dxa"/>
          </w:tcPr>
          <w:p w:rsidR="000914E3" w:rsidRPr="002D049F" w:rsidRDefault="000914E3" w:rsidP="00897A3E"/>
        </w:tc>
      </w:tr>
      <w:tr w:rsidR="000914E3" w:rsidRPr="002D049F" w:rsidTr="00897A3E">
        <w:trPr>
          <w:cantSplit/>
        </w:trPr>
        <w:tc>
          <w:tcPr>
            <w:tcW w:w="9257" w:type="dxa"/>
            <w:gridSpan w:val="4"/>
          </w:tcPr>
          <w:p w:rsidR="000914E3" w:rsidRPr="002D049F" w:rsidRDefault="000914E3" w:rsidP="00897A3E">
            <w:pPr>
              <w:jc w:val="center"/>
              <w:rPr>
                <w:b/>
              </w:rPr>
            </w:pPr>
            <w:r w:rsidRPr="002D049F">
              <w:rPr>
                <w:b/>
              </w:rPr>
              <w:lastRenderedPageBreak/>
              <w:t>A</w:t>
            </w:r>
            <w:r w:rsidR="007B6484" w:rsidRPr="002D049F">
              <w:rPr>
                <w:b/>
              </w:rPr>
              <w:t>près-midi</w:t>
            </w:r>
            <w:r w:rsidRPr="002D049F">
              <w:rPr>
                <w:b/>
              </w:rPr>
              <w:t>: 14</w:t>
            </w:r>
            <w:r w:rsidR="007B6484" w:rsidRPr="002D049F">
              <w:rPr>
                <w:b/>
              </w:rPr>
              <w:t xml:space="preserve"> h </w:t>
            </w:r>
            <w:r w:rsidRPr="002D049F">
              <w:rPr>
                <w:b/>
              </w:rPr>
              <w:t xml:space="preserve">30 </w:t>
            </w:r>
          </w:p>
          <w:p w:rsidR="000914E3" w:rsidRPr="002D049F" w:rsidRDefault="000914E3" w:rsidP="00897A3E"/>
        </w:tc>
      </w:tr>
      <w:tr w:rsidR="000914E3" w:rsidRPr="002D049F" w:rsidTr="00897A3E">
        <w:tc>
          <w:tcPr>
            <w:tcW w:w="959" w:type="dxa"/>
          </w:tcPr>
          <w:p w:rsidR="000914E3" w:rsidRPr="002D049F" w:rsidRDefault="000914E3" w:rsidP="00897A3E"/>
        </w:tc>
        <w:tc>
          <w:tcPr>
            <w:tcW w:w="5670" w:type="dxa"/>
            <w:gridSpan w:val="2"/>
          </w:tcPr>
          <w:p w:rsidR="000914E3" w:rsidRPr="002D049F" w:rsidRDefault="007532F9" w:rsidP="00897A3E">
            <w:r w:rsidRPr="002D049F">
              <w:t>F</w:t>
            </w:r>
            <w:r w:rsidR="007B6484" w:rsidRPr="002D049F">
              <w:t>in</w:t>
            </w:r>
          </w:p>
          <w:p w:rsidR="000914E3" w:rsidRPr="002D049F" w:rsidRDefault="000914E3" w:rsidP="00897A3E"/>
        </w:tc>
        <w:tc>
          <w:tcPr>
            <w:tcW w:w="2628" w:type="dxa"/>
          </w:tcPr>
          <w:p w:rsidR="000914E3" w:rsidRPr="002D049F" w:rsidRDefault="000914E3" w:rsidP="00897A3E"/>
        </w:tc>
      </w:tr>
      <w:tr w:rsidR="00233D41" w:rsidRPr="002D049F" w:rsidTr="00897A3E">
        <w:tc>
          <w:tcPr>
            <w:tcW w:w="959" w:type="dxa"/>
          </w:tcPr>
          <w:p w:rsidR="00233D41" w:rsidRPr="002D049F" w:rsidRDefault="00233D41" w:rsidP="00821CB7">
            <w:r w:rsidRPr="002D049F">
              <w:t>5.</w:t>
            </w:r>
          </w:p>
        </w:tc>
        <w:tc>
          <w:tcPr>
            <w:tcW w:w="5670" w:type="dxa"/>
            <w:gridSpan w:val="2"/>
          </w:tcPr>
          <w:p w:rsidR="00233D41" w:rsidRDefault="00233D41" w:rsidP="00821CB7">
            <w:r w:rsidRPr="002D049F">
              <w:t>Rapport du Secrétariat du Sous-Comité du commerce du poisson du Comité des pêches: pour information</w:t>
            </w:r>
          </w:p>
          <w:p w:rsidR="00233D41" w:rsidRPr="002D049F" w:rsidRDefault="00233D41" w:rsidP="00821CB7"/>
        </w:tc>
        <w:tc>
          <w:tcPr>
            <w:tcW w:w="2628" w:type="dxa"/>
          </w:tcPr>
          <w:p w:rsidR="00233D41" w:rsidRPr="002D049F" w:rsidRDefault="00233D41" w:rsidP="00821CB7">
            <w:r w:rsidRPr="002D049F">
              <w:t>COFI:AQ/VIII/2015/4</w:t>
            </w:r>
          </w:p>
        </w:tc>
      </w:tr>
      <w:tr w:rsidR="00233D41" w:rsidRPr="002D049F" w:rsidTr="00897A3E">
        <w:tc>
          <w:tcPr>
            <w:tcW w:w="959" w:type="dxa"/>
          </w:tcPr>
          <w:p w:rsidR="00233D41" w:rsidRPr="002D049F" w:rsidRDefault="00233D41" w:rsidP="00897A3E">
            <w:r w:rsidRPr="002D049F">
              <w:t>6.</w:t>
            </w:r>
          </w:p>
        </w:tc>
        <w:tc>
          <w:tcPr>
            <w:tcW w:w="5670" w:type="dxa"/>
            <w:gridSpan w:val="2"/>
          </w:tcPr>
          <w:p w:rsidR="00233D41" w:rsidRPr="002D049F" w:rsidRDefault="00233D41" w:rsidP="00897A3E">
            <w:r w:rsidRPr="002D049F">
              <w:t>Vers l’établissement d’un cadre stratégique pour le renforcement du rôle du Sous-Comité de l’aquaculture dans le développement de l’aquaculture: pour examen et décision</w:t>
            </w:r>
          </w:p>
          <w:p w:rsidR="00233D41" w:rsidRPr="002D049F" w:rsidRDefault="00233D41" w:rsidP="00897A3E"/>
        </w:tc>
        <w:tc>
          <w:tcPr>
            <w:tcW w:w="2628" w:type="dxa"/>
          </w:tcPr>
          <w:p w:rsidR="00233D41" w:rsidRPr="002D049F" w:rsidRDefault="00233D41" w:rsidP="00897A3E">
            <w:r w:rsidRPr="002D049F">
              <w:t>COFI:AQ/VIII/2015/5</w:t>
            </w:r>
          </w:p>
        </w:tc>
      </w:tr>
      <w:tr w:rsidR="00233D41" w:rsidRPr="002D049F" w:rsidTr="00897A3E">
        <w:trPr>
          <w:cantSplit/>
        </w:trPr>
        <w:tc>
          <w:tcPr>
            <w:tcW w:w="9257" w:type="dxa"/>
            <w:gridSpan w:val="4"/>
          </w:tcPr>
          <w:p w:rsidR="00233D41" w:rsidRPr="002D049F" w:rsidRDefault="00233D41" w:rsidP="00897A3E"/>
          <w:p w:rsidR="00233D41" w:rsidRPr="002D049F" w:rsidRDefault="00233D41" w:rsidP="00897A3E">
            <w:pPr>
              <w:jc w:val="center"/>
              <w:rPr>
                <w:b/>
              </w:rPr>
            </w:pPr>
            <w:r w:rsidRPr="002D049F">
              <w:rPr>
                <w:b/>
              </w:rPr>
              <w:t>Mardi  6 octobre 2015</w:t>
            </w:r>
          </w:p>
          <w:p w:rsidR="00233D41" w:rsidRPr="002D049F" w:rsidRDefault="00233D41" w:rsidP="00897A3E">
            <w:pPr>
              <w:jc w:val="center"/>
              <w:rPr>
                <w:b/>
              </w:rPr>
            </w:pPr>
          </w:p>
          <w:p w:rsidR="00233D41" w:rsidRPr="002D049F" w:rsidRDefault="00233D41" w:rsidP="00897A3E">
            <w:pPr>
              <w:jc w:val="center"/>
            </w:pPr>
            <w:r w:rsidRPr="002D049F">
              <w:rPr>
                <w:b/>
              </w:rPr>
              <w:t>Matin: 9 heures</w:t>
            </w:r>
          </w:p>
          <w:p w:rsidR="00233D41" w:rsidRPr="002D049F" w:rsidRDefault="00233D41" w:rsidP="00897A3E">
            <w:pPr>
              <w:jc w:val="center"/>
            </w:pPr>
          </w:p>
        </w:tc>
      </w:tr>
      <w:tr w:rsidR="00233D41" w:rsidRPr="002D049F" w:rsidTr="00897A3E">
        <w:tc>
          <w:tcPr>
            <w:tcW w:w="959" w:type="dxa"/>
          </w:tcPr>
          <w:p w:rsidR="00233D41" w:rsidRPr="002D049F" w:rsidRDefault="00233D41" w:rsidP="00897A3E"/>
        </w:tc>
        <w:tc>
          <w:tcPr>
            <w:tcW w:w="5605" w:type="dxa"/>
          </w:tcPr>
          <w:p w:rsidR="00233D41" w:rsidRPr="002D049F" w:rsidRDefault="00233D41" w:rsidP="00897A3E">
            <w:r w:rsidRPr="002D049F">
              <w:t>Fin</w:t>
            </w:r>
          </w:p>
          <w:p w:rsidR="00233D41" w:rsidRPr="002D049F" w:rsidRDefault="00233D41" w:rsidP="00897A3E"/>
        </w:tc>
        <w:tc>
          <w:tcPr>
            <w:tcW w:w="2693" w:type="dxa"/>
            <w:gridSpan w:val="2"/>
          </w:tcPr>
          <w:p w:rsidR="00233D41" w:rsidRPr="002D049F" w:rsidRDefault="00233D41" w:rsidP="00897A3E"/>
        </w:tc>
      </w:tr>
      <w:tr w:rsidR="00233D41" w:rsidRPr="002D049F" w:rsidTr="00897A3E">
        <w:tc>
          <w:tcPr>
            <w:tcW w:w="959" w:type="dxa"/>
          </w:tcPr>
          <w:p w:rsidR="00233D41" w:rsidRPr="002D049F" w:rsidRDefault="00233D41" w:rsidP="00821CB7">
            <w:r w:rsidRPr="002D049F">
              <w:t>7.</w:t>
            </w:r>
          </w:p>
        </w:tc>
        <w:tc>
          <w:tcPr>
            <w:tcW w:w="5605" w:type="dxa"/>
          </w:tcPr>
          <w:p w:rsidR="00233D41" w:rsidRDefault="00233D41" w:rsidP="00821CB7">
            <w:r w:rsidRPr="002D049F">
              <w:t>Rapport intérimaire sur l’application des Directives techniques de la FAO relatives à la certification en aquaculture et sur le cadre d’évaluation de la conformité aux Directives: pour examen et décision</w:t>
            </w:r>
          </w:p>
          <w:p w:rsidR="00233D41" w:rsidRPr="002D049F" w:rsidRDefault="00233D41" w:rsidP="00821CB7"/>
        </w:tc>
        <w:tc>
          <w:tcPr>
            <w:tcW w:w="2693" w:type="dxa"/>
            <w:gridSpan w:val="2"/>
          </w:tcPr>
          <w:p w:rsidR="00233D41" w:rsidRPr="002D049F" w:rsidRDefault="00233D41" w:rsidP="00821CB7">
            <w:r w:rsidRPr="002D049F">
              <w:t>COFI:AQ/VIII/2015/6</w:t>
            </w:r>
          </w:p>
          <w:p w:rsidR="00233D41" w:rsidRPr="002D049F" w:rsidRDefault="00233D41" w:rsidP="00821CB7"/>
        </w:tc>
      </w:tr>
      <w:tr w:rsidR="00233D41" w:rsidRPr="002D049F" w:rsidTr="00897A3E">
        <w:tc>
          <w:tcPr>
            <w:tcW w:w="959" w:type="dxa"/>
          </w:tcPr>
          <w:p w:rsidR="00233D41" w:rsidRPr="002D049F" w:rsidRDefault="00233D41" w:rsidP="00897A3E">
            <w:r w:rsidRPr="002D049F">
              <w:t>8.</w:t>
            </w:r>
          </w:p>
          <w:p w:rsidR="00233D41" w:rsidRPr="002D049F" w:rsidRDefault="00233D41" w:rsidP="00897A3E"/>
        </w:tc>
        <w:tc>
          <w:tcPr>
            <w:tcW w:w="5605" w:type="dxa"/>
          </w:tcPr>
          <w:p w:rsidR="00233D41" w:rsidRPr="002D049F" w:rsidRDefault="00233D41" w:rsidP="00897A3E">
            <w:r w:rsidRPr="002D049F">
              <w:t>L’Initiative de la FAO en faveur de la croissance bleue et l’aquaculture: pour information et examen</w:t>
            </w:r>
          </w:p>
          <w:p w:rsidR="00233D41" w:rsidRPr="002D049F" w:rsidRDefault="00233D41" w:rsidP="00897A3E"/>
        </w:tc>
        <w:tc>
          <w:tcPr>
            <w:tcW w:w="2693" w:type="dxa"/>
            <w:gridSpan w:val="2"/>
          </w:tcPr>
          <w:p w:rsidR="00233D41" w:rsidRPr="002D049F" w:rsidRDefault="00233D41" w:rsidP="00897A3E">
            <w:r w:rsidRPr="002D049F">
              <w:t>COFI:AQ/VII</w:t>
            </w:r>
            <w:r>
              <w:t>I</w:t>
            </w:r>
            <w:r w:rsidRPr="002D049F">
              <w:t>/2015/7</w:t>
            </w:r>
          </w:p>
          <w:p w:rsidR="00233D41" w:rsidRPr="002D049F" w:rsidRDefault="00233D41" w:rsidP="00897A3E"/>
        </w:tc>
      </w:tr>
      <w:tr w:rsidR="00233D41" w:rsidRPr="002D049F" w:rsidTr="00897A3E">
        <w:trPr>
          <w:cantSplit/>
        </w:trPr>
        <w:tc>
          <w:tcPr>
            <w:tcW w:w="9257" w:type="dxa"/>
            <w:gridSpan w:val="4"/>
          </w:tcPr>
          <w:p w:rsidR="00233D41" w:rsidRPr="002D049F" w:rsidRDefault="00233D41" w:rsidP="00897A3E">
            <w:pPr>
              <w:jc w:val="center"/>
              <w:rPr>
                <w:b/>
              </w:rPr>
            </w:pPr>
          </w:p>
          <w:p w:rsidR="00233D41" w:rsidRPr="002D049F" w:rsidRDefault="00233D41" w:rsidP="00897A3E">
            <w:pPr>
              <w:jc w:val="center"/>
              <w:rPr>
                <w:b/>
              </w:rPr>
            </w:pPr>
            <w:r w:rsidRPr="002D049F">
              <w:rPr>
                <w:b/>
              </w:rPr>
              <w:t>Après-midi: 14 heures</w:t>
            </w:r>
            <w:bookmarkStart w:id="4" w:name="OLE_LINK1"/>
            <w:r w:rsidRPr="002D049F">
              <w:rPr>
                <w:b/>
              </w:rPr>
              <w:t xml:space="preserve"> </w:t>
            </w:r>
            <w:bookmarkEnd w:id="4"/>
          </w:p>
          <w:p w:rsidR="00233D41" w:rsidRPr="002D049F" w:rsidRDefault="00233D41" w:rsidP="00897A3E">
            <w:pPr>
              <w:jc w:val="center"/>
              <w:rPr>
                <w:b/>
              </w:rPr>
            </w:pPr>
          </w:p>
        </w:tc>
      </w:tr>
      <w:tr w:rsidR="00233D41" w:rsidRPr="002D049F" w:rsidTr="00897A3E">
        <w:tc>
          <w:tcPr>
            <w:tcW w:w="959" w:type="dxa"/>
          </w:tcPr>
          <w:p w:rsidR="00233D41" w:rsidRPr="002D049F" w:rsidRDefault="00233D41" w:rsidP="00897A3E"/>
        </w:tc>
        <w:tc>
          <w:tcPr>
            <w:tcW w:w="5605" w:type="dxa"/>
          </w:tcPr>
          <w:p w:rsidR="00233D41" w:rsidRPr="002D049F" w:rsidRDefault="00233D41" w:rsidP="00897A3E">
            <w:r w:rsidRPr="002D049F">
              <w:t>Fin</w:t>
            </w:r>
            <w:r w:rsidRPr="002D049F">
              <w:br/>
            </w:r>
          </w:p>
        </w:tc>
        <w:tc>
          <w:tcPr>
            <w:tcW w:w="2693" w:type="dxa"/>
            <w:gridSpan w:val="2"/>
          </w:tcPr>
          <w:p w:rsidR="00233D41" w:rsidRPr="002D049F" w:rsidRDefault="00233D41" w:rsidP="00897A3E"/>
        </w:tc>
      </w:tr>
      <w:tr w:rsidR="00233D41" w:rsidRPr="002D049F" w:rsidTr="00897A3E">
        <w:tc>
          <w:tcPr>
            <w:tcW w:w="959" w:type="dxa"/>
          </w:tcPr>
          <w:p w:rsidR="00233D41" w:rsidRPr="002D049F" w:rsidRDefault="00233D41" w:rsidP="00821CB7">
            <w:r w:rsidRPr="002D049F">
              <w:t>9.</w:t>
            </w:r>
          </w:p>
        </w:tc>
        <w:tc>
          <w:tcPr>
            <w:tcW w:w="5605" w:type="dxa"/>
          </w:tcPr>
          <w:p w:rsidR="00233D41" w:rsidRDefault="00233D41" w:rsidP="00821CB7">
            <w:r w:rsidRPr="002D049F">
              <w:t>Recherche et formation au service du développement de l’aquaculture: pour examen et décision</w:t>
            </w:r>
          </w:p>
          <w:p w:rsidR="00233D41" w:rsidRPr="002D049F" w:rsidRDefault="00233D41" w:rsidP="00821CB7"/>
        </w:tc>
        <w:tc>
          <w:tcPr>
            <w:tcW w:w="2693" w:type="dxa"/>
            <w:gridSpan w:val="2"/>
          </w:tcPr>
          <w:p w:rsidR="00233D41" w:rsidRPr="002D049F" w:rsidRDefault="00233D41" w:rsidP="00821CB7">
            <w:r w:rsidRPr="002D049F">
              <w:t>COFI:AQ/VII</w:t>
            </w:r>
            <w:r>
              <w:t>I</w:t>
            </w:r>
            <w:r w:rsidRPr="002D049F">
              <w:t>/2015/8</w:t>
            </w:r>
          </w:p>
        </w:tc>
      </w:tr>
      <w:tr w:rsidR="00233D41" w:rsidRPr="002D049F" w:rsidTr="00897A3E">
        <w:tc>
          <w:tcPr>
            <w:tcW w:w="959" w:type="dxa"/>
          </w:tcPr>
          <w:p w:rsidR="00233D41" w:rsidRPr="002D049F" w:rsidRDefault="00233D41" w:rsidP="00897A3E">
            <w:r w:rsidRPr="002D049F">
              <w:t>10.</w:t>
            </w:r>
          </w:p>
        </w:tc>
        <w:tc>
          <w:tcPr>
            <w:tcW w:w="5605" w:type="dxa"/>
          </w:tcPr>
          <w:p w:rsidR="00233D41" w:rsidRPr="002D049F" w:rsidRDefault="00233D41" w:rsidP="00897A3E">
            <w:r w:rsidRPr="002D049F">
              <w:t xml:space="preserve">Amélioration des moyens d’existence grâce à un emploi décent dans l’aquaculture: pour examen </w:t>
            </w:r>
          </w:p>
          <w:p w:rsidR="00233D41" w:rsidRPr="002D049F" w:rsidRDefault="00233D41" w:rsidP="00897A3E"/>
        </w:tc>
        <w:tc>
          <w:tcPr>
            <w:tcW w:w="2693" w:type="dxa"/>
            <w:gridSpan w:val="2"/>
          </w:tcPr>
          <w:p w:rsidR="00233D41" w:rsidRPr="002D049F" w:rsidRDefault="00233D41" w:rsidP="00897A3E">
            <w:r w:rsidRPr="002D049F">
              <w:t>COFI:AQ/VIII/2015/9</w:t>
            </w:r>
          </w:p>
        </w:tc>
      </w:tr>
      <w:tr w:rsidR="00233D41" w:rsidRPr="002D049F" w:rsidTr="00897A3E">
        <w:tc>
          <w:tcPr>
            <w:tcW w:w="959" w:type="dxa"/>
          </w:tcPr>
          <w:p w:rsidR="00233D41" w:rsidRPr="002D049F" w:rsidRDefault="00233D41" w:rsidP="00897A3E"/>
        </w:tc>
        <w:tc>
          <w:tcPr>
            <w:tcW w:w="5605" w:type="dxa"/>
          </w:tcPr>
          <w:p w:rsidR="00233D41" w:rsidRPr="002D049F" w:rsidRDefault="00233D41" w:rsidP="00EC6CD5"/>
        </w:tc>
        <w:tc>
          <w:tcPr>
            <w:tcW w:w="2693" w:type="dxa"/>
            <w:gridSpan w:val="2"/>
          </w:tcPr>
          <w:p w:rsidR="00233D41" w:rsidRPr="002D049F" w:rsidRDefault="00233D41" w:rsidP="00897A3E"/>
        </w:tc>
      </w:tr>
    </w:tbl>
    <w:p w:rsidR="000914E3" w:rsidRPr="002D049F" w:rsidRDefault="000914E3" w:rsidP="000914E3">
      <w:r w:rsidRPr="002D049F">
        <w:br w:type="page"/>
      </w:r>
    </w:p>
    <w:tbl>
      <w:tblPr>
        <w:tblW w:w="9257" w:type="dxa"/>
        <w:tblLayout w:type="fixed"/>
        <w:tblLook w:val="0000" w:firstRow="0" w:lastRow="0" w:firstColumn="0" w:lastColumn="0" w:noHBand="0" w:noVBand="0"/>
      </w:tblPr>
      <w:tblGrid>
        <w:gridCol w:w="959"/>
        <w:gridCol w:w="5605"/>
        <w:gridCol w:w="65"/>
        <w:gridCol w:w="2628"/>
      </w:tblGrid>
      <w:tr w:rsidR="000914E3" w:rsidRPr="002D049F" w:rsidTr="00897A3E">
        <w:trPr>
          <w:cantSplit/>
        </w:trPr>
        <w:tc>
          <w:tcPr>
            <w:tcW w:w="9257" w:type="dxa"/>
            <w:gridSpan w:val="4"/>
          </w:tcPr>
          <w:p w:rsidR="000914E3" w:rsidRPr="002D049F" w:rsidRDefault="00EC6CD5" w:rsidP="00897A3E">
            <w:pPr>
              <w:jc w:val="center"/>
              <w:rPr>
                <w:b/>
              </w:rPr>
            </w:pPr>
            <w:r w:rsidRPr="002D049F">
              <w:rPr>
                <w:b/>
              </w:rPr>
              <w:lastRenderedPageBreak/>
              <w:t>Mercredi</w:t>
            </w:r>
            <w:r w:rsidR="000914E3" w:rsidRPr="002D049F">
              <w:rPr>
                <w:b/>
              </w:rPr>
              <w:t xml:space="preserve"> 7 </w:t>
            </w:r>
            <w:r w:rsidRPr="002D049F">
              <w:rPr>
                <w:b/>
              </w:rPr>
              <w:t>octobre</w:t>
            </w:r>
            <w:r w:rsidR="000914E3" w:rsidRPr="002D049F">
              <w:rPr>
                <w:b/>
              </w:rPr>
              <w:t xml:space="preserve"> 2015</w:t>
            </w:r>
          </w:p>
          <w:p w:rsidR="000914E3" w:rsidRPr="002D049F" w:rsidRDefault="000914E3" w:rsidP="00897A3E">
            <w:pPr>
              <w:jc w:val="center"/>
              <w:rPr>
                <w:b/>
              </w:rPr>
            </w:pPr>
          </w:p>
          <w:p w:rsidR="000914E3" w:rsidRPr="002D049F" w:rsidRDefault="000914E3" w:rsidP="00EC6CD5">
            <w:pPr>
              <w:jc w:val="center"/>
              <w:rPr>
                <w:b/>
              </w:rPr>
            </w:pPr>
            <w:r w:rsidRPr="002D049F">
              <w:rPr>
                <w:b/>
              </w:rPr>
              <w:t>M</w:t>
            </w:r>
            <w:r w:rsidR="00EC6CD5" w:rsidRPr="002D049F">
              <w:rPr>
                <w:b/>
              </w:rPr>
              <w:t>atin</w:t>
            </w:r>
            <w:r w:rsidRPr="002D049F">
              <w:rPr>
                <w:b/>
              </w:rPr>
              <w:t xml:space="preserve">: </w:t>
            </w:r>
            <w:r w:rsidR="00EC6CD5" w:rsidRPr="002D049F">
              <w:rPr>
                <w:b/>
              </w:rPr>
              <w:t>9 heures</w:t>
            </w:r>
          </w:p>
          <w:p w:rsidR="002D049F" w:rsidRPr="002D049F" w:rsidRDefault="002D049F" w:rsidP="00EC6CD5">
            <w:pPr>
              <w:jc w:val="center"/>
              <w:rPr>
                <w:b/>
              </w:rPr>
            </w:pPr>
          </w:p>
        </w:tc>
      </w:tr>
      <w:tr w:rsidR="000914E3" w:rsidRPr="002D049F" w:rsidTr="00897A3E">
        <w:tc>
          <w:tcPr>
            <w:tcW w:w="959" w:type="dxa"/>
          </w:tcPr>
          <w:p w:rsidR="000914E3" w:rsidRPr="002D049F" w:rsidRDefault="000914E3" w:rsidP="00897A3E"/>
        </w:tc>
        <w:tc>
          <w:tcPr>
            <w:tcW w:w="5605" w:type="dxa"/>
          </w:tcPr>
          <w:p w:rsidR="000914E3" w:rsidRPr="002D049F" w:rsidRDefault="00EC6CD5" w:rsidP="00897A3E">
            <w:r w:rsidRPr="002D049F">
              <w:t>Fin</w:t>
            </w:r>
          </w:p>
          <w:p w:rsidR="000914E3" w:rsidRPr="002D049F" w:rsidRDefault="000914E3" w:rsidP="00897A3E"/>
        </w:tc>
        <w:tc>
          <w:tcPr>
            <w:tcW w:w="2693" w:type="dxa"/>
            <w:gridSpan w:val="2"/>
          </w:tcPr>
          <w:p w:rsidR="000914E3" w:rsidRPr="002D049F" w:rsidRDefault="000914E3" w:rsidP="00897A3E"/>
        </w:tc>
      </w:tr>
      <w:tr w:rsidR="00233D41" w:rsidRPr="002D049F" w:rsidTr="00897A3E">
        <w:tc>
          <w:tcPr>
            <w:tcW w:w="959" w:type="dxa"/>
          </w:tcPr>
          <w:p w:rsidR="00233D41" w:rsidRPr="002D049F" w:rsidRDefault="00233D41" w:rsidP="00821CB7">
            <w:r w:rsidRPr="002D049F">
              <w:t>11.</w:t>
            </w:r>
          </w:p>
        </w:tc>
        <w:tc>
          <w:tcPr>
            <w:tcW w:w="5605" w:type="dxa"/>
          </w:tcPr>
          <w:p w:rsidR="00233D41" w:rsidRDefault="00233D41" w:rsidP="00821CB7">
            <w:r w:rsidRPr="002D049F">
              <w:t>Efforts passés, actuels et à venir visant à améliorer les données, informations et statistiques relatives à l’aquaculture: pour examen et décision</w:t>
            </w:r>
            <w:r w:rsidRPr="002D049F" w:rsidDel="00280C4F">
              <w:t xml:space="preserve"> </w:t>
            </w:r>
          </w:p>
          <w:p w:rsidR="00233D41" w:rsidRPr="002D049F" w:rsidRDefault="00233D41" w:rsidP="00821CB7"/>
        </w:tc>
        <w:tc>
          <w:tcPr>
            <w:tcW w:w="2693" w:type="dxa"/>
            <w:gridSpan w:val="2"/>
          </w:tcPr>
          <w:p w:rsidR="00233D41" w:rsidRPr="002D049F" w:rsidRDefault="00233D41" w:rsidP="00821CB7">
            <w:r w:rsidRPr="002D049F">
              <w:t>COFI:AQ/VIII/2015/10</w:t>
            </w:r>
          </w:p>
        </w:tc>
      </w:tr>
      <w:tr w:rsidR="00233D41" w:rsidRPr="002D049F" w:rsidTr="00897A3E">
        <w:trPr>
          <w:cantSplit/>
        </w:trPr>
        <w:tc>
          <w:tcPr>
            <w:tcW w:w="9257" w:type="dxa"/>
            <w:gridSpan w:val="4"/>
          </w:tcPr>
          <w:p w:rsidR="00233D41" w:rsidRPr="002D049F" w:rsidRDefault="00233D41" w:rsidP="00897A3E">
            <w:pPr>
              <w:jc w:val="center"/>
              <w:rPr>
                <w:b/>
              </w:rPr>
            </w:pPr>
          </w:p>
          <w:p w:rsidR="00233D41" w:rsidRPr="002D049F" w:rsidRDefault="00233D41" w:rsidP="00897A3E">
            <w:pPr>
              <w:jc w:val="center"/>
              <w:rPr>
                <w:b/>
              </w:rPr>
            </w:pPr>
            <w:r w:rsidRPr="002D049F">
              <w:rPr>
                <w:b/>
              </w:rPr>
              <w:t>Après-midi: 14 heures</w:t>
            </w:r>
          </w:p>
          <w:p w:rsidR="00233D41" w:rsidRPr="002D049F" w:rsidRDefault="00233D41" w:rsidP="00897A3E">
            <w:pPr>
              <w:jc w:val="center"/>
              <w:rPr>
                <w:b/>
              </w:rPr>
            </w:pPr>
          </w:p>
        </w:tc>
      </w:tr>
      <w:tr w:rsidR="00233D41" w:rsidRPr="002D049F" w:rsidTr="00897A3E">
        <w:tc>
          <w:tcPr>
            <w:tcW w:w="959" w:type="dxa"/>
          </w:tcPr>
          <w:p w:rsidR="00233D41" w:rsidRPr="002D049F" w:rsidRDefault="00233D41" w:rsidP="00821CB7">
            <w:r w:rsidRPr="002D049F">
              <w:t>12.</w:t>
            </w:r>
          </w:p>
        </w:tc>
        <w:tc>
          <w:tcPr>
            <w:tcW w:w="5605" w:type="dxa"/>
          </w:tcPr>
          <w:p w:rsidR="00233D41" w:rsidRDefault="00233D41" w:rsidP="00821CB7">
            <w:r w:rsidRPr="002D049F">
              <w:t>Événement spécial ayant pour thème «La contribution de l’aquaculture à la sécurité alimentaire et nutritionnelle, à la réduction de la pauvreté et aux économies nationales: expériences concrètes»</w:t>
            </w:r>
          </w:p>
          <w:p w:rsidR="00233D41" w:rsidRPr="002D049F" w:rsidRDefault="00233D41" w:rsidP="00821CB7"/>
        </w:tc>
        <w:tc>
          <w:tcPr>
            <w:tcW w:w="2693" w:type="dxa"/>
            <w:gridSpan w:val="2"/>
          </w:tcPr>
          <w:p w:rsidR="00233D41" w:rsidRPr="002D049F" w:rsidRDefault="00233D41" w:rsidP="00821CB7">
            <w:r w:rsidRPr="002D049F">
              <w:t>COFI/AQ/VIII/2015/11</w:t>
            </w:r>
          </w:p>
          <w:p w:rsidR="00233D41" w:rsidRPr="002D049F" w:rsidRDefault="00233D41" w:rsidP="00821CB7"/>
        </w:tc>
      </w:tr>
      <w:tr w:rsidR="00233D41" w:rsidRPr="002D049F" w:rsidTr="00897A3E">
        <w:tc>
          <w:tcPr>
            <w:tcW w:w="959" w:type="dxa"/>
          </w:tcPr>
          <w:p w:rsidR="00233D41" w:rsidRPr="002D049F" w:rsidRDefault="00233D41" w:rsidP="00897A3E">
            <w:r w:rsidRPr="002D049F">
              <w:t>13.</w:t>
            </w:r>
          </w:p>
          <w:p w:rsidR="00233D41" w:rsidRPr="002D049F" w:rsidRDefault="00233D41" w:rsidP="00897A3E"/>
        </w:tc>
        <w:tc>
          <w:tcPr>
            <w:tcW w:w="5605" w:type="dxa"/>
          </w:tcPr>
          <w:p w:rsidR="00233D41" w:rsidRPr="002D049F" w:rsidRDefault="00233D41" w:rsidP="00897A3E">
            <w:r w:rsidRPr="002D049F">
              <w:t>Élection du Président et des vice-présidents de la neuvième session du Sous-Comité de l’aquaculture du Comité des pêches</w:t>
            </w:r>
          </w:p>
          <w:p w:rsidR="00233D41" w:rsidRPr="002D049F" w:rsidRDefault="00233D41" w:rsidP="00897A3E"/>
        </w:tc>
        <w:tc>
          <w:tcPr>
            <w:tcW w:w="2693" w:type="dxa"/>
            <w:gridSpan w:val="2"/>
          </w:tcPr>
          <w:p w:rsidR="00233D41" w:rsidRPr="002D049F" w:rsidRDefault="00233D41" w:rsidP="00897A3E"/>
        </w:tc>
      </w:tr>
      <w:tr w:rsidR="00233D41" w:rsidRPr="002D049F" w:rsidTr="00897A3E">
        <w:tc>
          <w:tcPr>
            <w:tcW w:w="959" w:type="dxa"/>
          </w:tcPr>
          <w:p w:rsidR="00233D41" w:rsidRPr="002D049F" w:rsidRDefault="00233D41" w:rsidP="00897A3E">
            <w:r w:rsidRPr="002D049F">
              <w:t>14.</w:t>
            </w:r>
          </w:p>
          <w:p w:rsidR="00233D41" w:rsidRPr="002D049F" w:rsidRDefault="00233D41" w:rsidP="00897A3E"/>
        </w:tc>
        <w:tc>
          <w:tcPr>
            <w:tcW w:w="5605" w:type="dxa"/>
          </w:tcPr>
          <w:p w:rsidR="00233D41" w:rsidRPr="002D049F" w:rsidRDefault="00233D41" w:rsidP="00897A3E">
            <w:r w:rsidRPr="002D049F">
              <w:t>Questions diverses</w:t>
            </w:r>
          </w:p>
          <w:p w:rsidR="00233D41" w:rsidRPr="002D049F" w:rsidRDefault="00233D41" w:rsidP="00897A3E"/>
        </w:tc>
        <w:tc>
          <w:tcPr>
            <w:tcW w:w="2693" w:type="dxa"/>
            <w:gridSpan w:val="2"/>
          </w:tcPr>
          <w:p w:rsidR="00233D41" w:rsidRPr="002D049F" w:rsidRDefault="00233D41" w:rsidP="00897A3E"/>
        </w:tc>
      </w:tr>
      <w:tr w:rsidR="00233D41" w:rsidRPr="002D049F" w:rsidTr="002D049F">
        <w:trPr>
          <w:trHeight w:val="499"/>
        </w:trPr>
        <w:tc>
          <w:tcPr>
            <w:tcW w:w="959" w:type="dxa"/>
          </w:tcPr>
          <w:p w:rsidR="00233D41" w:rsidRPr="002D049F" w:rsidRDefault="00233D41" w:rsidP="00897A3E">
            <w:r w:rsidRPr="002D049F">
              <w:t>15.</w:t>
            </w:r>
          </w:p>
        </w:tc>
        <w:tc>
          <w:tcPr>
            <w:tcW w:w="5605" w:type="dxa"/>
          </w:tcPr>
          <w:p w:rsidR="00233D41" w:rsidRPr="002D049F" w:rsidRDefault="00233D41" w:rsidP="00EC6CD5">
            <w:r w:rsidRPr="002D049F">
              <w:t>Date et lieu de la neuvième session</w:t>
            </w:r>
          </w:p>
        </w:tc>
        <w:tc>
          <w:tcPr>
            <w:tcW w:w="2693" w:type="dxa"/>
            <w:gridSpan w:val="2"/>
          </w:tcPr>
          <w:p w:rsidR="00233D41" w:rsidRPr="002D049F" w:rsidRDefault="00233D41" w:rsidP="00897A3E"/>
        </w:tc>
      </w:tr>
      <w:tr w:rsidR="00233D41" w:rsidRPr="002D049F" w:rsidTr="00897A3E">
        <w:trPr>
          <w:cantSplit/>
        </w:trPr>
        <w:tc>
          <w:tcPr>
            <w:tcW w:w="9257" w:type="dxa"/>
            <w:gridSpan w:val="4"/>
          </w:tcPr>
          <w:p w:rsidR="00233D41" w:rsidRPr="002D049F" w:rsidRDefault="00233D41" w:rsidP="00897A3E">
            <w:pPr>
              <w:jc w:val="center"/>
            </w:pPr>
            <w:r w:rsidRPr="002D049F">
              <w:br w:type="page"/>
            </w:r>
          </w:p>
          <w:p w:rsidR="00233D41" w:rsidRPr="002D049F" w:rsidRDefault="00233D41" w:rsidP="00897A3E">
            <w:pPr>
              <w:jc w:val="center"/>
              <w:rPr>
                <w:b/>
              </w:rPr>
            </w:pPr>
            <w:r w:rsidRPr="002D049F">
              <w:rPr>
                <w:b/>
              </w:rPr>
              <w:t>Jeudi 8 octobre 2015</w:t>
            </w:r>
          </w:p>
          <w:p w:rsidR="00233D41" w:rsidRPr="002D049F" w:rsidRDefault="00233D41" w:rsidP="00897A3E"/>
        </w:tc>
      </w:tr>
      <w:tr w:rsidR="00233D41" w:rsidRPr="002D049F" w:rsidTr="00897A3E">
        <w:tc>
          <w:tcPr>
            <w:tcW w:w="959" w:type="dxa"/>
          </w:tcPr>
          <w:p w:rsidR="00233D41" w:rsidRPr="002D049F" w:rsidRDefault="00233D41" w:rsidP="00897A3E"/>
        </w:tc>
        <w:tc>
          <w:tcPr>
            <w:tcW w:w="5605" w:type="dxa"/>
          </w:tcPr>
          <w:p w:rsidR="00233D41" w:rsidRPr="002D049F" w:rsidRDefault="00233D41" w:rsidP="00EC6CD5">
            <w:r w:rsidRPr="002D049F">
              <w:t>Visites sur le terrain</w:t>
            </w:r>
          </w:p>
        </w:tc>
        <w:tc>
          <w:tcPr>
            <w:tcW w:w="2693" w:type="dxa"/>
            <w:gridSpan w:val="2"/>
          </w:tcPr>
          <w:p w:rsidR="00233D41" w:rsidRPr="002D049F" w:rsidRDefault="00233D41" w:rsidP="00897A3E"/>
        </w:tc>
      </w:tr>
      <w:tr w:rsidR="00233D41" w:rsidRPr="002D049F" w:rsidTr="00897A3E">
        <w:trPr>
          <w:cantSplit/>
        </w:trPr>
        <w:tc>
          <w:tcPr>
            <w:tcW w:w="9257" w:type="dxa"/>
            <w:gridSpan w:val="4"/>
          </w:tcPr>
          <w:p w:rsidR="00233D41" w:rsidRPr="002D049F" w:rsidRDefault="00233D41" w:rsidP="00897A3E"/>
          <w:p w:rsidR="00233D41" w:rsidRPr="002D049F" w:rsidRDefault="00233D41" w:rsidP="00897A3E">
            <w:pPr>
              <w:jc w:val="center"/>
              <w:rPr>
                <w:b/>
              </w:rPr>
            </w:pPr>
            <w:r w:rsidRPr="002D049F">
              <w:rPr>
                <w:b/>
              </w:rPr>
              <w:t>Vendredi 9 octobre 2015</w:t>
            </w:r>
          </w:p>
          <w:p w:rsidR="00233D41" w:rsidRPr="002D049F" w:rsidRDefault="00233D41" w:rsidP="00897A3E"/>
          <w:p w:rsidR="00233D41" w:rsidRPr="002D049F" w:rsidRDefault="00233D41" w:rsidP="00897A3E">
            <w:pPr>
              <w:jc w:val="center"/>
            </w:pPr>
            <w:r w:rsidRPr="002D049F">
              <w:rPr>
                <w:b/>
              </w:rPr>
              <w:t>Matinée</w:t>
            </w:r>
          </w:p>
          <w:p w:rsidR="00233D41" w:rsidRPr="002D049F" w:rsidRDefault="00233D41" w:rsidP="00897A3E">
            <w:pPr>
              <w:jc w:val="center"/>
              <w:rPr>
                <w:b/>
              </w:rPr>
            </w:pPr>
          </w:p>
        </w:tc>
      </w:tr>
      <w:tr w:rsidR="00233D41" w:rsidRPr="002D049F" w:rsidTr="00897A3E">
        <w:tc>
          <w:tcPr>
            <w:tcW w:w="959" w:type="dxa"/>
          </w:tcPr>
          <w:p w:rsidR="00233D41" w:rsidRPr="002D049F" w:rsidRDefault="00233D41" w:rsidP="00897A3E"/>
        </w:tc>
        <w:tc>
          <w:tcPr>
            <w:tcW w:w="5605" w:type="dxa"/>
          </w:tcPr>
          <w:p w:rsidR="00233D41" w:rsidRPr="002D049F" w:rsidRDefault="00233D41" w:rsidP="00897A3E">
            <w:r w:rsidRPr="002D049F">
              <w:t>Libre</w:t>
            </w:r>
          </w:p>
        </w:tc>
        <w:tc>
          <w:tcPr>
            <w:tcW w:w="2693" w:type="dxa"/>
            <w:gridSpan w:val="2"/>
          </w:tcPr>
          <w:p w:rsidR="00233D41" w:rsidRPr="002D049F" w:rsidRDefault="00233D41" w:rsidP="00897A3E"/>
        </w:tc>
      </w:tr>
      <w:tr w:rsidR="00233D41" w:rsidRPr="002D049F" w:rsidTr="00897A3E">
        <w:trPr>
          <w:cantSplit/>
        </w:trPr>
        <w:tc>
          <w:tcPr>
            <w:tcW w:w="9257" w:type="dxa"/>
            <w:gridSpan w:val="4"/>
          </w:tcPr>
          <w:p w:rsidR="00233D41" w:rsidRPr="002D049F" w:rsidRDefault="00233D41" w:rsidP="00897A3E">
            <w:pPr>
              <w:jc w:val="center"/>
              <w:rPr>
                <w:b/>
              </w:rPr>
            </w:pPr>
          </w:p>
          <w:p w:rsidR="00233D41" w:rsidRPr="002D049F" w:rsidRDefault="00233D41" w:rsidP="00897A3E">
            <w:pPr>
              <w:jc w:val="center"/>
              <w:rPr>
                <w:b/>
              </w:rPr>
            </w:pPr>
            <w:r w:rsidRPr="002D049F">
              <w:rPr>
                <w:b/>
              </w:rPr>
              <w:t xml:space="preserve">Après-midi: 14 h 30 </w:t>
            </w:r>
          </w:p>
          <w:p w:rsidR="00233D41" w:rsidRPr="002D049F" w:rsidRDefault="00233D41" w:rsidP="00897A3E"/>
        </w:tc>
      </w:tr>
      <w:tr w:rsidR="00233D41" w:rsidRPr="002D049F" w:rsidTr="00897A3E">
        <w:tc>
          <w:tcPr>
            <w:tcW w:w="959" w:type="dxa"/>
          </w:tcPr>
          <w:p w:rsidR="00233D41" w:rsidRPr="002D049F" w:rsidRDefault="00233D41" w:rsidP="00897A3E">
            <w:r w:rsidRPr="002D049F">
              <w:t>16.</w:t>
            </w:r>
          </w:p>
        </w:tc>
        <w:tc>
          <w:tcPr>
            <w:tcW w:w="5670" w:type="dxa"/>
            <w:gridSpan w:val="2"/>
          </w:tcPr>
          <w:p w:rsidR="00233D41" w:rsidRPr="002D049F" w:rsidRDefault="00233D41" w:rsidP="00EC6CD5">
            <w:r w:rsidRPr="002D049F">
              <w:t>Adoption du rapport</w:t>
            </w:r>
            <w:bookmarkStart w:id="5" w:name="_GoBack"/>
            <w:bookmarkEnd w:id="5"/>
          </w:p>
        </w:tc>
        <w:tc>
          <w:tcPr>
            <w:tcW w:w="2628" w:type="dxa"/>
          </w:tcPr>
          <w:p w:rsidR="00233D41" w:rsidRPr="002D049F" w:rsidRDefault="00233D41" w:rsidP="00897A3E"/>
        </w:tc>
      </w:tr>
    </w:tbl>
    <w:p w:rsidR="0022317E" w:rsidRPr="002D049F" w:rsidRDefault="0022317E"/>
    <w:sectPr w:rsidR="0022317E" w:rsidRPr="002D049F" w:rsidSect="002D049F">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68" w:rsidRDefault="00923968" w:rsidP="000914E3">
      <w:pPr>
        <w:spacing w:before="0"/>
      </w:pPr>
      <w:r>
        <w:separator/>
      </w:r>
    </w:p>
  </w:endnote>
  <w:endnote w:type="continuationSeparator" w:id="0">
    <w:p w:rsidR="00923968" w:rsidRDefault="00923968" w:rsidP="000914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khbar MT">
    <w:altName w:val="Times New Roman"/>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233D41">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E3" w:rsidRDefault="000914E3">
    <w:pPr>
      <w:pStyle w:val="Footer"/>
    </w:pPr>
  </w:p>
  <w:p w:rsidR="00032041" w:rsidRDefault="00233D41">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Pr="00233D41" w:rsidRDefault="000A2005" w:rsidP="001612D9">
          <w:pPr>
            <w:pStyle w:val="Note"/>
            <w:textboxTightWrap w:val="allLines"/>
            <w:rPr>
              <w:lang w:val="es-ES_tradnl"/>
            </w:rPr>
          </w:pPr>
          <w:r>
            <w:t>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w:t>
          </w:r>
        </w:p>
      </w:tc>
    </w:tr>
  </w:tbl>
  <w:p w:rsidR="009C0B0C" w:rsidRPr="009C0B0C" w:rsidRDefault="00923968" w:rsidP="001612D9">
    <w:pPr>
      <w:rPr>
        <w:lang w:val="en-US"/>
      </w:rPr>
    </w:pPr>
    <w:bookmarkStart w:id="12" w:name="FooterInformationBookmark"/>
    <w:r w:rsidRPr="00233D41">
      <w:rPr>
        <w:lang w:val="es-ES_tradnl"/>
      </w:rPr>
      <w:t xml:space="preserve"> </w:t>
    </w:r>
    <w:bookmarkEnd w:id="12"/>
    <w:r w:rsidR="002D049F">
      <w:rPr>
        <w:lang w:val="en-US"/>
      </w:rPr>
      <w:t>MO116/f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68" w:rsidRDefault="00923968" w:rsidP="000914E3">
      <w:pPr>
        <w:spacing w:before="0"/>
      </w:pPr>
      <w:r>
        <w:separator/>
      </w:r>
    </w:p>
  </w:footnote>
  <w:footnote w:type="continuationSeparator" w:id="0">
    <w:p w:rsidR="00923968" w:rsidRDefault="00923968" w:rsidP="000914E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70" w:rsidRPr="001A0BFF" w:rsidRDefault="00923968" w:rsidP="001A0BFF">
    <w:pPr>
      <w:pStyle w:val="Underlined"/>
    </w:pPr>
    <w:r>
      <w:fldChar w:fldCharType="begin"/>
    </w:r>
    <w:r>
      <w:instrText xml:space="preserve"> PAGE  \* Arabic  \* MERGEFORMAT </w:instrText>
    </w:r>
    <w:r>
      <w:fldChar w:fldCharType="separate"/>
    </w:r>
    <w:r w:rsidR="00233D41">
      <w:rPr>
        <w:noProof/>
      </w:rPr>
      <w:t>4</w:t>
    </w:r>
    <w:r>
      <w:rPr>
        <w:noProof/>
      </w:rPr>
      <w:fldChar w:fldCharType="end"/>
    </w:r>
    <w:r>
      <w:ptab w:relativeTo="margin" w:alignment="right" w:leader="none"/>
    </w:r>
    <w:r w:rsidRPr="00172E88">
      <w:t xml:space="preserve"> </w:t>
    </w:r>
    <w:bookmarkStart w:id="6" w:name="EvenIdentificationBookmark"/>
    <w:r>
      <w:t xml:space="preserve">COFI:AQ/VIII/2015/1 </w:t>
    </w:r>
    <w:bookmarkEnd w:id="6"/>
  </w:p>
  <w:p w:rsidR="001612D9" w:rsidRPr="00B76770" w:rsidRDefault="00233D41" w:rsidP="00B76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70" w:rsidRPr="001A0BFF" w:rsidRDefault="002D049F" w:rsidP="002D049F">
    <w:pPr>
      <w:pStyle w:val="Underlined"/>
      <w:tabs>
        <w:tab w:val="right" w:pos="9071"/>
      </w:tabs>
    </w:pPr>
    <w:bookmarkStart w:id="7" w:name="OddIdentificationBookmark"/>
    <w:r>
      <w:t>COFI:AQ/VIII/2015/1</w:t>
    </w:r>
    <w:bookmarkEnd w:id="7"/>
    <w:r>
      <w:tab/>
    </w:r>
    <w:r w:rsidR="00923968">
      <w:fldChar w:fldCharType="begin"/>
    </w:r>
    <w:r w:rsidR="00923968">
      <w:instrText xml:space="preserve"> PAGE  \* Arabic  \* MERGEFORMAT </w:instrText>
    </w:r>
    <w:r w:rsidR="00923968">
      <w:fldChar w:fldCharType="separate"/>
    </w:r>
    <w:r w:rsidR="00233D41">
      <w:rPr>
        <w:noProof/>
      </w:rPr>
      <w:t>3</w:t>
    </w:r>
    <w:r w:rsidR="00923968">
      <w:rPr>
        <w:noProof/>
      </w:rPr>
      <w:fldChar w:fldCharType="end"/>
    </w:r>
    <w:r>
      <w:rPr>
        <w:noProof/>
      </w:rPr>
      <w:tab/>
    </w:r>
  </w:p>
  <w:p w:rsidR="001A0BFF" w:rsidRPr="00B76770" w:rsidRDefault="00233D41" w:rsidP="00B76770">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923968" w:rsidP="00734C44">
    <w:pPr>
      <w:pStyle w:val="LanguageSymbol"/>
      <w:framePr w:wrap="around"/>
    </w:pPr>
    <w:bookmarkStart w:id="8"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923968" w:rsidP="00B34614">
          <w:bookmarkStart w:id="9" w:name="PublicationDateBookmark"/>
          <w:bookmarkEnd w:id="8"/>
          <w:r>
            <w:t xml:space="preserve">Juin 2015 </w:t>
          </w:r>
          <w:bookmarkEnd w:id="9"/>
        </w:p>
      </w:tc>
      <w:tc>
        <w:tcPr>
          <w:tcW w:w="2500" w:type="pct"/>
          <w:noWrap/>
          <w:tcMar>
            <w:right w:w="0" w:type="dxa"/>
          </w:tcMar>
        </w:tcPr>
        <w:p w:rsidR="008E01CD" w:rsidRDefault="00923968" w:rsidP="00F2216D">
          <w:pPr>
            <w:jc w:val="right"/>
          </w:pPr>
          <w:bookmarkStart w:id="10" w:name="FirstCoverIdentificationBookmark"/>
          <w:r>
            <w:t xml:space="preserve">COFI:AQ/VIII/2015/1 </w:t>
          </w:r>
          <w:bookmarkEnd w:id="10"/>
        </w:p>
      </w:tc>
    </w:tr>
  </w:tbl>
  <w:p w:rsidR="00AE4D6E" w:rsidRPr="008E01CD" w:rsidRDefault="00233D41" w:rsidP="008E01CD">
    <w:pPr>
      <w:pBdr>
        <w:bottom w:val="single" w:sz="12" w:space="0" w:color="auto"/>
      </w:pBdr>
      <w:spacing w:before="0"/>
      <w:contextualSpacing/>
      <w:rPr>
        <w:sz w:val="4"/>
      </w:rPr>
    </w:pPr>
  </w:p>
  <w:p w:rsidR="00DF0451" w:rsidRDefault="00923968" w:rsidP="008E01CD">
    <w:pPr>
      <w:jc w:val="center"/>
    </w:pPr>
    <w:bookmarkStart w:id="11" w:name="LogoBookmark"/>
    <w:r>
      <w:rPr>
        <w:noProof/>
        <w:lang w:val="en-US"/>
      </w:rPr>
      <w:drawing>
        <wp:inline distT="0" distB="0" distL="0" distR="0" wp14:anchorId="5B750674" wp14:editId="33856868">
          <wp:extent cx="5758543" cy="7837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8" cy="783981"/>
                  </a:xfrm>
                  <a:prstGeom prst="rect">
                    <a:avLst/>
                  </a:prstGeom>
                </pic:spPr>
              </pic:pic>
            </a:graphicData>
          </a:graphic>
        </wp:inline>
      </w:drawing>
    </w:r>
    <w:r>
      <w:t xml:space="preserve">  </w:t>
    </w:r>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E3"/>
    <w:rsid w:val="000914E3"/>
    <w:rsid w:val="000A2005"/>
    <w:rsid w:val="00105311"/>
    <w:rsid w:val="0022317E"/>
    <w:rsid w:val="00233D41"/>
    <w:rsid w:val="002D049F"/>
    <w:rsid w:val="005E0F11"/>
    <w:rsid w:val="00655C01"/>
    <w:rsid w:val="007532F9"/>
    <w:rsid w:val="007B6484"/>
    <w:rsid w:val="00923968"/>
    <w:rsid w:val="009A4ECB"/>
    <w:rsid w:val="009C087B"/>
    <w:rsid w:val="00B10DFF"/>
    <w:rsid w:val="00E553AC"/>
    <w:rsid w:val="00EC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4E3"/>
    <w:pPr>
      <w:spacing w:before="120" w:after="0" w:line="240" w:lineRule="auto"/>
    </w:pPr>
    <w:rPr>
      <w:rFonts w:ascii="Times New Roman" w:hAnsi="Times New Roman" w:cs="Akhbar MT"/>
      <w:szCs w:val="3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customStyle="1" w:styleId="Note">
    <w:name w:val="Note"/>
    <w:basedOn w:val="Normal"/>
    <w:link w:val="NoteChar"/>
    <w:autoRedefine/>
    <w:qFormat/>
    <w:rsid w:val="000914E3"/>
    <w:pPr>
      <w:pBdr>
        <w:top w:val="single" w:sz="4" w:space="0" w:color="auto"/>
      </w:pBdr>
      <w:jc w:val="center"/>
    </w:pPr>
    <w:rPr>
      <w:i/>
      <w:sz w:val="20"/>
      <w:szCs w:val="28"/>
    </w:rPr>
  </w:style>
  <w:style w:type="character" w:customStyle="1" w:styleId="NoteChar">
    <w:name w:val="Note Char"/>
    <w:basedOn w:val="DefaultParagraphFont"/>
    <w:link w:val="Note"/>
    <w:rsid w:val="000914E3"/>
    <w:rPr>
      <w:rFonts w:ascii="Times New Roman" w:hAnsi="Times New Roman" w:cs="Akhbar MT"/>
      <w:i/>
      <w:sz w:val="20"/>
      <w:szCs w:val="28"/>
      <w:lang w:val="en-GB"/>
    </w:rPr>
  </w:style>
  <w:style w:type="paragraph" w:customStyle="1" w:styleId="DocTitle">
    <w:name w:val="DocTitle"/>
    <w:basedOn w:val="Normal"/>
    <w:link w:val="DocTitleChar"/>
    <w:qFormat/>
    <w:rsid w:val="000914E3"/>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914E3"/>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0914E3"/>
    <w:pPr>
      <w:pBdr>
        <w:bottom w:val="single" w:sz="12" w:space="1" w:color="auto"/>
      </w:pBdr>
    </w:pPr>
  </w:style>
  <w:style w:type="character" w:customStyle="1" w:styleId="UnderlinedChar">
    <w:name w:val="Underlined Char"/>
    <w:basedOn w:val="DefaultParagraphFont"/>
    <w:link w:val="Underlined"/>
    <w:rsid w:val="000914E3"/>
    <w:rPr>
      <w:rFonts w:ascii="Times New Roman" w:hAnsi="Times New Roman" w:cs="Akhbar MT"/>
      <w:szCs w:val="30"/>
      <w:lang w:val="en-GB"/>
    </w:rPr>
  </w:style>
  <w:style w:type="paragraph" w:customStyle="1" w:styleId="MeetingInfo">
    <w:name w:val="MeetingInfo"/>
    <w:basedOn w:val="Normal"/>
    <w:link w:val="MeetingInfoChar"/>
    <w:qFormat/>
    <w:rsid w:val="000914E3"/>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914E3"/>
    <w:rPr>
      <w:rFonts w:ascii="Times New Roman Bold" w:hAnsi="Times New Roman Bold" w:cs="Akhbar MT"/>
      <w:b/>
      <w:bCs/>
      <w:sz w:val="28"/>
      <w:szCs w:val="36"/>
      <w:lang w:val="en-GB"/>
    </w:rPr>
  </w:style>
  <w:style w:type="paragraph" w:customStyle="1" w:styleId="LanguageSymbol">
    <w:name w:val="LanguageSymbol"/>
    <w:basedOn w:val="Normal"/>
    <w:link w:val="LanguageSymbolChar"/>
    <w:qFormat/>
    <w:rsid w:val="000914E3"/>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914E3"/>
    <w:rPr>
      <w:rFonts w:ascii="Times New Roman" w:hAnsi="Times New Roman" w:cs="Akhbar MT"/>
      <w:b/>
      <w:color w:val="808080"/>
      <w:sz w:val="56"/>
      <w:szCs w:val="56"/>
      <w:lang w:val="en-GB"/>
    </w:rPr>
  </w:style>
  <w:style w:type="table" w:styleId="TableGrid">
    <w:name w:val="Table Grid"/>
    <w:basedOn w:val="TableNormal"/>
    <w:uiPriority w:val="59"/>
    <w:rsid w:val="0009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914E3"/>
  </w:style>
  <w:style w:type="paragraph" w:styleId="BalloonText">
    <w:name w:val="Balloon Text"/>
    <w:basedOn w:val="Normal"/>
    <w:link w:val="BalloonTextChar"/>
    <w:uiPriority w:val="99"/>
    <w:semiHidden/>
    <w:unhideWhenUsed/>
    <w:rsid w:val="000914E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E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4E3"/>
    <w:pPr>
      <w:spacing w:before="120" w:after="0" w:line="240" w:lineRule="auto"/>
    </w:pPr>
    <w:rPr>
      <w:rFonts w:ascii="Times New Roman" w:hAnsi="Times New Roman" w:cs="Akhbar MT"/>
      <w:szCs w:val="3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customStyle="1" w:styleId="Note">
    <w:name w:val="Note"/>
    <w:basedOn w:val="Normal"/>
    <w:link w:val="NoteChar"/>
    <w:autoRedefine/>
    <w:qFormat/>
    <w:rsid w:val="000914E3"/>
    <w:pPr>
      <w:pBdr>
        <w:top w:val="single" w:sz="4" w:space="0" w:color="auto"/>
      </w:pBdr>
      <w:jc w:val="center"/>
    </w:pPr>
    <w:rPr>
      <w:i/>
      <w:sz w:val="20"/>
      <w:szCs w:val="28"/>
    </w:rPr>
  </w:style>
  <w:style w:type="character" w:customStyle="1" w:styleId="NoteChar">
    <w:name w:val="Note Char"/>
    <w:basedOn w:val="DefaultParagraphFont"/>
    <w:link w:val="Note"/>
    <w:rsid w:val="000914E3"/>
    <w:rPr>
      <w:rFonts w:ascii="Times New Roman" w:hAnsi="Times New Roman" w:cs="Akhbar MT"/>
      <w:i/>
      <w:sz w:val="20"/>
      <w:szCs w:val="28"/>
      <w:lang w:val="en-GB"/>
    </w:rPr>
  </w:style>
  <w:style w:type="paragraph" w:customStyle="1" w:styleId="DocTitle">
    <w:name w:val="DocTitle"/>
    <w:basedOn w:val="Normal"/>
    <w:link w:val="DocTitleChar"/>
    <w:qFormat/>
    <w:rsid w:val="000914E3"/>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914E3"/>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0914E3"/>
    <w:pPr>
      <w:pBdr>
        <w:bottom w:val="single" w:sz="12" w:space="1" w:color="auto"/>
      </w:pBdr>
    </w:pPr>
  </w:style>
  <w:style w:type="character" w:customStyle="1" w:styleId="UnderlinedChar">
    <w:name w:val="Underlined Char"/>
    <w:basedOn w:val="DefaultParagraphFont"/>
    <w:link w:val="Underlined"/>
    <w:rsid w:val="000914E3"/>
    <w:rPr>
      <w:rFonts w:ascii="Times New Roman" w:hAnsi="Times New Roman" w:cs="Akhbar MT"/>
      <w:szCs w:val="30"/>
      <w:lang w:val="en-GB"/>
    </w:rPr>
  </w:style>
  <w:style w:type="paragraph" w:customStyle="1" w:styleId="MeetingInfo">
    <w:name w:val="MeetingInfo"/>
    <w:basedOn w:val="Normal"/>
    <w:link w:val="MeetingInfoChar"/>
    <w:qFormat/>
    <w:rsid w:val="000914E3"/>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914E3"/>
    <w:rPr>
      <w:rFonts w:ascii="Times New Roman Bold" w:hAnsi="Times New Roman Bold" w:cs="Akhbar MT"/>
      <w:b/>
      <w:bCs/>
      <w:sz w:val="28"/>
      <w:szCs w:val="36"/>
      <w:lang w:val="en-GB"/>
    </w:rPr>
  </w:style>
  <w:style w:type="paragraph" w:customStyle="1" w:styleId="LanguageSymbol">
    <w:name w:val="LanguageSymbol"/>
    <w:basedOn w:val="Normal"/>
    <w:link w:val="LanguageSymbolChar"/>
    <w:qFormat/>
    <w:rsid w:val="000914E3"/>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914E3"/>
    <w:rPr>
      <w:rFonts w:ascii="Times New Roman" w:hAnsi="Times New Roman" w:cs="Akhbar MT"/>
      <w:b/>
      <w:color w:val="808080"/>
      <w:sz w:val="56"/>
      <w:szCs w:val="56"/>
      <w:lang w:val="en-GB"/>
    </w:rPr>
  </w:style>
  <w:style w:type="table" w:styleId="TableGrid">
    <w:name w:val="Table Grid"/>
    <w:basedOn w:val="TableNormal"/>
    <w:uiPriority w:val="59"/>
    <w:rsid w:val="0009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914E3"/>
  </w:style>
  <w:style w:type="paragraph" w:styleId="BalloonText">
    <w:name w:val="Balloon Text"/>
    <w:basedOn w:val="Normal"/>
    <w:link w:val="BalloonTextChar"/>
    <w:uiPriority w:val="99"/>
    <w:semiHidden/>
    <w:unhideWhenUsed/>
    <w:rsid w:val="000914E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E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Harrand (CPAM)</dc:creator>
  <cp:lastModifiedBy>Elena Irde (FIRA)</cp:lastModifiedBy>
  <cp:revision>3</cp:revision>
  <cp:lastPrinted>2015-06-30T08:54:00Z</cp:lastPrinted>
  <dcterms:created xsi:type="dcterms:W3CDTF">2015-06-30T06:11:00Z</dcterms:created>
  <dcterms:modified xsi:type="dcterms:W3CDTF">2015-07-07T09:43:00Z</dcterms:modified>
</cp:coreProperties>
</file>