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34" w:rsidRPr="006F28C9" w:rsidRDefault="001C3334" w:rsidP="001C3334">
      <w:pPr>
        <w:pStyle w:val="Hidden"/>
        <w:rPr>
          <w:lang w:val="fr-FR"/>
        </w:rPr>
      </w:pPr>
    </w:p>
    <w:p w:rsidR="001C3334" w:rsidRPr="00640626" w:rsidRDefault="00640626" w:rsidP="001C3334">
      <w:pPr>
        <w:pStyle w:val="DocTitle"/>
        <w:rPr>
          <w:smallCaps/>
          <w:lang w:val="fr-FR"/>
        </w:rPr>
      </w:pPr>
      <w:bookmarkStart w:id="0" w:name="CoverTitleBookmark"/>
      <w:bookmarkStart w:id="1" w:name="CoverBookmark"/>
      <w:r w:rsidRPr="00640626">
        <w:rPr>
          <w:smallCaps/>
          <w:lang w:val="fr-FR"/>
        </w:rPr>
        <w:t>Comité des pêches</w:t>
      </w:r>
    </w:p>
    <w:bookmarkEnd w:id="0"/>
    <w:p w:rsidR="001C3334" w:rsidRPr="00640626" w:rsidRDefault="00640626" w:rsidP="001C3334">
      <w:pPr>
        <w:pStyle w:val="MeetingInfo"/>
        <w:pBdr>
          <w:bar w:val="none" w:sz="0" w:color="auto"/>
        </w:pBdr>
        <w:rPr>
          <w:lang w:val="fr-FR"/>
        </w:rPr>
      </w:pPr>
      <w:r w:rsidRPr="00640626">
        <w:rPr>
          <w:lang w:val="fr-FR"/>
        </w:rPr>
        <w:t>SOUS-COMITÉ DE L’AQUACULTURE</w:t>
      </w:r>
    </w:p>
    <w:p w:rsidR="001C3334" w:rsidRPr="00640626" w:rsidRDefault="007A3731" w:rsidP="001C3334">
      <w:pPr>
        <w:pStyle w:val="MeetingInfo"/>
        <w:pBdr>
          <w:bar w:val="none" w:sz="0" w:color="auto"/>
        </w:pBdr>
        <w:rPr>
          <w:lang w:val="fr-FR"/>
        </w:rPr>
      </w:pPr>
      <w:r w:rsidRPr="00640626">
        <w:rPr>
          <w:lang w:val="fr-FR"/>
        </w:rPr>
        <w:t>Huitième session</w:t>
      </w:r>
    </w:p>
    <w:p w:rsidR="001C3334" w:rsidRPr="00640626" w:rsidRDefault="00137EF3" w:rsidP="001C3334">
      <w:pPr>
        <w:pStyle w:val="MeetingInfo"/>
        <w:pBdr>
          <w:bar w:val="none" w:sz="0" w:color="auto"/>
        </w:pBdr>
        <w:rPr>
          <w:lang w:val="fr-FR"/>
        </w:rPr>
      </w:pPr>
      <w:r w:rsidRPr="00640626">
        <w:rPr>
          <w:lang w:val="fr-FR"/>
        </w:rPr>
        <w:t>Brasilia (</w:t>
      </w:r>
      <w:r w:rsidR="00F506EB" w:rsidRPr="00640626">
        <w:rPr>
          <w:lang w:val="fr-FR"/>
        </w:rPr>
        <w:t>Br</w:t>
      </w:r>
      <w:bookmarkStart w:id="2" w:name="_GoBack"/>
      <w:bookmarkEnd w:id="2"/>
      <w:r w:rsidR="00F506EB" w:rsidRPr="00640626">
        <w:rPr>
          <w:lang w:val="fr-FR"/>
        </w:rPr>
        <w:t>ésil</w:t>
      </w:r>
      <w:r w:rsidRPr="00640626">
        <w:rPr>
          <w:lang w:val="fr-FR"/>
        </w:rPr>
        <w:t>)</w:t>
      </w:r>
      <w:r w:rsidR="007A3731" w:rsidRPr="00640626">
        <w:rPr>
          <w:lang w:val="fr-FR"/>
        </w:rPr>
        <w:t xml:space="preserve">, </w:t>
      </w:r>
      <w:r w:rsidR="001C3334" w:rsidRPr="00640626">
        <w:rPr>
          <w:lang w:val="fr-FR"/>
        </w:rPr>
        <w:t xml:space="preserve">5–9 </w:t>
      </w:r>
      <w:r w:rsidR="007A3731" w:rsidRPr="00640626">
        <w:rPr>
          <w:lang w:val="fr-FR"/>
        </w:rPr>
        <w:t xml:space="preserve">octobre </w:t>
      </w:r>
      <w:r w:rsidR="001C3334" w:rsidRPr="00640626">
        <w:rPr>
          <w:lang w:val="fr-FR"/>
        </w:rPr>
        <w:t>2015</w:t>
      </w:r>
    </w:p>
    <w:p w:rsidR="001C3334" w:rsidRPr="00640626" w:rsidRDefault="001C3334" w:rsidP="001C3334">
      <w:pPr>
        <w:pStyle w:val="MeetingInfo"/>
        <w:pBdr>
          <w:bar w:val="none" w:sz="0" w:color="auto"/>
        </w:pBdr>
        <w:rPr>
          <w:lang w:val="fr-FR"/>
        </w:rPr>
      </w:pPr>
      <w:r w:rsidRPr="00640626">
        <w:rPr>
          <w:noProof/>
          <w:lang w:eastAsia="en-GB"/>
        </w:rPr>
        <mc:AlternateContent>
          <mc:Choice Requires="wps">
            <w:drawing>
              <wp:anchor distT="0" distB="0" distL="114300" distR="114300" simplePos="0" relativeHeight="251659264" behindDoc="0" locked="0" layoutInCell="1" allowOverlap="1" wp14:anchorId="720B92D1" wp14:editId="410C571C">
                <wp:simplePos x="0" y="0"/>
                <wp:positionH relativeFrom="column">
                  <wp:posOffset>7620</wp:posOffset>
                </wp:positionH>
                <wp:positionV relativeFrom="paragraph">
                  <wp:posOffset>814070</wp:posOffset>
                </wp:positionV>
                <wp:extent cx="5770245" cy="2849880"/>
                <wp:effectExtent l="0" t="0" r="20955"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2849880"/>
                        </a:xfrm>
                        <a:prstGeom prst="rect">
                          <a:avLst/>
                        </a:prstGeom>
                        <a:solidFill>
                          <a:srgbClr val="FFFFFF"/>
                        </a:solidFill>
                        <a:ln w="9525">
                          <a:solidFill>
                            <a:srgbClr val="000000"/>
                          </a:solidFill>
                          <a:miter lim="800000"/>
                          <a:headEnd/>
                          <a:tailEnd/>
                        </a:ln>
                      </wps:spPr>
                      <wps:txbx>
                        <w:txbxContent>
                          <w:p w:rsidR="005E61A6" w:rsidRDefault="005E61A6" w:rsidP="001C3334">
                            <w:pPr>
                              <w:jc w:val="center"/>
                              <w:rPr>
                                <w:b/>
                                <w:sz w:val="24"/>
                                <w:szCs w:val="24"/>
                              </w:rPr>
                            </w:pPr>
                            <w:r>
                              <w:rPr>
                                <w:bCs/>
                                <w:sz w:val="24"/>
                                <w:szCs w:val="24"/>
                              </w:rPr>
                              <w:t>RÉSUMÉ</w:t>
                            </w:r>
                          </w:p>
                          <w:p w:rsidR="005E61A6" w:rsidRPr="006F28C9" w:rsidRDefault="00E81D90" w:rsidP="001C3334">
                            <w:pPr>
                              <w:rPr>
                                <w:lang w:val="fr-FR"/>
                              </w:rPr>
                            </w:pPr>
                            <w:r>
                              <w:rPr>
                                <w:lang w:val="fr-FR"/>
                              </w:rPr>
                              <w:t>Sur la base de l</w:t>
                            </w:r>
                            <w:r w:rsidR="005E61A6" w:rsidRPr="006F28C9">
                              <w:rPr>
                                <w:lang w:val="fr-FR"/>
                              </w:rPr>
                              <w:t>’Objectif stra</w:t>
                            </w:r>
                            <w:r w:rsidR="006F28C9">
                              <w:rPr>
                                <w:lang w:val="fr-FR"/>
                              </w:rPr>
                              <w:t>tégique 3 «</w:t>
                            </w:r>
                            <w:r w:rsidR="005E61A6" w:rsidRPr="006F28C9">
                              <w:rPr>
                                <w:lang w:val="fr-FR"/>
                              </w:rPr>
                              <w:t>Réduire la pauvreté rurale</w:t>
                            </w:r>
                            <w:r w:rsidR="006F28C9">
                              <w:rPr>
                                <w:lang w:val="fr-FR"/>
                              </w:rPr>
                              <w:t>»</w:t>
                            </w:r>
                            <w:r>
                              <w:rPr>
                                <w:lang w:val="fr-FR"/>
                              </w:rPr>
                              <w:t xml:space="preserve">, </w:t>
                            </w:r>
                            <w:r w:rsidR="005E61A6" w:rsidRPr="006F28C9">
                              <w:rPr>
                                <w:lang w:val="fr-FR"/>
                              </w:rPr>
                              <w:t xml:space="preserve">l’Initiative de la FAO en faveur de la croissance bleue </w:t>
                            </w:r>
                            <w:r>
                              <w:rPr>
                                <w:lang w:val="fr-FR"/>
                              </w:rPr>
                              <w:t xml:space="preserve">permet </w:t>
                            </w:r>
                            <w:r w:rsidR="005E61A6" w:rsidRPr="006F28C9">
                              <w:rPr>
                                <w:lang w:val="fr-FR"/>
                              </w:rPr>
                              <w:t xml:space="preserve">également </w:t>
                            </w:r>
                            <w:r>
                              <w:rPr>
                                <w:lang w:val="fr-FR"/>
                              </w:rPr>
                              <w:t xml:space="preserve">d’encourager </w:t>
                            </w:r>
                            <w:r w:rsidR="005E61A6" w:rsidRPr="006F28C9">
                              <w:rPr>
                                <w:lang w:val="fr-FR"/>
                              </w:rPr>
                              <w:t>la protection sociale et l’emploi rural décent dans le secteur des pêches et de l’aquaculture. Afin de faire progresser l’Agenda pour le travail décent dans l’aquaculture à l’échelle mondiale et de mettre en avant ses contributions à l’amélioration des moyens d’existence, le Sous-Comité présente, pour examen, une série de grands enjeux liés au travail décent et des exemples de réponses possibles à ces derniers.</w:t>
                            </w:r>
                          </w:p>
                          <w:p w:rsidR="005E61A6" w:rsidRPr="006F28C9" w:rsidRDefault="005E61A6" w:rsidP="001C3334">
                            <w:pPr>
                              <w:rPr>
                                <w:b/>
                                <w:lang w:val="fr-FR"/>
                              </w:rPr>
                            </w:pPr>
                            <w:r w:rsidRPr="006F28C9">
                              <w:rPr>
                                <w:b/>
                                <w:lang w:val="fr-FR"/>
                              </w:rPr>
                              <w:t xml:space="preserve">Le Sous-Comité est invité à: </w:t>
                            </w:r>
                          </w:p>
                          <w:p w:rsidR="005E61A6" w:rsidRPr="006F28C9" w:rsidRDefault="005E61A6" w:rsidP="001C3334">
                            <w:pPr>
                              <w:pStyle w:val="BulletList"/>
                              <w:rPr>
                                <w:lang w:val="fr-FR"/>
                              </w:rPr>
                            </w:pPr>
                            <w:r w:rsidRPr="006F28C9">
                              <w:rPr>
                                <w:lang w:val="fr-FR"/>
                              </w:rPr>
                              <w:t>mettre en commun les données d’expérience et les progrès enregistrés dans la promotion de l’emploi décent dans le secteur de l’aquaculture;</w:t>
                            </w:r>
                          </w:p>
                          <w:p w:rsidR="005E61A6" w:rsidRPr="004E52B2" w:rsidRDefault="005E61A6" w:rsidP="004E52B2">
                            <w:pPr>
                              <w:pStyle w:val="BulletList"/>
                              <w:rPr>
                                <w:lang w:val="fr-FR"/>
                              </w:rPr>
                            </w:pPr>
                            <w:r w:rsidRPr="006F28C9">
                              <w:rPr>
                                <w:lang w:val="fr-FR"/>
                              </w:rPr>
                              <w:t>examiner plus avant les actions susceptibles d’être menées par les membres et la FAO de manière à mieux ancrer le travail décent dans le secteur de l’aquaculture, avec pour résultats une amélioration notable des moyens d’existence et une réduction sensible de la pauvreté en milieu rural.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pt;margin-top:64.1pt;width:454.35pt;height:2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">
                <v:textbox>
                  <w:txbxContent>
                    <w:p w:rsidR="005E61A6" w:rsidRDefault="005E61A6" w:rsidP="001C3334">
                      <w:pPr>
                        <w:jc w:val="center"/>
                        <w:rPr>
                          <w:b/>
                          <w:sz w:val="24"/>
                          <w:szCs w:val="24"/>
                        </w:rPr>
                      </w:pPr>
                      <w:r>
                        <w:rPr>
                          <w:bCs/>
                          <w:sz w:val="24"/>
                          <w:szCs w:val="24"/>
                        </w:rPr>
                        <w:t>RÉSUMÉ</w:t>
                      </w:r>
                    </w:p>
                    <w:p w:rsidR="005E61A6" w:rsidRPr="006F28C9" w:rsidRDefault="00E81D90" w:rsidP="001C3334">
                      <w:pPr>
                        <w:rPr>
                          <w:lang w:val="fr-FR"/>
                        </w:rPr>
                      </w:pPr>
                      <w:r>
                        <w:rPr>
                          <w:lang w:val="fr-FR"/>
                        </w:rPr>
                        <w:t>Sur la base de l</w:t>
                      </w:r>
                      <w:r w:rsidR="005E61A6" w:rsidRPr="006F28C9">
                        <w:rPr>
                          <w:lang w:val="fr-FR"/>
                        </w:rPr>
                        <w:t>’Objectif stra</w:t>
                      </w:r>
                      <w:r w:rsidR="006F28C9">
                        <w:rPr>
                          <w:lang w:val="fr-FR"/>
                        </w:rPr>
                        <w:t>tégique 3 «</w:t>
                      </w:r>
                      <w:r w:rsidR="005E61A6" w:rsidRPr="006F28C9">
                        <w:rPr>
                          <w:lang w:val="fr-FR"/>
                        </w:rPr>
                        <w:t>Réduire la pauvreté rurale</w:t>
                      </w:r>
                      <w:r w:rsidR="006F28C9">
                        <w:rPr>
                          <w:lang w:val="fr-FR"/>
                        </w:rPr>
                        <w:t>»</w:t>
                      </w:r>
                      <w:r>
                        <w:rPr>
                          <w:lang w:val="fr-FR"/>
                        </w:rPr>
                        <w:t xml:space="preserve">, </w:t>
                      </w:r>
                      <w:r w:rsidR="005E61A6" w:rsidRPr="006F28C9">
                        <w:rPr>
                          <w:lang w:val="fr-FR"/>
                        </w:rPr>
                        <w:t xml:space="preserve">l’Initiative de la FAO en faveur de la croissance bleue </w:t>
                      </w:r>
                      <w:r>
                        <w:rPr>
                          <w:lang w:val="fr-FR"/>
                        </w:rPr>
                        <w:t xml:space="preserve">permet </w:t>
                      </w:r>
                      <w:r w:rsidR="005E61A6" w:rsidRPr="006F28C9">
                        <w:rPr>
                          <w:lang w:val="fr-FR"/>
                        </w:rPr>
                        <w:t xml:space="preserve">également </w:t>
                      </w:r>
                      <w:r>
                        <w:rPr>
                          <w:lang w:val="fr-FR"/>
                        </w:rPr>
                        <w:t xml:space="preserve">d’encourager </w:t>
                      </w:r>
                      <w:r w:rsidR="005E61A6" w:rsidRPr="006F28C9">
                        <w:rPr>
                          <w:lang w:val="fr-FR"/>
                        </w:rPr>
                        <w:t>la protection sociale et l’emploi rural décent dans le secteur des pêches et de l’aquaculture. Afin de faire progresser l’Agenda pour le travail décent dans l’aquaculture à l’échelle mondiale et de mettre en avant ses contributions à l’amélioration des moyens d’existence, le Sous-Comité présente, pour examen, une série de grands enjeux liés au travail décent et des exemples de réponses possibles à ces derniers.</w:t>
                      </w:r>
                    </w:p>
                    <w:p w:rsidR="005E61A6" w:rsidRPr="006F28C9" w:rsidRDefault="005E61A6" w:rsidP="001C3334">
                      <w:pPr>
                        <w:rPr>
                          <w:b/>
                          <w:lang w:val="fr-FR"/>
                        </w:rPr>
                      </w:pPr>
                      <w:r w:rsidRPr="006F28C9">
                        <w:rPr>
                          <w:b/>
                          <w:lang w:val="fr-FR"/>
                        </w:rPr>
                        <w:t xml:space="preserve">Le Sous-Comité est invité à: </w:t>
                      </w:r>
                    </w:p>
                    <w:p w:rsidR="005E61A6" w:rsidRPr="006F28C9" w:rsidRDefault="005E61A6" w:rsidP="001C3334">
                      <w:pPr>
                        <w:pStyle w:val="BulletList"/>
                        <w:rPr>
                          <w:lang w:val="fr-FR"/>
                        </w:rPr>
                      </w:pPr>
                      <w:r w:rsidRPr="006F28C9">
                        <w:rPr>
                          <w:lang w:val="fr-FR"/>
                        </w:rPr>
                        <w:t>mettre en commun les données d’expérience et les progrès enregistrés dans la promotion de l’emploi décent dans le secteur de l’aquaculture;</w:t>
                      </w:r>
                    </w:p>
                    <w:p w:rsidR="005E61A6" w:rsidRPr="004E52B2" w:rsidRDefault="005E61A6" w:rsidP="004E52B2">
                      <w:pPr>
                        <w:pStyle w:val="BulletList"/>
                        <w:rPr>
                          <w:lang w:val="fr-FR"/>
                        </w:rPr>
                      </w:pPr>
                      <w:r w:rsidRPr="006F28C9">
                        <w:rPr>
                          <w:lang w:val="fr-FR"/>
                        </w:rPr>
                        <w:t>examiner plus avant les actions susceptibles d’être menées par les membres et la FAO de manière à mieux ancrer le travail décent dans le secteur de l’aquaculture, avec pour résultats une amélioration notable des moyens d’existence et une réduction sensible de la pauvreté en milieu rural.</w:t>
                      </w:r>
                    </w:p>
                  </w:txbxContent>
                </v:textbox>
                <w10:wrap type="square"/>
              </v:shape>
            </w:pict>
          </mc:Fallback>
        </mc:AlternateContent>
      </w:r>
      <w:r w:rsidR="007A3731" w:rsidRPr="00640626">
        <w:rPr>
          <w:lang w:val="fr-FR"/>
        </w:rPr>
        <w:t>AMÉLIORATION DES MOYENS D’EXISTENCE GRÂCE À UN EMPLOI DÉCENT DANS L’AQUACULTURE</w:t>
      </w:r>
      <w:r w:rsidR="004E52B2" w:rsidRPr="00640626">
        <w:rPr>
          <w:lang w:val="fr-FR"/>
        </w:rPr>
        <w:t xml:space="preserve"> </w:t>
      </w:r>
    </w:p>
    <w:bookmarkEnd w:id="1"/>
    <w:p w:rsidR="001C3334" w:rsidRPr="00640626" w:rsidRDefault="004E52B2" w:rsidP="001C3334">
      <w:pPr>
        <w:rPr>
          <w:lang w:val="fr-FR"/>
        </w:rPr>
      </w:pPr>
      <w:r w:rsidRPr="00640626">
        <w:rPr>
          <w:lang w:val="fr-FR"/>
        </w:rPr>
        <w:t xml:space="preserve">  </w:t>
      </w:r>
      <w:bookmarkStart w:id="3" w:name="TableOfContentsRangeBookmark"/>
      <w:r w:rsidR="001C3334" w:rsidRPr="00640626">
        <w:rPr>
          <w:lang w:val="fr-FR"/>
        </w:rPr>
        <w:t xml:space="preserve"> </w:t>
      </w:r>
      <w:bookmarkEnd w:id="3"/>
    </w:p>
    <w:p w:rsidR="001C3334" w:rsidRPr="00640626" w:rsidRDefault="001C3334" w:rsidP="00082B55">
      <w:pPr>
        <w:pStyle w:val="Heading2"/>
        <w:numPr>
          <w:ilvl w:val="0"/>
          <w:numId w:val="0"/>
        </w:numPr>
        <w:spacing w:before="0"/>
        <w:ind w:left="709" w:hanging="708"/>
        <w:jc w:val="left"/>
        <w:rPr>
          <w:lang w:val="fr-FR"/>
        </w:rPr>
      </w:pPr>
      <w:r w:rsidRPr="00640626">
        <w:rPr>
          <w:lang w:val="fr-FR"/>
        </w:rPr>
        <w:t>INTRODUCTION</w:t>
      </w:r>
    </w:p>
    <w:p w:rsidR="004E52B2" w:rsidRPr="00640626" w:rsidRDefault="004E52B2" w:rsidP="004E52B2">
      <w:pPr>
        <w:pStyle w:val="Heading3"/>
        <w:rPr>
          <w:lang w:val="fr-FR"/>
        </w:rPr>
      </w:pPr>
    </w:p>
    <w:p w:rsidR="001C3334" w:rsidRPr="00640626" w:rsidRDefault="002D199D" w:rsidP="001C3334">
      <w:pPr>
        <w:pStyle w:val="NewPara"/>
        <w:jc w:val="both"/>
        <w:rPr>
          <w:lang w:val="fr-FR"/>
        </w:rPr>
      </w:pPr>
      <w:r w:rsidRPr="00640626">
        <w:rPr>
          <w:lang w:val="fr-FR"/>
        </w:rPr>
        <w:t xml:space="preserve">La progression de </w:t>
      </w:r>
      <w:r w:rsidR="0058014F" w:rsidRPr="00640626">
        <w:rPr>
          <w:lang w:val="fr-FR"/>
        </w:rPr>
        <w:t>l’aquaculture au niveau mondial</w:t>
      </w:r>
      <w:r w:rsidRPr="00640626">
        <w:rPr>
          <w:lang w:val="fr-FR"/>
        </w:rPr>
        <w:t xml:space="preserve"> </w:t>
      </w:r>
      <w:r w:rsidR="00E81D90" w:rsidRPr="00640626">
        <w:rPr>
          <w:lang w:val="fr-FR"/>
        </w:rPr>
        <w:t xml:space="preserve">suscite de manière générale une attention croissante pour </w:t>
      </w:r>
      <w:r w:rsidRPr="00640626">
        <w:rPr>
          <w:lang w:val="fr-FR"/>
        </w:rPr>
        <w:t>l’apport de ce secteur au développement social.</w:t>
      </w:r>
      <w:r w:rsidR="00704B1E" w:rsidRPr="00640626">
        <w:rPr>
          <w:lang w:val="fr-FR"/>
        </w:rPr>
        <w:t xml:space="preserve"> </w:t>
      </w:r>
      <w:r w:rsidR="007C4DCD" w:rsidRPr="00640626">
        <w:rPr>
          <w:lang w:val="fr-FR"/>
        </w:rPr>
        <w:t xml:space="preserve">Les </w:t>
      </w:r>
      <w:r w:rsidR="00B16C28" w:rsidRPr="00640626">
        <w:rPr>
          <w:lang w:val="fr-FR"/>
        </w:rPr>
        <w:t>contributions</w:t>
      </w:r>
      <w:r w:rsidR="007C4DCD" w:rsidRPr="00640626">
        <w:rPr>
          <w:lang w:val="fr-FR"/>
        </w:rPr>
        <w:t xml:space="preserve"> de l’aquaculture à la sécurité alimentaire, à l’offre de produits de la mer, à la nutrition, à la santé publique, à la création de revenus, à l’</w:t>
      </w:r>
      <w:r w:rsidR="00B16C28" w:rsidRPr="00640626">
        <w:rPr>
          <w:lang w:val="fr-FR"/>
        </w:rPr>
        <w:t xml:space="preserve">emploi et </w:t>
      </w:r>
      <w:r w:rsidR="00B45C50" w:rsidRPr="00640626">
        <w:rPr>
          <w:lang w:val="fr-FR"/>
        </w:rPr>
        <w:t xml:space="preserve">à l’obtention de devises peuvent avoir des retombées significatives au niveau </w:t>
      </w:r>
      <w:r w:rsidRPr="00640626">
        <w:rPr>
          <w:lang w:val="fr-FR"/>
        </w:rPr>
        <w:t xml:space="preserve">tant </w:t>
      </w:r>
      <w:r w:rsidR="00B45C50" w:rsidRPr="00640626">
        <w:rPr>
          <w:lang w:val="fr-FR"/>
        </w:rPr>
        <w:t xml:space="preserve">local </w:t>
      </w:r>
      <w:r w:rsidRPr="00640626">
        <w:rPr>
          <w:lang w:val="fr-FR"/>
        </w:rPr>
        <w:t xml:space="preserve">que </w:t>
      </w:r>
      <w:r w:rsidR="00B45C50" w:rsidRPr="00640626">
        <w:rPr>
          <w:lang w:val="fr-FR"/>
        </w:rPr>
        <w:t xml:space="preserve">national. Sur la </w:t>
      </w:r>
      <w:r w:rsidR="00704B1E" w:rsidRPr="00640626">
        <w:rPr>
          <w:lang w:val="fr-FR"/>
        </w:rPr>
        <w:t>base</w:t>
      </w:r>
      <w:r w:rsidR="004E52B2" w:rsidRPr="00640626">
        <w:rPr>
          <w:lang w:val="fr-FR"/>
        </w:rPr>
        <w:t xml:space="preserve"> </w:t>
      </w:r>
      <w:r w:rsidR="00B45C50" w:rsidRPr="00640626">
        <w:rPr>
          <w:lang w:val="fr-FR"/>
        </w:rPr>
        <w:t xml:space="preserve">de ce constat, l’aquaculture </w:t>
      </w:r>
      <w:r w:rsidR="009459BF" w:rsidRPr="00640626">
        <w:rPr>
          <w:lang w:val="fr-FR"/>
        </w:rPr>
        <w:t>est considérée</w:t>
      </w:r>
      <w:r w:rsidRPr="00640626">
        <w:rPr>
          <w:lang w:val="fr-FR"/>
        </w:rPr>
        <w:t xml:space="preserve"> aujourd’hui comme</w:t>
      </w:r>
      <w:r w:rsidR="00B45C50" w:rsidRPr="00640626">
        <w:rPr>
          <w:lang w:val="fr-FR"/>
        </w:rPr>
        <w:t xml:space="preserve"> </w:t>
      </w:r>
      <w:r w:rsidR="00704B1E" w:rsidRPr="00640626">
        <w:rPr>
          <w:lang w:val="fr-FR"/>
        </w:rPr>
        <w:t xml:space="preserve">un </w:t>
      </w:r>
      <w:r w:rsidR="00704B1E" w:rsidRPr="00640626">
        <w:rPr>
          <w:lang w:val="fr-FR"/>
        </w:rPr>
        <w:lastRenderedPageBreak/>
        <w:t xml:space="preserve">des </w:t>
      </w:r>
      <w:r w:rsidR="00B45C50" w:rsidRPr="00640626">
        <w:rPr>
          <w:lang w:val="fr-FR"/>
        </w:rPr>
        <w:t>quatre piliers de la nouvelle Initiative de la FAO en faveur de</w:t>
      </w:r>
      <w:r w:rsidR="00704B1E" w:rsidRPr="00640626">
        <w:rPr>
          <w:lang w:val="fr-FR"/>
        </w:rPr>
        <w:t xml:space="preserve"> la croissance bleue (voir COFI</w:t>
      </w:r>
      <w:r w:rsidR="00B45C50" w:rsidRPr="00640626">
        <w:rPr>
          <w:lang w:val="fr-FR"/>
        </w:rPr>
        <w:t xml:space="preserve">: AQ/VIII/2015/7). Le secteur de l’aquaculture reste toutefois </w:t>
      </w:r>
      <w:r w:rsidR="00704B1E" w:rsidRPr="00640626">
        <w:rPr>
          <w:lang w:val="fr-FR"/>
        </w:rPr>
        <w:t xml:space="preserve">en butte à des </w:t>
      </w:r>
      <w:r w:rsidR="009459BF" w:rsidRPr="00640626">
        <w:rPr>
          <w:lang w:val="fr-FR"/>
        </w:rPr>
        <w:t xml:space="preserve">défis </w:t>
      </w:r>
      <w:r w:rsidR="00704B1E" w:rsidRPr="00640626">
        <w:rPr>
          <w:lang w:val="fr-FR"/>
        </w:rPr>
        <w:t>sociaux</w:t>
      </w:r>
      <w:r w:rsidR="009459BF" w:rsidRPr="00640626">
        <w:rPr>
          <w:lang w:val="fr-FR"/>
        </w:rPr>
        <w:t>.</w:t>
      </w:r>
      <w:r w:rsidR="004E52B2" w:rsidRPr="00640626">
        <w:rPr>
          <w:lang w:val="fr-FR"/>
        </w:rPr>
        <w:t xml:space="preserve"> </w:t>
      </w:r>
      <w:r w:rsidR="009459BF" w:rsidRPr="00640626">
        <w:rPr>
          <w:lang w:val="fr-FR"/>
        </w:rPr>
        <w:t xml:space="preserve">Le présent document est consacré à un de ces questionnements, à savoir </w:t>
      </w:r>
      <w:r w:rsidR="00704B1E" w:rsidRPr="00640626">
        <w:rPr>
          <w:lang w:val="fr-FR"/>
        </w:rPr>
        <w:t>comment</w:t>
      </w:r>
      <w:r w:rsidR="00B16C28" w:rsidRPr="00640626">
        <w:rPr>
          <w:lang w:val="fr-FR"/>
        </w:rPr>
        <w:t xml:space="preserve"> </w:t>
      </w:r>
      <w:r w:rsidR="00704B1E" w:rsidRPr="00640626">
        <w:rPr>
          <w:lang w:val="fr-FR"/>
        </w:rPr>
        <w:t>l’</w:t>
      </w:r>
      <w:r w:rsidR="00B16C28" w:rsidRPr="00640626">
        <w:rPr>
          <w:lang w:val="fr-FR"/>
        </w:rPr>
        <w:t>emploi décent</w:t>
      </w:r>
      <w:r w:rsidR="009459BF" w:rsidRPr="00640626">
        <w:rPr>
          <w:lang w:val="fr-FR"/>
        </w:rPr>
        <w:t xml:space="preserve">, </w:t>
      </w:r>
      <w:r w:rsidR="00B37437" w:rsidRPr="00640626">
        <w:rPr>
          <w:lang w:val="fr-FR"/>
        </w:rPr>
        <w:t>sachant qu’il est porteur d’</w:t>
      </w:r>
      <w:r w:rsidR="009459BF" w:rsidRPr="00640626">
        <w:rPr>
          <w:lang w:val="fr-FR"/>
        </w:rPr>
        <w:t>opportunités intéressantes pour la promotion d’une aquaculture durable dans un cadre</w:t>
      </w:r>
      <w:r w:rsidR="004E52B2" w:rsidRPr="00640626">
        <w:rPr>
          <w:lang w:val="fr-FR"/>
        </w:rPr>
        <w:t xml:space="preserve"> </w:t>
      </w:r>
      <w:r w:rsidR="009459BF" w:rsidRPr="00640626">
        <w:rPr>
          <w:lang w:val="fr-FR"/>
        </w:rPr>
        <w:t>de croissance bleue, pourrait-il aider à l’amélioration des moyens d’existence et à la réduction de la pauvreté</w:t>
      </w:r>
      <w:r w:rsidR="004E52B2" w:rsidRPr="00640626">
        <w:rPr>
          <w:lang w:val="fr-FR"/>
        </w:rPr>
        <w:t>?</w:t>
      </w:r>
    </w:p>
    <w:p w:rsidR="001C3334" w:rsidRPr="00640626" w:rsidRDefault="001C3334" w:rsidP="001C3334">
      <w:pPr>
        <w:rPr>
          <w:lang w:val="fr-FR"/>
        </w:rPr>
      </w:pPr>
    </w:p>
    <w:p w:rsidR="001C3334" w:rsidRPr="00640626" w:rsidRDefault="003843A0" w:rsidP="00082B55">
      <w:pPr>
        <w:pStyle w:val="Heading2"/>
        <w:numPr>
          <w:ilvl w:val="0"/>
          <w:numId w:val="0"/>
        </w:numPr>
        <w:spacing w:before="0"/>
        <w:jc w:val="left"/>
        <w:rPr>
          <w:lang w:val="fr-FR"/>
        </w:rPr>
      </w:pPr>
      <w:r w:rsidRPr="00640626">
        <w:rPr>
          <w:lang w:val="fr-FR"/>
        </w:rPr>
        <w:t>POUR PLUS DE TRAVAIL DÉCENT DANS LE SECTEUR DE L’AQUACULTURE</w:t>
      </w:r>
    </w:p>
    <w:p w:rsidR="001C3334" w:rsidRPr="00640626" w:rsidRDefault="001C3334" w:rsidP="001C3334">
      <w:pPr>
        <w:rPr>
          <w:lang w:val="fr-FR"/>
        </w:rPr>
      </w:pPr>
    </w:p>
    <w:p w:rsidR="001C3334" w:rsidRPr="00640626" w:rsidRDefault="004811A5" w:rsidP="00A4004C">
      <w:pPr>
        <w:pStyle w:val="NewPara"/>
        <w:numPr>
          <w:ilvl w:val="0"/>
          <w:numId w:val="0"/>
        </w:numPr>
        <w:jc w:val="both"/>
        <w:rPr>
          <w:lang w:val="fr-FR"/>
        </w:rPr>
      </w:pPr>
      <w:r w:rsidRPr="00640626">
        <w:rPr>
          <w:lang w:val="fr-FR"/>
        </w:rPr>
        <w:t>2.</w:t>
      </w:r>
      <w:r w:rsidRPr="00640626">
        <w:rPr>
          <w:lang w:val="fr-FR"/>
        </w:rPr>
        <w:tab/>
      </w:r>
      <w:r w:rsidR="00A53215" w:rsidRPr="00640626">
        <w:rPr>
          <w:lang w:val="fr-FR"/>
        </w:rPr>
        <w:t>En</w:t>
      </w:r>
      <w:r w:rsidR="001C3334" w:rsidRPr="00640626">
        <w:rPr>
          <w:lang w:val="fr-FR"/>
        </w:rPr>
        <w:t xml:space="preserve"> 2012</w:t>
      </w:r>
      <w:r w:rsidR="001C3334" w:rsidRPr="00640626">
        <w:rPr>
          <w:vertAlign w:val="superscript"/>
          <w:lang w:val="fr-FR"/>
        </w:rPr>
        <w:footnoteReference w:id="1"/>
      </w:r>
      <w:r w:rsidR="00A53215" w:rsidRPr="00640626">
        <w:rPr>
          <w:lang w:val="fr-FR"/>
        </w:rPr>
        <w:t xml:space="preserve">, quelque 58,3 millions d’individus étaient actifs dans le </w:t>
      </w:r>
      <w:r w:rsidR="00D720A5" w:rsidRPr="00640626">
        <w:rPr>
          <w:lang w:val="fr-FR"/>
        </w:rPr>
        <w:t>secteur des pêches</w:t>
      </w:r>
      <w:r w:rsidR="00A53215" w:rsidRPr="00640626">
        <w:rPr>
          <w:lang w:val="fr-FR"/>
        </w:rPr>
        <w:t xml:space="preserve"> de capture et de l’aquaculture, cette dernière employant 18,9 millions de personnes. </w:t>
      </w:r>
      <w:r w:rsidR="00B37437" w:rsidRPr="00640626">
        <w:rPr>
          <w:lang w:val="fr-FR"/>
        </w:rPr>
        <w:t xml:space="preserve">La majorité des travailleurs du secteur des </w:t>
      </w:r>
      <w:r w:rsidR="00D720A5" w:rsidRPr="00640626">
        <w:rPr>
          <w:lang w:val="fr-FR"/>
        </w:rPr>
        <w:t>pêches</w:t>
      </w:r>
      <w:r w:rsidR="001C3334" w:rsidRPr="00640626">
        <w:rPr>
          <w:vertAlign w:val="superscript"/>
          <w:lang w:val="fr-FR"/>
        </w:rPr>
        <w:footnoteReference w:id="2"/>
      </w:r>
      <w:r w:rsidR="001C3334" w:rsidRPr="00640626">
        <w:rPr>
          <w:lang w:val="fr-FR"/>
        </w:rPr>
        <w:t xml:space="preserve"> </w:t>
      </w:r>
      <w:r w:rsidR="00B37437" w:rsidRPr="00640626">
        <w:rPr>
          <w:lang w:val="fr-FR"/>
        </w:rPr>
        <w:t xml:space="preserve">occupent un emploi informel, travaillent </w:t>
      </w:r>
      <w:r w:rsidR="00E909D7" w:rsidRPr="00640626">
        <w:rPr>
          <w:lang w:val="fr-FR"/>
        </w:rPr>
        <w:t xml:space="preserve">pour </w:t>
      </w:r>
      <w:r w:rsidR="00B37437" w:rsidRPr="00640626">
        <w:rPr>
          <w:lang w:val="fr-FR"/>
        </w:rPr>
        <w:t xml:space="preserve">leur </w:t>
      </w:r>
      <w:r w:rsidR="00E909D7" w:rsidRPr="00640626">
        <w:rPr>
          <w:lang w:val="fr-FR"/>
        </w:rPr>
        <w:t>compte dans le cadre d’entreprises informelles ou dans un contexte de subsistance</w:t>
      </w:r>
      <w:r w:rsidR="00B37437" w:rsidRPr="00640626">
        <w:rPr>
          <w:lang w:val="fr-FR"/>
        </w:rPr>
        <w:t xml:space="preserve">, sont </w:t>
      </w:r>
      <w:r w:rsidR="00E909D7" w:rsidRPr="00640626">
        <w:rPr>
          <w:lang w:val="fr-FR"/>
        </w:rPr>
        <w:t xml:space="preserve">des travailleurs familiaux non rémunérés </w:t>
      </w:r>
      <w:r w:rsidR="00B37437" w:rsidRPr="00640626">
        <w:rPr>
          <w:lang w:val="fr-FR"/>
        </w:rPr>
        <w:t xml:space="preserve">ou encore </w:t>
      </w:r>
      <w:r w:rsidR="00E909D7" w:rsidRPr="00640626">
        <w:rPr>
          <w:lang w:val="fr-FR"/>
        </w:rPr>
        <w:t>des travailleurs non enregistrés et sans contrat écrit souvent employés à titre occasionnel, sur une base saisonnière et pour de courtes périodes</w:t>
      </w:r>
      <w:r w:rsidR="00B37437" w:rsidRPr="00640626">
        <w:rPr>
          <w:lang w:val="fr-FR"/>
        </w:rPr>
        <w:t>.</w:t>
      </w:r>
    </w:p>
    <w:p w:rsidR="001C3334" w:rsidRPr="00640626" w:rsidRDefault="00321070" w:rsidP="00321070">
      <w:pPr>
        <w:pStyle w:val="NewPara"/>
        <w:numPr>
          <w:ilvl w:val="0"/>
          <w:numId w:val="0"/>
        </w:numPr>
        <w:jc w:val="both"/>
        <w:rPr>
          <w:lang w:val="fr-FR"/>
        </w:rPr>
      </w:pPr>
      <w:r w:rsidRPr="00640626">
        <w:rPr>
          <w:lang w:val="fr-FR"/>
        </w:rPr>
        <w:t>3.</w:t>
      </w:r>
      <w:r w:rsidRPr="00640626">
        <w:rPr>
          <w:lang w:val="fr-FR"/>
        </w:rPr>
        <w:tab/>
      </w:r>
      <w:r w:rsidR="00CC7D7A" w:rsidRPr="00640626">
        <w:rPr>
          <w:lang w:val="fr-FR"/>
        </w:rPr>
        <w:t>Bien que contribuant à l’emploi, le secteur de</w:t>
      </w:r>
      <w:r w:rsidR="0084322F" w:rsidRPr="00640626">
        <w:rPr>
          <w:lang w:val="fr-FR"/>
        </w:rPr>
        <w:t xml:space="preserve">s </w:t>
      </w:r>
      <w:r w:rsidR="00CC7D7A" w:rsidRPr="00640626">
        <w:rPr>
          <w:lang w:val="fr-FR"/>
        </w:rPr>
        <w:t>pêche</w:t>
      </w:r>
      <w:r w:rsidR="0084322F" w:rsidRPr="00640626">
        <w:rPr>
          <w:lang w:val="fr-FR"/>
        </w:rPr>
        <w:t>s</w:t>
      </w:r>
      <w:r w:rsidR="00CC7D7A" w:rsidRPr="00640626">
        <w:rPr>
          <w:lang w:val="fr-FR"/>
        </w:rPr>
        <w:t xml:space="preserve"> et de l’aquaculture n’en présente pas moins des déficits de travail décent</w:t>
      </w:r>
      <w:r w:rsidR="001C3334" w:rsidRPr="00640626">
        <w:rPr>
          <w:vertAlign w:val="superscript"/>
          <w:lang w:val="fr-FR"/>
        </w:rPr>
        <w:footnoteReference w:id="3"/>
      </w:r>
      <w:r w:rsidR="00B37437" w:rsidRPr="00640626">
        <w:rPr>
          <w:lang w:val="fr-FR"/>
        </w:rPr>
        <w:t xml:space="preserve">, </w:t>
      </w:r>
      <w:r w:rsidR="00E909D7" w:rsidRPr="00640626">
        <w:rPr>
          <w:lang w:val="fr-FR"/>
        </w:rPr>
        <w:t>comme</w:t>
      </w:r>
      <w:r w:rsidR="00BA46BF" w:rsidRPr="00640626">
        <w:rPr>
          <w:lang w:val="fr-FR"/>
        </w:rPr>
        <w:t xml:space="preserve"> </w:t>
      </w:r>
      <w:r w:rsidR="00CC7D7A" w:rsidRPr="00640626">
        <w:rPr>
          <w:lang w:val="fr-FR"/>
        </w:rPr>
        <w:t>des revenus peu élevés et précaires</w:t>
      </w:r>
      <w:r w:rsidR="00565E6C" w:rsidRPr="00640626">
        <w:rPr>
          <w:lang w:val="fr-FR"/>
        </w:rPr>
        <w:t xml:space="preserve">; </w:t>
      </w:r>
      <w:r w:rsidR="00085783" w:rsidRPr="00640626">
        <w:rPr>
          <w:lang w:val="fr-FR"/>
        </w:rPr>
        <w:t xml:space="preserve">des conditions </w:t>
      </w:r>
      <w:r w:rsidR="003D17C5" w:rsidRPr="00640626">
        <w:rPr>
          <w:lang w:val="fr-FR"/>
        </w:rPr>
        <w:t>d’hygiène</w:t>
      </w:r>
      <w:r w:rsidR="00085783" w:rsidRPr="00640626">
        <w:rPr>
          <w:lang w:val="fr-FR"/>
        </w:rPr>
        <w:t xml:space="preserve">, de sécurité </w:t>
      </w:r>
      <w:r w:rsidR="003D17C5" w:rsidRPr="00640626">
        <w:rPr>
          <w:lang w:val="fr-FR"/>
        </w:rPr>
        <w:t xml:space="preserve">sanitaire </w:t>
      </w:r>
      <w:r w:rsidR="00085783" w:rsidRPr="00640626">
        <w:rPr>
          <w:lang w:val="fr-FR"/>
        </w:rPr>
        <w:t xml:space="preserve">et d’environnement médiocres </w:t>
      </w:r>
      <w:r w:rsidR="00BA46BF" w:rsidRPr="00640626">
        <w:rPr>
          <w:lang w:val="fr-FR"/>
        </w:rPr>
        <w:t>et dangereuses</w:t>
      </w:r>
      <w:r w:rsidR="00565E6C" w:rsidRPr="00640626">
        <w:rPr>
          <w:lang w:val="fr-FR"/>
        </w:rPr>
        <w:t>;</w:t>
      </w:r>
      <w:r w:rsidR="00085783" w:rsidRPr="00640626">
        <w:rPr>
          <w:lang w:val="fr-FR"/>
        </w:rPr>
        <w:t xml:space="preserve"> l’absence de contrats </w:t>
      </w:r>
      <w:r w:rsidR="00565E6C" w:rsidRPr="00640626">
        <w:rPr>
          <w:lang w:val="fr-FR"/>
        </w:rPr>
        <w:t xml:space="preserve">officiels </w:t>
      </w:r>
      <w:r w:rsidR="00085783" w:rsidRPr="00640626">
        <w:rPr>
          <w:lang w:val="fr-FR"/>
        </w:rPr>
        <w:t>stables</w:t>
      </w:r>
      <w:r w:rsidR="00565E6C" w:rsidRPr="00640626">
        <w:rPr>
          <w:lang w:val="fr-FR"/>
        </w:rPr>
        <w:t xml:space="preserve">; </w:t>
      </w:r>
      <w:r w:rsidR="00BA46BF" w:rsidRPr="00640626">
        <w:rPr>
          <w:lang w:val="fr-FR"/>
        </w:rPr>
        <w:t>d</w:t>
      </w:r>
      <w:r w:rsidR="003D17C5" w:rsidRPr="00640626">
        <w:rPr>
          <w:lang w:val="fr-FR"/>
        </w:rPr>
        <w:t xml:space="preserve">es </w:t>
      </w:r>
      <w:r w:rsidR="00565E6C" w:rsidRPr="00640626">
        <w:rPr>
          <w:lang w:val="fr-FR"/>
        </w:rPr>
        <w:t>inégalités entre les sexes</w:t>
      </w:r>
      <w:r w:rsidR="003D17C5" w:rsidRPr="00640626">
        <w:rPr>
          <w:lang w:val="fr-FR"/>
        </w:rPr>
        <w:t>; le recours au travail des enfants et au travai</w:t>
      </w:r>
      <w:r w:rsidR="00BA46BF" w:rsidRPr="00640626">
        <w:rPr>
          <w:lang w:val="fr-FR"/>
        </w:rPr>
        <w:t>l forcé</w:t>
      </w:r>
      <w:r w:rsidR="003D17C5" w:rsidRPr="00640626">
        <w:rPr>
          <w:lang w:val="fr-FR"/>
        </w:rPr>
        <w:t>; l’exploi</w:t>
      </w:r>
      <w:r w:rsidR="00BA46BF" w:rsidRPr="00640626">
        <w:rPr>
          <w:lang w:val="fr-FR"/>
        </w:rPr>
        <w:t>tation de travailleurs migrants</w:t>
      </w:r>
      <w:r w:rsidR="003D17C5" w:rsidRPr="00640626">
        <w:rPr>
          <w:lang w:val="fr-FR"/>
        </w:rPr>
        <w:t xml:space="preserve">; une protection sociale </w:t>
      </w:r>
      <w:r w:rsidR="00BA46BF" w:rsidRPr="00640626">
        <w:rPr>
          <w:lang w:val="fr-FR"/>
        </w:rPr>
        <w:t>médiocre et l’</w:t>
      </w:r>
      <w:r w:rsidR="003D17C5" w:rsidRPr="00640626">
        <w:rPr>
          <w:lang w:val="fr-FR"/>
        </w:rPr>
        <w:t xml:space="preserve">absence de dialogue social. </w:t>
      </w:r>
    </w:p>
    <w:p w:rsidR="001C3334" w:rsidRPr="00640626" w:rsidRDefault="00321070" w:rsidP="00321070">
      <w:pPr>
        <w:pStyle w:val="NewPara"/>
        <w:numPr>
          <w:ilvl w:val="0"/>
          <w:numId w:val="0"/>
        </w:numPr>
        <w:jc w:val="both"/>
        <w:rPr>
          <w:lang w:val="fr-FR"/>
        </w:rPr>
      </w:pPr>
      <w:r w:rsidRPr="00640626">
        <w:rPr>
          <w:lang w:val="fr-FR"/>
        </w:rPr>
        <w:t>4.</w:t>
      </w:r>
      <w:r w:rsidRPr="00640626">
        <w:rPr>
          <w:lang w:val="fr-FR"/>
        </w:rPr>
        <w:tab/>
      </w:r>
      <w:r w:rsidR="003D278E" w:rsidRPr="00640626">
        <w:rPr>
          <w:lang w:val="fr-FR"/>
        </w:rPr>
        <w:t>La protection des droits des travailleurs dans les secteurs de</w:t>
      </w:r>
      <w:r w:rsidR="00BA46BF" w:rsidRPr="00640626">
        <w:rPr>
          <w:lang w:val="fr-FR"/>
        </w:rPr>
        <w:t xml:space="preserve">s </w:t>
      </w:r>
      <w:r w:rsidR="003D278E" w:rsidRPr="00640626">
        <w:rPr>
          <w:lang w:val="fr-FR"/>
        </w:rPr>
        <w:t>pêche</w:t>
      </w:r>
      <w:r w:rsidR="00BA46BF" w:rsidRPr="00640626">
        <w:rPr>
          <w:lang w:val="fr-FR"/>
        </w:rPr>
        <w:t>s</w:t>
      </w:r>
      <w:r w:rsidR="003D278E" w:rsidRPr="00640626">
        <w:rPr>
          <w:lang w:val="fr-FR"/>
        </w:rPr>
        <w:t xml:space="preserve"> et de l’aquaculture reste limitée. Il existe bien des normes du travail rec</w:t>
      </w:r>
      <w:r w:rsidR="00E909D7" w:rsidRPr="00640626">
        <w:rPr>
          <w:lang w:val="fr-FR"/>
        </w:rPr>
        <w:t xml:space="preserve">onnues au niveau international </w:t>
      </w:r>
      <w:r w:rsidR="003D278E" w:rsidRPr="00640626">
        <w:rPr>
          <w:lang w:val="fr-FR"/>
        </w:rPr>
        <w:t xml:space="preserve">mais </w:t>
      </w:r>
      <w:r w:rsidR="00E909D7" w:rsidRPr="00640626">
        <w:rPr>
          <w:lang w:val="fr-FR"/>
        </w:rPr>
        <w:t xml:space="preserve">souvent, elles ne sont </w:t>
      </w:r>
      <w:r w:rsidR="00273F09" w:rsidRPr="00640626">
        <w:rPr>
          <w:lang w:val="fr-FR"/>
        </w:rPr>
        <w:t xml:space="preserve">pas appliquées, et leur respect n’est pas garanti </w:t>
      </w:r>
      <w:r w:rsidR="00B37437" w:rsidRPr="00640626">
        <w:rPr>
          <w:lang w:val="fr-FR"/>
        </w:rPr>
        <w:t xml:space="preserve">à </w:t>
      </w:r>
      <w:r w:rsidR="002910CA" w:rsidRPr="00640626">
        <w:rPr>
          <w:lang w:val="fr-FR"/>
        </w:rPr>
        <w:t>toutes</w:t>
      </w:r>
      <w:r w:rsidR="00B37437" w:rsidRPr="00640626">
        <w:rPr>
          <w:lang w:val="fr-FR"/>
        </w:rPr>
        <w:t xml:space="preserve"> les étapes</w:t>
      </w:r>
      <w:r w:rsidR="007E203A" w:rsidRPr="00640626">
        <w:rPr>
          <w:lang w:val="fr-FR"/>
        </w:rPr>
        <w:t xml:space="preserve"> des chaînes de valeur du poisson. </w:t>
      </w:r>
      <w:r w:rsidR="00273F09" w:rsidRPr="00640626">
        <w:rPr>
          <w:lang w:val="fr-FR"/>
        </w:rPr>
        <w:t>Mal</w:t>
      </w:r>
      <w:r w:rsidR="007E203A" w:rsidRPr="00640626">
        <w:rPr>
          <w:lang w:val="fr-FR"/>
        </w:rPr>
        <w:t xml:space="preserve"> organisées et peu entendues, la plupart des parties prenantes </w:t>
      </w:r>
      <w:r w:rsidR="0084322F" w:rsidRPr="00640626">
        <w:rPr>
          <w:lang w:val="fr-FR"/>
        </w:rPr>
        <w:t>– </w:t>
      </w:r>
      <w:r w:rsidR="007E203A" w:rsidRPr="00640626">
        <w:rPr>
          <w:lang w:val="fr-FR"/>
        </w:rPr>
        <w:t>artisans-pêch</w:t>
      </w:r>
      <w:r w:rsidR="0084322F" w:rsidRPr="00640626">
        <w:rPr>
          <w:lang w:val="fr-FR"/>
        </w:rPr>
        <w:t xml:space="preserve">eurs, </w:t>
      </w:r>
      <w:r w:rsidR="007E203A" w:rsidRPr="00640626">
        <w:rPr>
          <w:lang w:val="fr-FR"/>
        </w:rPr>
        <w:t xml:space="preserve">aquaculteurs et travailleurs </w:t>
      </w:r>
      <w:r w:rsidR="00273F09" w:rsidRPr="00640626">
        <w:rPr>
          <w:lang w:val="fr-FR"/>
        </w:rPr>
        <w:t>des</w:t>
      </w:r>
      <w:r w:rsidR="007E203A" w:rsidRPr="00640626">
        <w:rPr>
          <w:lang w:val="fr-FR"/>
        </w:rPr>
        <w:t xml:space="preserve"> chaînes de valeur du poisson </w:t>
      </w:r>
      <w:r w:rsidR="0084322F" w:rsidRPr="00640626">
        <w:rPr>
          <w:lang w:val="fr-FR"/>
        </w:rPr>
        <w:t xml:space="preserve">– </w:t>
      </w:r>
      <w:r w:rsidR="007E203A" w:rsidRPr="00640626">
        <w:rPr>
          <w:lang w:val="fr-FR"/>
        </w:rPr>
        <w:t xml:space="preserve">éprouvent des difficultés à peser sur les décisions </w:t>
      </w:r>
      <w:r w:rsidR="0084322F" w:rsidRPr="00640626">
        <w:rPr>
          <w:lang w:val="fr-FR"/>
        </w:rPr>
        <w:t xml:space="preserve">et </w:t>
      </w:r>
      <w:r w:rsidR="001305A6" w:rsidRPr="00640626">
        <w:rPr>
          <w:lang w:val="fr-FR"/>
        </w:rPr>
        <w:t xml:space="preserve">sur la législation, </w:t>
      </w:r>
      <w:r w:rsidR="0084322F" w:rsidRPr="00640626">
        <w:rPr>
          <w:lang w:val="fr-FR"/>
        </w:rPr>
        <w:t xml:space="preserve">et à accéder aux marchés ainsi qu’à de meilleures perspectives d’emploi. Les </w:t>
      </w:r>
      <w:r w:rsidR="00B37437" w:rsidRPr="00640626">
        <w:rPr>
          <w:lang w:val="fr-FR"/>
        </w:rPr>
        <w:t xml:space="preserve">conditions de travail, les aspects liés à l’emploi ou encore la représentation adéquate des préoccupations et des besoins des travailleurs du secteur des pêches ne sont pas systématiquement pris en compte dans les </w:t>
      </w:r>
      <w:r w:rsidR="0084322F" w:rsidRPr="00640626">
        <w:rPr>
          <w:lang w:val="fr-FR"/>
        </w:rPr>
        <w:t>politiques, s</w:t>
      </w:r>
      <w:r w:rsidR="00B37437" w:rsidRPr="00640626">
        <w:rPr>
          <w:lang w:val="fr-FR"/>
        </w:rPr>
        <w:t xml:space="preserve">tratégies et processus traitant de </w:t>
      </w:r>
      <w:r w:rsidR="00273F09" w:rsidRPr="00640626">
        <w:rPr>
          <w:lang w:val="fr-FR"/>
        </w:rPr>
        <w:t>pêche</w:t>
      </w:r>
      <w:r w:rsidR="0084322F" w:rsidRPr="00640626">
        <w:rPr>
          <w:lang w:val="fr-FR"/>
        </w:rPr>
        <w:t xml:space="preserve"> et </w:t>
      </w:r>
      <w:r w:rsidR="00B37437" w:rsidRPr="00640626">
        <w:rPr>
          <w:lang w:val="fr-FR"/>
        </w:rPr>
        <w:t>d</w:t>
      </w:r>
      <w:r w:rsidR="0084322F" w:rsidRPr="00640626">
        <w:rPr>
          <w:lang w:val="fr-FR"/>
        </w:rPr>
        <w:t>’aquaculture</w:t>
      </w:r>
      <w:r w:rsidR="001305A6" w:rsidRPr="00640626">
        <w:rPr>
          <w:lang w:val="fr-FR"/>
        </w:rPr>
        <w:t>.</w:t>
      </w:r>
    </w:p>
    <w:p w:rsidR="001C3334" w:rsidRPr="00640626" w:rsidRDefault="00321070" w:rsidP="00082B55">
      <w:pPr>
        <w:pStyle w:val="NewPara"/>
        <w:numPr>
          <w:ilvl w:val="0"/>
          <w:numId w:val="0"/>
        </w:numPr>
        <w:jc w:val="both"/>
        <w:rPr>
          <w:lang w:val="fr-FR"/>
        </w:rPr>
      </w:pPr>
      <w:r w:rsidRPr="00640626">
        <w:rPr>
          <w:lang w:val="fr-FR"/>
        </w:rPr>
        <w:t>5.</w:t>
      </w:r>
      <w:r w:rsidRPr="00640626">
        <w:rPr>
          <w:lang w:val="fr-FR"/>
        </w:rPr>
        <w:tab/>
      </w:r>
      <w:r w:rsidR="00B37437" w:rsidRPr="00640626">
        <w:rPr>
          <w:lang w:val="fr-FR"/>
        </w:rPr>
        <w:t>L</w:t>
      </w:r>
      <w:r w:rsidR="00E12F38" w:rsidRPr="00640626">
        <w:rPr>
          <w:lang w:val="fr-FR"/>
        </w:rPr>
        <w:t xml:space="preserve">e Comité de la sécurité alimentaire mondiale a recommandé </w:t>
      </w:r>
      <w:r w:rsidR="00B37437" w:rsidRPr="00640626">
        <w:rPr>
          <w:lang w:val="fr-FR"/>
        </w:rPr>
        <w:t xml:space="preserve">en 2014 </w:t>
      </w:r>
      <w:r w:rsidR="00E12F38" w:rsidRPr="00640626">
        <w:rPr>
          <w:lang w:val="fr-FR"/>
        </w:rPr>
        <w:t xml:space="preserve">que les parties prenantes s'efforcent </w:t>
      </w:r>
      <w:r w:rsidR="00E12F38" w:rsidRPr="00640626">
        <w:rPr>
          <w:i/>
          <w:lang w:val="fr-FR"/>
        </w:rPr>
        <w:t>«d'améliorer les conditions de travail dans les secteurs de la pêche et de l'aquaculture, en veillant notamment à garantir la sécurité en mer, à œuvrer pour un travail décent, à éliminer le travail forcé et le travail des enfants et à renforcer les</w:t>
      </w:r>
      <w:r w:rsidR="004E52B2" w:rsidRPr="00640626">
        <w:rPr>
          <w:i/>
          <w:lang w:val="fr-FR"/>
        </w:rPr>
        <w:t xml:space="preserve"> systèmes de protection sociale</w:t>
      </w:r>
      <w:r w:rsidR="00E12F38" w:rsidRPr="00640626">
        <w:rPr>
          <w:i/>
          <w:lang w:val="fr-FR"/>
        </w:rPr>
        <w:t>»</w:t>
      </w:r>
      <w:r w:rsidR="001C3334" w:rsidRPr="00640626">
        <w:rPr>
          <w:rStyle w:val="FootnoteReference"/>
          <w:sz w:val="18"/>
          <w:szCs w:val="24"/>
          <w:lang w:val="fr-FR"/>
        </w:rPr>
        <w:footnoteReference w:id="4"/>
      </w:r>
      <w:r w:rsidR="001C3334" w:rsidRPr="00640626">
        <w:rPr>
          <w:lang w:val="fr-FR"/>
        </w:rPr>
        <w:t xml:space="preserve">. </w:t>
      </w:r>
      <w:r w:rsidR="00B37437" w:rsidRPr="00640626">
        <w:rPr>
          <w:lang w:val="fr-FR"/>
        </w:rPr>
        <w:t>L</w:t>
      </w:r>
      <w:r w:rsidR="00E12F38" w:rsidRPr="00640626">
        <w:rPr>
          <w:lang w:val="fr-FR"/>
        </w:rPr>
        <w:t>e Comité de</w:t>
      </w:r>
      <w:r w:rsidR="008929C6" w:rsidRPr="00640626">
        <w:rPr>
          <w:lang w:val="fr-FR"/>
        </w:rPr>
        <w:t>s pêches a lui aussi évoqué réc</w:t>
      </w:r>
      <w:r w:rsidR="00E12F38" w:rsidRPr="00640626">
        <w:rPr>
          <w:lang w:val="fr-FR"/>
        </w:rPr>
        <w:t xml:space="preserve">emment les problématiques liées au travail décent dans le </w:t>
      </w:r>
      <w:r w:rsidR="00D720A5" w:rsidRPr="00640626">
        <w:rPr>
          <w:lang w:val="fr-FR"/>
        </w:rPr>
        <w:t>secteur de</w:t>
      </w:r>
      <w:r w:rsidR="00273F09" w:rsidRPr="00640626">
        <w:rPr>
          <w:lang w:val="fr-FR"/>
        </w:rPr>
        <w:t xml:space="preserve"> la pêche</w:t>
      </w:r>
      <w:r w:rsidR="001C3334" w:rsidRPr="00640626">
        <w:rPr>
          <w:rStyle w:val="FootnoteReference"/>
          <w:sz w:val="18"/>
          <w:szCs w:val="24"/>
          <w:lang w:val="fr-FR"/>
        </w:rPr>
        <w:footnoteReference w:id="5"/>
      </w:r>
      <w:r w:rsidR="001C3334" w:rsidRPr="00640626">
        <w:rPr>
          <w:lang w:val="fr-FR"/>
        </w:rPr>
        <w:t xml:space="preserve">. </w:t>
      </w:r>
    </w:p>
    <w:p w:rsidR="001C3334" w:rsidRPr="00640626" w:rsidRDefault="00321070" w:rsidP="00321070">
      <w:pPr>
        <w:pStyle w:val="NewPara"/>
        <w:numPr>
          <w:ilvl w:val="0"/>
          <w:numId w:val="0"/>
        </w:numPr>
        <w:jc w:val="both"/>
        <w:rPr>
          <w:lang w:val="fr-FR"/>
        </w:rPr>
      </w:pPr>
      <w:r w:rsidRPr="00640626">
        <w:rPr>
          <w:lang w:val="fr-FR"/>
        </w:rPr>
        <w:t>6.</w:t>
      </w:r>
      <w:r w:rsidRPr="00640626">
        <w:rPr>
          <w:lang w:val="fr-FR"/>
        </w:rPr>
        <w:tab/>
      </w:r>
      <w:r w:rsidR="008929C6" w:rsidRPr="00640626">
        <w:rPr>
          <w:lang w:val="fr-FR"/>
        </w:rPr>
        <w:t>S’appuyant sur le</w:t>
      </w:r>
      <w:r w:rsidR="00F673FA" w:rsidRPr="00640626">
        <w:rPr>
          <w:lang w:val="fr-FR"/>
        </w:rPr>
        <w:t xml:space="preserve"> Code de conduite pour une pêche responsable de la FAO </w:t>
      </w:r>
      <w:r w:rsidR="001C3334" w:rsidRPr="00640626">
        <w:rPr>
          <w:lang w:val="fr-FR"/>
        </w:rPr>
        <w:t>(CCRF</w:t>
      </w:r>
      <w:r w:rsidR="001C3334" w:rsidRPr="00640626">
        <w:rPr>
          <w:rStyle w:val="FootnoteReference"/>
          <w:sz w:val="18"/>
          <w:szCs w:val="24"/>
          <w:lang w:val="fr-FR"/>
        </w:rPr>
        <w:footnoteReference w:id="6"/>
      </w:r>
      <w:r w:rsidR="001C3334" w:rsidRPr="00640626">
        <w:rPr>
          <w:lang w:val="fr-FR"/>
        </w:rPr>
        <w:t xml:space="preserve">) </w:t>
      </w:r>
      <w:r w:rsidR="00F673FA" w:rsidRPr="00640626">
        <w:rPr>
          <w:lang w:val="fr-FR"/>
        </w:rPr>
        <w:t xml:space="preserve">et </w:t>
      </w:r>
      <w:r w:rsidR="00467905" w:rsidRPr="00640626">
        <w:rPr>
          <w:lang w:val="fr-FR"/>
        </w:rPr>
        <w:t xml:space="preserve">sur </w:t>
      </w:r>
      <w:r w:rsidR="00F673FA" w:rsidRPr="00640626">
        <w:rPr>
          <w:lang w:val="fr-FR"/>
        </w:rPr>
        <w:t xml:space="preserve">l’Objectif stratégique 3 </w:t>
      </w:r>
      <w:r w:rsidR="008929C6" w:rsidRPr="00640626">
        <w:rPr>
          <w:lang w:val="fr-FR"/>
        </w:rPr>
        <w:t>«Réduire</w:t>
      </w:r>
      <w:r w:rsidR="00F673FA" w:rsidRPr="00640626">
        <w:rPr>
          <w:lang w:val="fr-FR"/>
        </w:rPr>
        <w:t xml:space="preserve"> la pauvreté rurale</w:t>
      </w:r>
      <w:r w:rsidR="008929C6" w:rsidRPr="00640626">
        <w:rPr>
          <w:lang w:val="fr-FR"/>
        </w:rPr>
        <w:t>»</w:t>
      </w:r>
      <w:r w:rsidR="00F673FA" w:rsidRPr="00640626">
        <w:rPr>
          <w:lang w:val="fr-FR"/>
        </w:rPr>
        <w:t xml:space="preserve">, l’Initiative de la FAO en faveur de la croissance </w:t>
      </w:r>
      <w:r w:rsidR="00F673FA" w:rsidRPr="00640626">
        <w:rPr>
          <w:lang w:val="fr-FR"/>
        </w:rPr>
        <w:lastRenderedPageBreak/>
        <w:t xml:space="preserve">bleue met </w:t>
      </w:r>
      <w:r w:rsidR="008929C6" w:rsidRPr="00640626">
        <w:rPr>
          <w:lang w:val="fr-FR"/>
        </w:rPr>
        <w:t>donc également</w:t>
      </w:r>
      <w:r w:rsidR="00F673FA" w:rsidRPr="00640626">
        <w:rPr>
          <w:lang w:val="fr-FR"/>
        </w:rPr>
        <w:t xml:space="preserve"> l’accent sur la protection sociale et l’emploi rural décent. Elle souligne qu’il importe de </w:t>
      </w:r>
      <w:r w:rsidR="00E81D90" w:rsidRPr="00640626">
        <w:rPr>
          <w:lang w:val="fr-FR"/>
        </w:rPr>
        <w:t>veiller à ce</w:t>
      </w:r>
      <w:r w:rsidR="00F673FA" w:rsidRPr="00640626">
        <w:rPr>
          <w:lang w:val="fr-FR"/>
        </w:rPr>
        <w:t xml:space="preserve"> que les emplois bleus existants et créés soient également des emplois décents. </w:t>
      </w:r>
    </w:p>
    <w:p w:rsidR="00F673FA" w:rsidRPr="00640626" w:rsidRDefault="00F673FA" w:rsidP="00321070">
      <w:pPr>
        <w:pStyle w:val="NewPara"/>
        <w:numPr>
          <w:ilvl w:val="0"/>
          <w:numId w:val="0"/>
        </w:numPr>
        <w:jc w:val="both"/>
        <w:rPr>
          <w:lang w:val="fr-FR"/>
        </w:rPr>
      </w:pPr>
    </w:p>
    <w:p w:rsidR="001C3334" w:rsidRPr="00640626" w:rsidRDefault="00F673FA" w:rsidP="00082B55">
      <w:pPr>
        <w:pStyle w:val="Heading2"/>
        <w:numPr>
          <w:ilvl w:val="0"/>
          <w:numId w:val="0"/>
        </w:numPr>
        <w:spacing w:before="0"/>
        <w:jc w:val="left"/>
        <w:rPr>
          <w:lang w:val="fr-FR"/>
        </w:rPr>
      </w:pPr>
      <w:r w:rsidRPr="00640626">
        <w:rPr>
          <w:lang w:val="fr-FR"/>
        </w:rPr>
        <w:t xml:space="preserve">FAIRE </w:t>
      </w:r>
      <w:r w:rsidR="00273F09" w:rsidRPr="00640626">
        <w:rPr>
          <w:lang w:val="fr-FR"/>
        </w:rPr>
        <w:t>PROGRESSER</w:t>
      </w:r>
      <w:r w:rsidRPr="00640626">
        <w:rPr>
          <w:lang w:val="fr-FR"/>
        </w:rPr>
        <w:t xml:space="preserve"> L’AGENDA POUR LE TRAVAIL DÉCENT DANS L’AQUACULTURE MONDIALE</w:t>
      </w:r>
    </w:p>
    <w:p w:rsidR="001C3334" w:rsidRPr="00640626" w:rsidRDefault="001C3334" w:rsidP="001C3334">
      <w:pPr>
        <w:pStyle w:val="Heading3"/>
        <w:jc w:val="left"/>
        <w:rPr>
          <w:i w:val="0"/>
          <w:lang w:val="fr-FR"/>
        </w:rPr>
      </w:pPr>
    </w:p>
    <w:p w:rsidR="00386702" w:rsidRPr="00640626" w:rsidRDefault="00386702" w:rsidP="001C3334">
      <w:pPr>
        <w:pStyle w:val="ListParagraph"/>
        <w:numPr>
          <w:ilvl w:val="0"/>
          <w:numId w:val="2"/>
        </w:numPr>
        <w:ind w:left="0"/>
        <w:contextualSpacing w:val="0"/>
        <w:jc w:val="both"/>
        <w:rPr>
          <w:vanish/>
          <w:lang w:val="fr-FR"/>
        </w:rPr>
      </w:pPr>
    </w:p>
    <w:p w:rsidR="00386702" w:rsidRPr="00640626" w:rsidRDefault="00386702" w:rsidP="001C3334">
      <w:pPr>
        <w:pStyle w:val="ListParagraph"/>
        <w:numPr>
          <w:ilvl w:val="0"/>
          <w:numId w:val="2"/>
        </w:numPr>
        <w:ind w:left="0"/>
        <w:contextualSpacing w:val="0"/>
        <w:jc w:val="both"/>
        <w:rPr>
          <w:vanish/>
          <w:lang w:val="fr-FR"/>
        </w:rPr>
      </w:pPr>
    </w:p>
    <w:p w:rsidR="00386702" w:rsidRPr="00640626" w:rsidRDefault="00386702" w:rsidP="001C3334">
      <w:pPr>
        <w:pStyle w:val="ListParagraph"/>
        <w:numPr>
          <w:ilvl w:val="0"/>
          <w:numId w:val="2"/>
        </w:numPr>
        <w:ind w:left="0"/>
        <w:contextualSpacing w:val="0"/>
        <w:jc w:val="both"/>
        <w:rPr>
          <w:vanish/>
          <w:lang w:val="fr-FR"/>
        </w:rPr>
      </w:pPr>
    </w:p>
    <w:p w:rsidR="00386702" w:rsidRPr="00640626" w:rsidRDefault="00386702" w:rsidP="001C3334">
      <w:pPr>
        <w:pStyle w:val="ListParagraph"/>
        <w:numPr>
          <w:ilvl w:val="0"/>
          <w:numId w:val="2"/>
        </w:numPr>
        <w:ind w:left="0"/>
        <w:contextualSpacing w:val="0"/>
        <w:jc w:val="both"/>
        <w:rPr>
          <w:vanish/>
          <w:lang w:val="fr-FR"/>
        </w:rPr>
      </w:pPr>
    </w:p>
    <w:p w:rsidR="00386702" w:rsidRPr="00640626" w:rsidRDefault="00386702" w:rsidP="001C3334">
      <w:pPr>
        <w:pStyle w:val="ListParagraph"/>
        <w:numPr>
          <w:ilvl w:val="0"/>
          <w:numId w:val="2"/>
        </w:numPr>
        <w:ind w:left="0"/>
        <w:contextualSpacing w:val="0"/>
        <w:jc w:val="both"/>
        <w:rPr>
          <w:vanish/>
          <w:lang w:val="fr-FR"/>
        </w:rPr>
      </w:pPr>
    </w:p>
    <w:p w:rsidR="001C3334" w:rsidRPr="00640626" w:rsidRDefault="003E4BF3" w:rsidP="001C3334">
      <w:pPr>
        <w:pStyle w:val="NewPara"/>
        <w:jc w:val="both"/>
        <w:rPr>
          <w:lang w:val="fr-FR"/>
        </w:rPr>
      </w:pPr>
      <w:r w:rsidRPr="00640626">
        <w:rPr>
          <w:lang w:val="fr-FR"/>
        </w:rPr>
        <w:t>L</w:t>
      </w:r>
      <w:r w:rsidR="00000871" w:rsidRPr="00640626">
        <w:rPr>
          <w:lang w:val="fr-FR"/>
        </w:rPr>
        <w:t xml:space="preserve">a FAO </w:t>
      </w:r>
      <w:r w:rsidRPr="00640626">
        <w:rPr>
          <w:lang w:val="fr-FR"/>
        </w:rPr>
        <w:t>mène son</w:t>
      </w:r>
      <w:r w:rsidR="00000871" w:rsidRPr="00640626">
        <w:rPr>
          <w:lang w:val="fr-FR"/>
        </w:rPr>
        <w:t xml:space="preserve"> </w:t>
      </w:r>
      <w:r w:rsidRPr="00640626">
        <w:rPr>
          <w:lang w:val="fr-FR"/>
        </w:rPr>
        <w:t xml:space="preserve">action </w:t>
      </w:r>
      <w:r w:rsidR="00000871" w:rsidRPr="00640626">
        <w:rPr>
          <w:lang w:val="fr-FR"/>
        </w:rPr>
        <w:t>en faveur de l’emploi décent en milieu rural</w:t>
      </w:r>
      <w:r w:rsidRPr="00640626">
        <w:rPr>
          <w:lang w:val="fr-FR"/>
        </w:rPr>
        <w:t xml:space="preserve"> en collaboration avec l’Organisation </w:t>
      </w:r>
      <w:r w:rsidR="00467905" w:rsidRPr="00640626">
        <w:rPr>
          <w:lang w:val="fr-FR"/>
        </w:rPr>
        <w:t>internationale du Travail (OIT). Celle-ci</w:t>
      </w:r>
      <w:r w:rsidRPr="00640626">
        <w:rPr>
          <w:lang w:val="fr-FR"/>
        </w:rPr>
        <w:t xml:space="preserve"> pilote l</w:t>
      </w:r>
      <w:r w:rsidR="00846F3E" w:rsidRPr="00640626">
        <w:rPr>
          <w:lang w:val="fr-FR"/>
        </w:rPr>
        <w:t>’Agenda global pour l’emploi</w:t>
      </w:r>
      <w:r w:rsidR="00467905" w:rsidRPr="00640626">
        <w:rPr>
          <w:lang w:val="fr-FR"/>
        </w:rPr>
        <w:t xml:space="preserve">, qui comprend l’Agenda pour </w:t>
      </w:r>
      <w:r w:rsidRPr="00640626">
        <w:rPr>
          <w:lang w:val="fr-FR"/>
        </w:rPr>
        <w:t>le travail décent</w:t>
      </w:r>
      <w:r w:rsidR="00000871" w:rsidRPr="00640626">
        <w:rPr>
          <w:lang w:val="fr-FR"/>
        </w:rPr>
        <w:t>. L’</w:t>
      </w:r>
      <w:r w:rsidR="00000871" w:rsidRPr="00640626">
        <w:rPr>
          <w:u w:val="single"/>
          <w:lang w:val="fr-FR"/>
        </w:rPr>
        <w:t>emploi rural décent</w:t>
      </w:r>
      <w:r w:rsidR="001C3334" w:rsidRPr="00640626">
        <w:rPr>
          <w:rStyle w:val="FootnoteReference"/>
          <w:sz w:val="18"/>
          <w:szCs w:val="24"/>
          <w:lang w:val="fr-FR"/>
        </w:rPr>
        <w:footnoteReference w:id="7"/>
      </w:r>
      <w:r w:rsidR="001C3334" w:rsidRPr="00640626">
        <w:rPr>
          <w:lang w:val="fr-FR"/>
        </w:rPr>
        <w:t xml:space="preserve"> </w:t>
      </w:r>
      <w:r w:rsidR="00C70DA3" w:rsidRPr="00640626">
        <w:rPr>
          <w:lang w:val="fr-FR"/>
        </w:rPr>
        <w:t xml:space="preserve">est l’application pratique du concept de travail décent aux réalités du secteur de l’agriculture, et plus généralement, des zones rurales. </w:t>
      </w:r>
      <w:r w:rsidR="00846F3E" w:rsidRPr="00640626">
        <w:rPr>
          <w:lang w:val="fr-FR"/>
        </w:rPr>
        <w:t xml:space="preserve">Par « emploi rural décent », on entend </w:t>
      </w:r>
      <w:r w:rsidR="00C70DA3" w:rsidRPr="00640626">
        <w:rPr>
          <w:lang w:val="fr-FR"/>
        </w:rPr>
        <w:t xml:space="preserve">toute activité, profession, travail, entreprise ou service effectué par des femmes et des hommes, des adultes et des jeunes, dans les zones rurales, </w:t>
      </w:r>
      <w:r w:rsidR="00386702" w:rsidRPr="00640626">
        <w:rPr>
          <w:lang w:val="fr-FR"/>
        </w:rPr>
        <w:t xml:space="preserve">et </w:t>
      </w:r>
      <w:r w:rsidR="00C70DA3" w:rsidRPr="00640626">
        <w:rPr>
          <w:lang w:val="fr-FR"/>
        </w:rPr>
        <w:t>qui</w:t>
      </w:r>
      <w:r w:rsidR="004E52B2" w:rsidRPr="00640626">
        <w:rPr>
          <w:lang w:val="fr-FR"/>
        </w:rPr>
        <w:t>:</w:t>
      </w:r>
    </w:p>
    <w:p w:rsidR="001C3334" w:rsidRPr="00640626" w:rsidRDefault="00C70DA3" w:rsidP="001C3334">
      <w:pPr>
        <w:pStyle w:val="BulletList"/>
        <w:rPr>
          <w:lang w:val="fr-FR"/>
        </w:rPr>
      </w:pPr>
      <w:r w:rsidRPr="00640626">
        <w:rPr>
          <w:lang w:val="fr-FR"/>
        </w:rPr>
        <w:t>respecte les normes fondamentales au travail telles que définie</w:t>
      </w:r>
      <w:r w:rsidR="00BE22EB" w:rsidRPr="00640626">
        <w:rPr>
          <w:lang w:val="fr-FR"/>
        </w:rPr>
        <w:t>s dans les conventions de l'OIT</w:t>
      </w:r>
      <w:r w:rsidR="001C3334" w:rsidRPr="00640626">
        <w:rPr>
          <w:rStyle w:val="FootnoteReference"/>
          <w:sz w:val="18"/>
          <w:szCs w:val="24"/>
          <w:lang w:val="fr-FR"/>
        </w:rPr>
        <w:footnoteReference w:id="8"/>
      </w:r>
      <w:r w:rsidR="001C3334" w:rsidRPr="00640626">
        <w:rPr>
          <w:lang w:val="fr-FR"/>
        </w:rPr>
        <w:t xml:space="preserve">, </w:t>
      </w:r>
      <w:r w:rsidRPr="00640626">
        <w:rPr>
          <w:lang w:val="fr-FR"/>
        </w:rPr>
        <w:t>et implique que</w:t>
      </w:r>
      <w:r w:rsidR="004E52B2" w:rsidRPr="00640626">
        <w:rPr>
          <w:rStyle w:val="FootnoteReference"/>
          <w:sz w:val="18"/>
          <w:szCs w:val="24"/>
          <w:lang w:val="fr-FR"/>
        </w:rPr>
        <w:t>:</w:t>
      </w:r>
    </w:p>
    <w:p w:rsidR="001C3334" w:rsidRPr="00640626" w:rsidRDefault="00C70DA3" w:rsidP="001C3334">
      <w:pPr>
        <w:pStyle w:val="BulletList"/>
        <w:numPr>
          <w:ilvl w:val="1"/>
          <w:numId w:val="3"/>
        </w:numPr>
        <w:rPr>
          <w:lang w:val="fr-FR"/>
        </w:rPr>
      </w:pPr>
      <w:r w:rsidRPr="00640626">
        <w:rPr>
          <w:lang w:val="fr-FR"/>
        </w:rPr>
        <w:t>il n’y a pas de travail des enfants;</w:t>
      </w:r>
      <w:r w:rsidR="001C3334" w:rsidRPr="00640626">
        <w:rPr>
          <w:lang w:val="fr-FR"/>
        </w:rPr>
        <w:t xml:space="preserve"> </w:t>
      </w:r>
    </w:p>
    <w:p w:rsidR="001C3334" w:rsidRPr="00640626" w:rsidRDefault="009E36E0" w:rsidP="001C3334">
      <w:pPr>
        <w:pStyle w:val="BulletList"/>
        <w:numPr>
          <w:ilvl w:val="1"/>
          <w:numId w:val="3"/>
        </w:numPr>
        <w:rPr>
          <w:lang w:val="fr-FR"/>
        </w:rPr>
      </w:pPr>
      <w:r w:rsidRPr="00640626">
        <w:rPr>
          <w:lang w:val="fr-FR"/>
        </w:rPr>
        <w:t>il n’y a pas de travail forcé</w:t>
      </w:r>
      <w:r w:rsidR="00C70DA3" w:rsidRPr="00640626">
        <w:rPr>
          <w:lang w:val="fr-FR"/>
        </w:rPr>
        <w:t>;</w:t>
      </w:r>
      <w:r w:rsidR="001C3334" w:rsidRPr="00640626">
        <w:rPr>
          <w:lang w:val="fr-FR"/>
        </w:rPr>
        <w:t xml:space="preserve"> </w:t>
      </w:r>
    </w:p>
    <w:p w:rsidR="001C3334" w:rsidRPr="00640626" w:rsidRDefault="00C70DA3" w:rsidP="001C3334">
      <w:pPr>
        <w:pStyle w:val="BulletList"/>
        <w:numPr>
          <w:ilvl w:val="1"/>
          <w:numId w:val="3"/>
        </w:numPr>
        <w:rPr>
          <w:lang w:val="fr-FR"/>
        </w:rPr>
      </w:pPr>
      <w:r w:rsidRPr="00640626">
        <w:rPr>
          <w:lang w:val="fr-FR"/>
        </w:rPr>
        <w:t>la liberté d’association et le droit à la négociation collective sont garantis, et l’organisation des travailleurs ruraux, favorisée;</w:t>
      </w:r>
    </w:p>
    <w:p w:rsidR="001C3334" w:rsidRPr="00640626" w:rsidRDefault="00C70DA3" w:rsidP="001C3334">
      <w:pPr>
        <w:pStyle w:val="BulletList"/>
        <w:numPr>
          <w:ilvl w:val="1"/>
          <w:numId w:val="3"/>
        </w:numPr>
        <w:rPr>
          <w:lang w:val="fr-FR"/>
        </w:rPr>
      </w:pPr>
      <w:r w:rsidRPr="00640626">
        <w:rPr>
          <w:lang w:val="fr-FR"/>
        </w:rPr>
        <w:t>il n’y a aucune discrimination au travail fondée sur l’appartenance ethnique, la couleur, le sexe, la religion, l'opinion politique, la nationalité, l'origine sociale ou autre</w:t>
      </w:r>
      <w:r w:rsidR="00846F3E" w:rsidRPr="00640626">
        <w:rPr>
          <w:lang w:val="fr-FR"/>
        </w:rPr>
        <w:t>;</w:t>
      </w:r>
      <w:r w:rsidR="001C3334" w:rsidRPr="00640626">
        <w:rPr>
          <w:lang w:val="fr-FR"/>
        </w:rPr>
        <w:t xml:space="preserve"> </w:t>
      </w:r>
    </w:p>
    <w:p w:rsidR="001C3334" w:rsidRPr="00640626" w:rsidRDefault="00C70DA3" w:rsidP="001C3334">
      <w:pPr>
        <w:pStyle w:val="BulletList"/>
        <w:rPr>
          <w:lang w:val="fr-FR"/>
        </w:rPr>
      </w:pPr>
      <w:r w:rsidRPr="00640626">
        <w:rPr>
          <w:lang w:val="fr-FR"/>
        </w:rPr>
        <w:t>garantit un revenu de subsistance</w:t>
      </w:r>
      <w:r w:rsidR="001C3334" w:rsidRPr="00640626">
        <w:rPr>
          <w:lang w:val="fr-FR"/>
        </w:rPr>
        <w:t xml:space="preserve">; </w:t>
      </w:r>
    </w:p>
    <w:p w:rsidR="001C3334" w:rsidRPr="00640626" w:rsidRDefault="00000871" w:rsidP="001C3334">
      <w:pPr>
        <w:pStyle w:val="BulletList"/>
        <w:rPr>
          <w:lang w:val="fr-FR"/>
        </w:rPr>
      </w:pPr>
      <w:r w:rsidRPr="00640626">
        <w:rPr>
          <w:lang w:val="fr-FR"/>
        </w:rPr>
        <w:t>offre un degré adéquat de stabilité et sécurité de l'emploi</w:t>
      </w:r>
      <w:r w:rsidR="001C3334" w:rsidRPr="00640626">
        <w:rPr>
          <w:lang w:val="fr-FR"/>
        </w:rPr>
        <w:t xml:space="preserve">; </w:t>
      </w:r>
    </w:p>
    <w:p w:rsidR="001C3334" w:rsidRPr="00640626" w:rsidRDefault="00000871" w:rsidP="001C3334">
      <w:pPr>
        <w:pStyle w:val="BulletList"/>
        <w:rPr>
          <w:lang w:val="fr-FR"/>
        </w:rPr>
      </w:pPr>
      <w:r w:rsidRPr="00640626">
        <w:rPr>
          <w:lang w:val="fr-FR"/>
        </w:rPr>
        <w:t>adopte des mesures minimales de santé et sécurité au travail (SST) pour répondre aux risques et dangers spécifiques du secteur;</w:t>
      </w:r>
    </w:p>
    <w:p w:rsidR="001C3334" w:rsidRPr="00640626" w:rsidRDefault="00000871" w:rsidP="001C3334">
      <w:pPr>
        <w:pStyle w:val="BulletList"/>
        <w:rPr>
          <w:lang w:val="fr-FR"/>
        </w:rPr>
      </w:pPr>
      <w:r w:rsidRPr="00640626">
        <w:rPr>
          <w:lang w:val="fr-FR"/>
        </w:rPr>
        <w:t>évite des heures de travail excessives et permet aux travailleurs de se reposer suffisamment, et</w:t>
      </w:r>
      <w:r w:rsidR="001C3334" w:rsidRPr="00640626">
        <w:rPr>
          <w:lang w:val="fr-FR"/>
        </w:rPr>
        <w:t xml:space="preserve"> </w:t>
      </w:r>
    </w:p>
    <w:p w:rsidR="001C3334" w:rsidRPr="00640626" w:rsidRDefault="00000871" w:rsidP="001C3334">
      <w:pPr>
        <w:pStyle w:val="BulletList"/>
        <w:rPr>
          <w:lang w:val="fr-FR"/>
        </w:rPr>
      </w:pPr>
      <w:r w:rsidRPr="00640626">
        <w:rPr>
          <w:lang w:val="fr-FR"/>
        </w:rPr>
        <w:t>promeut l'accès à la formation technique et professionnelle adaptée</w:t>
      </w:r>
      <w:r w:rsidR="001C3334" w:rsidRPr="00640626">
        <w:rPr>
          <w:lang w:val="fr-FR"/>
        </w:rPr>
        <w:t>.</w:t>
      </w:r>
    </w:p>
    <w:p w:rsidR="001C3334" w:rsidRPr="00640626" w:rsidRDefault="00000871" w:rsidP="001C3334">
      <w:pPr>
        <w:pStyle w:val="NewPara"/>
        <w:jc w:val="both"/>
        <w:rPr>
          <w:lang w:val="fr-FR"/>
        </w:rPr>
      </w:pPr>
      <w:r w:rsidRPr="00640626">
        <w:rPr>
          <w:lang w:val="fr-FR"/>
        </w:rPr>
        <w:t xml:space="preserve">Comme pour les autres sous-secteurs agricoles, la FAO met à profit ses connaissances et son expérience en matière </w:t>
      </w:r>
      <w:r w:rsidR="00386702" w:rsidRPr="00640626">
        <w:rPr>
          <w:lang w:val="fr-FR"/>
        </w:rPr>
        <w:t>de développement aquacole</w:t>
      </w:r>
      <w:r w:rsidRPr="00640626">
        <w:rPr>
          <w:lang w:val="fr-FR"/>
        </w:rPr>
        <w:t xml:space="preserve"> pour aider à la conception et à la mise en œuvre de mécanismes </w:t>
      </w:r>
      <w:r w:rsidR="00183825" w:rsidRPr="00640626">
        <w:rPr>
          <w:lang w:val="fr-FR"/>
        </w:rPr>
        <w:t>spécifiques</w:t>
      </w:r>
      <w:r w:rsidRPr="00640626">
        <w:rPr>
          <w:lang w:val="fr-FR"/>
        </w:rPr>
        <w:t xml:space="preserve"> destinés à faci</w:t>
      </w:r>
      <w:r w:rsidR="00386702" w:rsidRPr="00640626">
        <w:rPr>
          <w:lang w:val="fr-FR"/>
        </w:rPr>
        <w:t>liter la promotion du travail décent et son adoption dans ce secteur.</w:t>
      </w:r>
    </w:p>
    <w:p w:rsidR="001C3334" w:rsidRPr="00640626" w:rsidRDefault="001C3334" w:rsidP="001C3334">
      <w:pPr>
        <w:rPr>
          <w:lang w:val="fr-FR"/>
        </w:rPr>
      </w:pPr>
    </w:p>
    <w:p w:rsidR="001C3334" w:rsidRPr="00640626" w:rsidRDefault="00546882" w:rsidP="00082B55">
      <w:pPr>
        <w:pStyle w:val="Heading2"/>
        <w:numPr>
          <w:ilvl w:val="0"/>
          <w:numId w:val="0"/>
        </w:numPr>
        <w:spacing w:before="0"/>
        <w:jc w:val="left"/>
        <w:rPr>
          <w:lang w:val="fr-FR"/>
        </w:rPr>
      </w:pPr>
      <w:r w:rsidRPr="00640626">
        <w:rPr>
          <w:lang w:val="fr-FR"/>
        </w:rPr>
        <w:t>PRINCIPAUX ENJEUX</w:t>
      </w:r>
      <w:r w:rsidR="00386702" w:rsidRPr="00640626">
        <w:rPr>
          <w:lang w:val="fr-FR"/>
        </w:rPr>
        <w:t xml:space="preserve"> ET ACTIONS </w:t>
      </w:r>
      <w:r w:rsidR="00183825" w:rsidRPr="00640626">
        <w:rPr>
          <w:lang w:val="fr-FR"/>
        </w:rPr>
        <w:t>POSSIBLES</w:t>
      </w:r>
    </w:p>
    <w:p w:rsidR="001C3334" w:rsidRPr="00640626" w:rsidRDefault="001C3334" w:rsidP="001C3334">
      <w:pPr>
        <w:rPr>
          <w:lang w:val="fr-FR"/>
        </w:rPr>
      </w:pPr>
    </w:p>
    <w:p w:rsidR="001C3334" w:rsidRPr="00640626" w:rsidRDefault="00183825" w:rsidP="001C3334">
      <w:pPr>
        <w:pStyle w:val="NewPara"/>
        <w:jc w:val="both"/>
        <w:rPr>
          <w:lang w:val="fr-FR"/>
        </w:rPr>
      </w:pPr>
      <w:r w:rsidRPr="00640626">
        <w:rPr>
          <w:lang w:val="fr-FR"/>
        </w:rPr>
        <w:t>L</w:t>
      </w:r>
      <w:r w:rsidR="00A4004C" w:rsidRPr="00640626">
        <w:rPr>
          <w:lang w:val="fr-FR"/>
        </w:rPr>
        <w:t xml:space="preserve">es principaux enjeux liés au travail décent dans le domaine de l’aquaculture et les actions </w:t>
      </w:r>
      <w:r w:rsidRPr="00640626">
        <w:rPr>
          <w:lang w:val="fr-FR"/>
        </w:rPr>
        <w:t>susceptibles d’être menées dans ce contexte sont présentés ci-après</w:t>
      </w:r>
      <w:r w:rsidR="00A3795B" w:rsidRPr="00640626">
        <w:rPr>
          <w:lang w:val="fr-FR"/>
        </w:rPr>
        <w:t xml:space="preserve">. Ces différents éléments </w:t>
      </w:r>
      <w:r w:rsidR="00A3795B" w:rsidRPr="00640626">
        <w:rPr>
          <w:lang w:val="fr-FR"/>
        </w:rPr>
        <w:lastRenderedPageBreak/>
        <w:t>s’articulent sur les</w:t>
      </w:r>
      <w:r w:rsidRPr="00640626">
        <w:rPr>
          <w:lang w:val="fr-FR"/>
        </w:rPr>
        <w:t xml:space="preserve"> quatre volets de l’Agenda pour le</w:t>
      </w:r>
      <w:r w:rsidR="00A4004C" w:rsidRPr="00640626">
        <w:rPr>
          <w:lang w:val="fr-FR"/>
        </w:rPr>
        <w:t xml:space="preserve"> travail décent approuvé au niveau mondial</w:t>
      </w:r>
      <w:r w:rsidR="001C3334" w:rsidRPr="00640626">
        <w:rPr>
          <w:rStyle w:val="FootnoteReference"/>
          <w:sz w:val="18"/>
          <w:szCs w:val="24"/>
          <w:lang w:val="fr-FR"/>
        </w:rPr>
        <w:footnoteReference w:id="9"/>
      </w:r>
      <w:r w:rsidR="00A4004C" w:rsidRPr="00640626">
        <w:rPr>
          <w:lang w:val="fr-FR"/>
        </w:rPr>
        <w:t>, à savoir</w:t>
      </w:r>
      <w:r w:rsidR="004E52B2" w:rsidRPr="00640626">
        <w:rPr>
          <w:lang w:val="fr-FR"/>
        </w:rPr>
        <w:t>:</w:t>
      </w:r>
    </w:p>
    <w:p w:rsidR="001C3334" w:rsidRPr="00640626" w:rsidRDefault="00A4004C" w:rsidP="001C3334">
      <w:pPr>
        <w:pStyle w:val="SequentialList"/>
        <w:rPr>
          <w:lang w:val="fr-FR"/>
        </w:rPr>
      </w:pPr>
      <w:r w:rsidRPr="00640626">
        <w:rPr>
          <w:lang w:val="fr-FR"/>
        </w:rPr>
        <w:t>création d’emploi e</w:t>
      </w:r>
      <w:r w:rsidR="003E4BF3" w:rsidRPr="00640626">
        <w:rPr>
          <w:lang w:val="fr-FR"/>
        </w:rPr>
        <w:t>t développement d</w:t>
      </w:r>
      <w:r w:rsidR="00B50E73" w:rsidRPr="00640626">
        <w:rPr>
          <w:lang w:val="fr-FR"/>
        </w:rPr>
        <w:t>e l’entreprise</w:t>
      </w:r>
      <w:r w:rsidRPr="00640626">
        <w:rPr>
          <w:lang w:val="fr-FR"/>
        </w:rPr>
        <w:t>;</w:t>
      </w:r>
    </w:p>
    <w:p w:rsidR="00A4004C" w:rsidRPr="00640626" w:rsidRDefault="00D966D8" w:rsidP="001C3334">
      <w:pPr>
        <w:pStyle w:val="SequentialList"/>
        <w:rPr>
          <w:lang w:val="fr-FR"/>
        </w:rPr>
      </w:pPr>
      <w:r w:rsidRPr="00640626">
        <w:rPr>
          <w:lang w:val="fr-FR"/>
        </w:rPr>
        <w:t>protection sociale</w:t>
      </w:r>
      <w:r w:rsidR="00A4004C" w:rsidRPr="00640626">
        <w:rPr>
          <w:lang w:val="fr-FR"/>
        </w:rPr>
        <w:t>;</w:t>
      </w:r>
    </w:p>
    <w:p w:rsidR="001C3334" w:rsidRPr="00640626" w:rsidRDefault="00A4004C" w:rsidP="001C3334">
      <w:pPr>
        <w:pStyle w:val="SequentialList"/>
        <w:rPr>
          <w:lang w:val="fr-FR"/>
        </w:rPr>
      </w:pPr>
      <w:r w:rsidRPr="00640626">
        <w:rPr>
          <w:lang w:val="fr-FR"/>
        </w:rPr>
        <w:t>normes et droits au travail, et</w:t>
      </w:r>
      <w:r w:rsidR="00A3795B" w:rsidRPr="00640626">
        <w:rPr>
          <w:lang w:val="fr-FR"/>
        </w:rPr>
        <w:t xml:space="preserve"> </w:t>
      </w:r>
    </w:p>
    <w:p w:rsidR="001C3334" w:rsidRPr="00640626" w:rsidRDefault="00A3795B" w:rsidP="001C3334">
      <w:pPr>
        <w:pStyle w:val="SequentialList"/>
        <w:rPr>
          <w:lang w:val="fr-FR"/>
        </w:rPr>
      </w:pPr>
      <w:r w:rsidRPr="00640626">
        <w:rPr>
          <w:lang w:val="fr-FR"/>
        </w:rPr>
        <w:t>gouvernance et dialogue social.</w:t>
      </w:r>
    </w:p>
    <w:p w:rsidR="001C3334" w:rsidRPr="00640626" w:rsidRDefault="004B5FDB" w:rsidP="00082B55">
      <w:pPr>
        <w:pStyle w:val="NewPara"/>
        <w:jc w:val="both"/>
        <w:rPr>
          <w:lang w:val="fr-FR"/>
        </w:rPr>
      </w:pPr>
      <w:r w:rsidRPr="00640626">
        <w:rPr>
          <w:lang w:val="fr-FR"/>
        </w:rPr>
        <w:t xml:space="preserve">Les paragraphes qui suivent évoquent une série de </w:t>
      </w:r>
      <w:r w:rsidR="00B37AC6" w:rsidRPr="00640626">
        <w:rPr>
          <w:lang w:val="fr-FR"/>
        </w:rPr>
        <w:t xml:space="preserve">questions clés </w:t>
      </w:r>
      <w:r w:rsidR="00450795" w:rsidRPr="00640626">
        <w:rPr>
          <w:lang w:val="fr-FR"/>
        </w:rPr>
        <w:t xml:space="preserve">pouvant </w:t>
      </w:r>
      <w:r w:rsidRPr="00640626">
        <w:rPr>
          <w:lang w:val="fr-FR"/>
        </w:rPr>
        <w:t xml:space="preserve">réclamer l’attention </w:t>
      </w:r>
      <w:r w:rsidR="00B37AC6" w:rsidRPr="00640626">
        <w:rPr>
          <w:lang w:val="fr-FR"/>
        </w:rPr>
        <w:t xml:space="preserve">et donner lieu à des mesures </w:t>
      </w:r>
      <w:r w:rsidRPr="00640626">
        <w:rPr>
          <w:lang w:val="fr-FR"/>
        </w:rPr>
        <w:t xml:space="preserve">d’importance critique ayant </w:t>
      </w:r>
      <w:r w:rsidR="00B03D21" w:rsidRPr="00640626">
        <w:rPr>
          <w:lang w:val="fr-FR"/>
        </w:rPr>
        <w:t>p</w:t>
      </w:r>
      <w:r w:rsidRPr="00640626">
        <w:rPr>
          <w:lang w:val="fr-FR"/>
        </w:rPr>
        <w:t xml:space="preserve">our double objectif </w:t>
      </w:r>
      <w:r w:rsidR="006025FE" w:rsidRPr="00640626">
        <w:rPr>
          <w:lang w:val="fr-FR"/>
        </w:rPr>
        <w:t>d’</w:t>
      </w:r>
      <w:r w:rsidR="00B37AC6" w:rsidRPr="00640626">
        <w:rPr>
          <w:lang w:val="fr-FR"/>
        </w:rPr>
        <w:t xml:space="preserve">améliorer les aspects </w:t>
      </w:r>
      <w:r w:rsidR="00450795" w:rsidRPr="00640626">
        <w:rPr>
          <w:lang w:val="fr-FR"/>
        </w:rPr>
        <w:t xml:space="preserve">intéressant </w:t>
      </w:r>
      <w:r w:rsidR="00B37AC6" w:rsidRPr="00640626">
        <w:rPr>
          <w:lang w:val="fr-FR"/>
        </w:rPr>
        <w:t>la main-d’œuvre employée dans l’</w:t>
      </w:r>
      <w:r w:rsidR="006025FE" w:rsidRPr="00640626">
        <w:rPr>
          <w:lang w:val="fr-FR"/>
        </w:rPr>
        <w:t xml:space="preserve">aquaculture et de </w:t>
      </w:r>
      <w:r w:rsidR="00450795" w:rsidRPr="00640626">
        <w:rPr>
          <w:lang w:val="fr-FR"/>
        </w:rPr>
        <w:t xml:space="preserve">remédier à la </w:t>
      </w:r>
      <w:r w:rsidR="00B37AC6" w:rsidRPr="00640626">
        <w:rPr>
          <w:lang w:val="fr-FR"/>
        </w:rPr>
        <w:t xml:space="preserve">pauvreté </w:t>
      </w:r>
      <w:r w:rsidR="00450795" w:rsidRPr="00640626">
        <w:rPr>
          <w:lang w:val="fr-FR"/>
        </w:rPr>
        <w:t>en milieu rural</w:t>
      </w:r>
      <w:r w:rsidR="001C3334" w:rsidRPr="00640626">
        <w:rPr>
          <w:rStyle w:val="FootnoteReference"/>
          <w:sz w:val="18"/>
          <w:szCs w:val="24"/>
          <w:lang w:val="fr-FR"/>
        </w:rPr>
        <w:footnoteReference w:id="10"/>
      </w:r>
      <w:r w:rsidR="001C3334" w:rsidRPr="00640626">
        <w:rPr>
          <w:lang w:val="fr-FR"/>
        </w:rPr>
        <w:t xml:space="preserve">. </w:t>
      </w:r>
      <w:r w:rsidR="006025FE" w:rsidRPr="00640626">
        <w:rPr>
          <w:lang w:val="fr-FR"/>
        </w:rPr>
        <w:t xml:space="preserve">Les </w:t>
      </w:r>
      <w:r w:rsidR="00450795" w:rsidRPr="00640626">
        <w:rPr>
          <w:lang w:val="fr-FR"/>
        </w:rPr>
        <w:t xml:space="preserve">problématiques mises en exergue </w:t>
      </w:r>
      <w:r w:rsidR="00B37AC6" w:rsidRPr="00640626">
        <w:rPr>
          <w:lang w:val="fr-FR"/>
        </w:rPr>
        <w:t xml:space="preserve">sont suivies </w:t>
      </w:r>
      <w:r w:rsidR="00450795" w:rsidRPr="00640626">
        <w:rPr>
          <w:lang w:val="fr-FR"/>
        </w:rPr>
        <w:t xml:space="preserve">de propositions d’actions </w:t>
      </w:r>
      <w:r w:rsidRPr="00640626">
        <w:rPr>
          <w:lang w:val="fr-FR"/>
        </w:rPr>
        <w:t>essentiellement axées sur la manière dont les mécanismes de gouvernance du secteur de l’aquaculture pourraient intégrer</w:t>
      </w:r>
      <w:r w:rsidR="00E16877" w:rsidRPr="00640626">
        <w:rPr>
          <w:lang w:val="fr-FR"/>
        </w:rPr>
        <w:t xml:space="preserve"> les aspects liés </w:t>
      </w:r>
      <w:r w:rsidRPr="00640626">
        <w:rPr>
          <w:lang w:val="fr-FR"/>
        </w:rPr>
        <w:t>au travail, dans la perspective de</w:t>
      </w:r>
      <w:r w:rsidR="00E16877" w:rsidRPr="00640626">
        <w:rPr>
          <w:lang w:val="fr-FR"/>
        </w:rPr>
        <w:t xml:space="preserve"> l’instauration d’un travail décent dans ce secteur</w:t>
      </w:r>
      <w:r w:rsidR="00061D30" w:rsidRPr="00640626">
        <w:rPr>
          <w:lang w:val="fr-FR"/>
        </w:rPr>
        <w:t>.</w:t>
      </w:r>
      <w:r w:rsidR="004E52B2" w:rsidRPr="00640626">
        <w:rPr>
          <w:lang w:val="fr-FR"/>
        </w:rPr>
        <w:t xml:space="preserve"> </w:t>
      </w:r>
      <w:r w:rsidR="00F84346" w:rsidRPr="00640626">
        <w:rPr>
          <w:lang w:val="fr-FR"/>
        </w:rPr>
        <w:t>Ces actions sont</w:t>
      </w:r>
      <w:r w:rsidR="00E16877" w:rsidRPr="00640626">
        <w:rPr>
          <w:lang w:val="fr-FR"/>
        </w:rPr>
        <w:t xml:space="preserve"> énumérées en l’absence </w:t>
      </w:r>
      <w:r w:rsidR="00A56D2B" w:rsidRPr="00640626">
        <w:rPr>
          <w:lang w:val="fr-FR"/>
        </w:rPr>
        <w:t xml:space="preserve">de toute </w:t>
      </w:r>
      <w:r w:rsidR="00287752" w:rsidRPr="00640626">
        <w:rPr>
          <w:lang w:val="fr-FR"/>
        </w:rPr>
        <w:t>hiérarchie</w:t>
      </w:r>
      <w:r w:rsidR="00F84346" w:rsidRPr="00640626">
        <w:rPr>
          <w:lang w:val="fr-FR"/>
        </w:rPr>
        <w:t xml:space="preserve"> </w:t>
      </w:r>
      <w:r w:rsidR="00287752" w:rsidRPr="00640626">
        <w:rPr>
          <w:lang w:val="fr-FR"/>
        </w:rPr>
        <w:t>préétablie</w:t>
      </w:r>
      <w:r w:rsidR="00F84346" w:rsidRPr="00640626">
        <w:rPr>
          <w:lang w:val="fr-FR"/>
        </w:rPr>
        <w:t xml:space="preserve">, </w:t>
      </w:r>
      <w:r w:rsidR="00E16877" w:rsidRPr="00640626">
        <w:rPr>
          <w:lang w:val="fr-FR"/>
        </w:rPr>
        <w:t xml:space="preserve">de manière à laisser </w:t>
      </w:r>
      <w:r w:rsidR="00A56D2B" w:rsidRPr="00640626">
        <w:rPr>
          <w:lang w:val="fr-FR"/>
        </w:rPr>
        <w:t xml:space="preserve">aux </w:t>
      </w:r>
      <w:r w:rsidR="00F84346" w:rsidRPr="00640626">
        <w:rPr>
          <w:lang w:val="fr-FR"/>
        </w:rPr>
        <w:t xml:space="preserve">parties prenantes compétentes </w:t>
      </w:r>
      <w:r w:rsidR="00A56D2B" w:rsidRPr="00640626">
        <w:rPr>
          <w:lang w:val="fr-FR"/>
        </w:rPr>
        <w:t xml:space="preserve">la </w:t>
      </w:r>
      <w:r w:rsidR="00E16877" w:rsidRPr="00640626">
        <w:rPr>
          <w:lang w:val="fr-FR"/>
        </w:rPr>
        <w:t xml:space="preserve">possibilité de définir </w:t>
      </w:r>
      <w:r w:rsidR="00A56D2B" w:rsidRPr="00640626">
        <w:rPr>
          <w:lang w:val="fr-FR"/>
        </w:rPr>
        <w:t>le</w:t>
      </w:r>
      <w:r w:rsidR="00E16877" w:rsidRPr="00640626">
        <w:rPr>
          <w:lang w:val="fr-FR"/>
        </w:rPr>
        <w:t>ur</w:t>
      </w:r>
      <w:r w:rsidR="00A56D2B" w:rsidRPr="00640626">
        <w:rPr>
          <w:lang w:val="fr-FR"/>
        </w:rPr>
        <w:t xml:space="preserve">s </w:t>
      </w:r>
      <w:r w:rsidR="00E16877" w:rsidRPr="00640626">
        <w:rPr>
          <w:lang w:val="fr-FR"/>
        </w:rPr>
        <w:t>priorités suivant le contexte dans lequel elles opèrent.</w:t>
      </w:r>
    </w:p>
    <w:p w:rsidR="001C3334" w:rsidRPr="00640626" w:rsidRDefault="009D6437" w:rsidP="001C3334">
      <w:pPr>
        <w:pStyle w:val="NewPara"/>
        <w:jc w:val="both"/>
        <w:rPr>
          <w:lang w:val="fr-FR"/>
        </w:rPr>
      </w:pPr>
      <w:r w:rsidRPr="00640626">
        <w:rPr>
          <w:lang w:val="fr-FR"/>
        </w:rPr>
        <w:t xml:space="preserve">Le tableau variera bien évidemment en fonction du </w:t>
      </w:r>
      <w:r w:rsidR="00A56D2B" w:rsidRPr="00640626">
        <w:rPr>
          <w:lang w:val="fr-FR"/>
        </w:rPr>
        <w:t xml:space="preserve">contexte géographique, </w:t>
      </w:r>
      <w:r w:rsidRPr="00640626">
        <w:rPr>
          <w:lang w:val="fr-FR"/>
        </w:rPr>
        <w:t xml:space="preserve">des </w:t>
      </w:r>
      <w:r w:rsidR="00A56D2B" w:rsidRPr="00640626">
        <w:rPr>
          <w:lang w:val="fr-FR"/>
        </w:rPr>
        <w:t xml:space="preserve">types de produits, </w:t>
      </w:r>
      <w:r w:rsidRPr="00640626">
        <w:rPr>
          <w:lang w:val="fr-FR"/>
        </w:rPr>
        <w:t xml:space="preserve">du </w:t>
      </w:r>
      <w:r w:rsidR="00A56D2B" w:rsidRPr="00640626">
        <w:rPr>
          <w:lang w:val="fr-FR"/>
        </w:rPr>
        <w:t xml:space="preserve">type de production, </w:t>
      </w:r>
      <w:r w:rsidRPr="00640626">
        <w:rPr>
          <w:lang w:val="fr-FR"/>
        </w:rPr>
        <w:t xml:space="preserve">de la </w:t>
      </w:r>
      <w:r w:rsidR="00A56D2B" w:rsidRPr="00640626">
        <w:rPr>
          <w:lang w:val="fr-FR"/>
        </w:rPr>
        <w:t>taille de</w:t>
      </w:r>
      <w:r w:rsidR="00E16877" w:rsidRPr="00640626">
        <w:rPr>
          <w:lang w:val="fr-FR"/>
        </w:rPr>
        <w:t xml:space="preserve">s </w:t>
      </w:r>
      <w:r w:rsidR="00A56D2B" w:rsidRPr="00640626">
        <w:rPr>
          <w:lang w:val="fr-FR"/>
        </w:rPr>
        <w:t>exploitation</w:t>
      </w:r>
      <w:r w:rsidR="00E16877" w:rsidRPr="00640626">
        <w:rPr>
          <w:lang w:val="fr-FR"/>
        </w:rPr>
        <w:t>s</w:t>
      </w:r>
      <w:r w:rsidRPr="00640626">
        <w:rPr>
          <w:lang w:val="fr-FR"/>
        </w:rPr>
        <w:t xml:space="preserve"> et du degré d’implication</w:t>
      </w:r>
      <w:r w:rsidR="00A56D2B" w:rsidRPr="00640626">
        <w:rPr>
          <w:lang w:val="fr-FR"/>
        </w:rPr>
        <w:t xml:space="preserve"> </w:t>
      </w:r>
      <w:r w:rsidR="003E4BF3" w:rsidRPr="00640626">
        <w:rPr>
          <w:lang w:val="fr-FR"/>
        </w:rPr>
        <w:t>des parties prenantes</w:t>
      </w:r>
      <w:r w:rsidR="00E81D90" w:rsidRPr="00640626">
        <w:rPr>
          <w:lang w:val="fr-FR"/>
        </w:rPr>
        <w:t>,</w:t>
      </w:r>
      <w:r w:rsidR="003E4BF3" w:rsidRPr="00640626">
        <w:rPr>
          <w:lang w:val="fr-FR"/>
        </w:rPr>
        <w:t xml:space="preserve"> </w:t>
      </w:r>
      <w:r w:rsidR="00E16877" w:rsidRPr="00640626">
        <w:rPr>
          <w:lang w:val="fr-FR"/>
        </w:rPr>
        <w:t>ou encore</w:t>
      </w:r>
      <w:r w:rsidR="003E4BF3" w:rsidRPr="00640626">
        <w:rPr>
          <w:lang w:val="fr-FR"/>
        </w:rPr>
        <w:t xml:space="preserve"> </w:t>
      </w:r>
      <w:r w:rsidRPr="00640626">
        <w:rPr>
          <w:lang w:val="fr-FR"/>
        </w:rPr>
        <w:t xml:space="preserve">selon </w:t>
      </w:r>
      <w:r w:rsidR="00A56D2B" w:rsidRPr="00640626">
        <w:rPr>
          <w:lang w:val="fr-FR"/>
        </w:rPr>
        <w:t xml:space="preserve">la vulnérabilité </w:t>
      </w:r>
      <w:r w:rsidR="00E16877" w:rsidRPr="00640626">
        <w:rPr>
          <w:lang w:val="fr-FR"/>
        </w:rPr>
        <w:t xml:space="preserve">et </w:t>
      </w:r>
      <w:r w:rsidR="003E4BF3" w:rsidRPr="00640626">
        <w:rPr>
          <w:lang w:val="fr-FR"/>
        </w:rPr>
        <w:t xml:space="preserve">l’exposition </w:t>
      </w:r>
      <w:r w:rsidRPr="00640626">
        <w:rPr>
          <w:lang w:val="fr-FR"/>
        </w:rPr>
        <w:t xml:space="preserve">à la pauvreté </w:t>
      </w:r>
      <w:r w:rsidR="003E4BF3" w:rsidRPr="00640626">
        <w:rPr>
          <w:lang w:val="fr-FR"/>
        </w:rPr>
        <w:t xml:space="preserve">des travailleurs du </w:t>
      </w:r>
      <w:r w:rsidR="00D720A5" w:rsidRPr="00640626">
        <w:rPr>
          <w:lang w:val="fr-FR"/>
        </w:rPr>
        <w:t>secteur des pêches</w:t>
      </w:r>
      <w:r w:rsidRPr="00640626">
        <w:rPr>
          <w:lang w:val="fr-FR"/>
        </w:rPr>
        <w:t>, de leurs ménages et de leurs communauté</w:t>
      </w:r>
      <w:r w:rsidR="004B5FDB" w:rsidRPr="00640626">
        <w:rPr>
          <w:lang w:val="fr-FR"/>
        </w:rPr>
        <w:t>s</w:t>
      </w:r>
      <w:r w:rsidRPr="00640626">
        <w:rPr>
          <w:lang w:val="fr-FR"/>
        </w:rPr>
        <w:t xml:space="preserve"> et </w:t>
      </w:r>
      <w:r w:rsidR="003E4BF3" w:rsidRPr="00640626">
        <w:rPr>
          <w:lang w:val="fr-FR"/>
        </w:rPr>
        <w:t xml:space="preserve">leur accès à la santé, à l'éducation et à d'autres services sociaux. </w:t>
      </w:r>
      <w:r w:rsidR="004B5FDB" w:rsidRPr="00640626">
        <w:rPr>
          <w:lang w:val="fr-FR"/>
        </w:rPr>
        <w:t>On trouvera à l</w:t>
      </w:r>
      <w:r w:rsidR="003E4BF3" w:rsidRPr="00640626">
        <w:rPr>
          <w:lang w:val="fr-FR"/>
        </w:rPr>
        <w:t xml:space="preserve">’annexe 1 </w:t>
      </w:r>
      <w:r w:rsidR="004B5FDB" w:rsidRPr="00640626">
        <w:rPr>
          <w:lang w:val="fr-FR"/>
        </w:rPr>
        <w:t xml:space="preserve">un tableau synthétique récapitulant </w:t>
      </w:r>
      <w:r w:rsidRPr="00640626">
        <w:rPr>
          <w:lang w:val="fr-FR"/>
        </w:rPr>
        <w:t xml:space="preserve">les </w:t>
      </w:r>
      <w:r w:rsidR="003E4BF3" w:rsidRPr="00640626">
        <w:rPr>
          <w:lang w:val="fr-FR"/>
        </w:rPr>
        <w:t xml:space="preserve">grands enjeux liés au travail décent dans </w:t>
      </w:r>
      <w:r w:rsidRPr="00640626">
        <w:rPr>
          <w:lang w:val="fr-FR"/>
        </w:rPr>
        <w:t xml:space="preserve">le secteur de l’aquaculture et </w:t>
      </w:r>
      <w:r w:rsidR="004B5FDB" w:rsidRPr="00640626">
        <w:rPr>
          <w:lang w:val="fr-FR"/>
        </w:rPr>
        <w:t>les réponses</w:t>
      </w:r>
      <w:r w:rsidR="003E4BF3" w:rsidRPr="00640626">
        <w:rPr>
          <w:lang w:val="fr-FR"/>
        </w:rPr>
        <w:t xml:space="preserve"> envisageables </w:t>
      </w:r>
      <w:r w:rsidRPr="00640626">
        <w:rPr>
          <w:lang w:val="fr-FR"/>
        </w:rPr>
        <w:t>pour chacun d’entre eux</w:t>
      </w:r>
      <w:r w:rsidR="003E4BF3" w:rsidRPr="00640626">
        <w:rPr>
          <w:lang w:val="fr-FR"/>
        </w:rPr>
        <w:t xml:space="preserve">. </w:t>
      </w:r>
    </w:p>
    <w:p w:rsidR="001C3334" w:rsidRPr="00640626" w:rsidRDefault="001C3334" w:rsidP="001C3334">
      <w:pPr>
        <w:rPr>
          <w:lang w:val="fr-FR"/>
        </w:rPr>
      </w:pPr>
    </w:p>
    <w:p w:rsidR="001C3334" w:rsidRPr="00640626" w:rsidRDefault="003E4BF3" w:rsidP="001C3334">
      <w:pPr>
        <w:rPr>
          <w:b/>
          <w:lang w:val="fr-FR"/>
        </w:rPr>
      </w:pPr>
      <w:r w:rsidRPr="00640626">
        <w:rPr>
          <w:b/>
          <w:lang w:val="fr-FR"/>
        </w:rPr>
        <w:t>Volet</w:t>
      </w:r>
      <w:r w:rsidR="001C3334" w:rsidRPr="00640626">
        <w:rPr>
          <w:b/>
          <w:lang w:val="fr-FR"/>
        </w:rPr>
        <w:t xml:space="preserve"> 1</w:t>
      </w:r>
      <w:r w:rsidRPr="00640626">
        <w:rPr>
          <w:b/>
          <w:lang w:val="fr-FR"/>
        </w:rPr>
        <w:t xml:space="preserve"> du travail décent</w:t>
      </w:r>
      <w:r w:rsidR="004E52B2" w:rsidRPr="00640626">
        <w:rPr>
          <w:b/>
          <w:lang w:val="fr-FR"/>
        </w:rPr>
        <w:t>:</w:t>
      </w:r>
      <w:r w:rsidR="001C3334" w:rsidRPr="00640626">
        <w:rPr>
          <w:b/>
          <w:lang w:val="fr-FR"/>
        </w:rPr>
        <w:t xml:space="preserve"> </w:t>
      </w:r>
      <w:r w:rsidR="00450795" w:rsidRPr="00640626">
        <w:rPr>
          <w:b/>
          <w:lang w:val="fr-FR"/>
        </w:rPr>
        <w:t>création d’emploi</w:t>
      </w:r>
      <w:r w:rsidR="00B50E73" w:rsidRPr="00640626">
        <w:rPr>
          <w:b/>
          <w:lang w:val="fr-FR"/>
        </w:rPr>
        <w:t xml:space="preserve"> et développement de l’entreprise</w:t>
      </w:r>
    </w:p>
    <w:p w:rsidR="001C3334" w:rsidRPr="00640626" w:rsidRDefault="001C3334" w:rsidP="001C3334">
      <w:pPr>
        <w:rPr>
          <w:lang w:val="fr-FR"/>
        </w:rPr>
      </w:pPr>
    </w:p>
    <w:p w:rsidR="001C3334" w:rsidRPr="00640626" w:rsidRDefault="003A58A5" w:rsidP="00082B55">
      <w:pPr>
        <w:pStyle w:val="NewPara"/>
        <w:jc w:val="both"/>
        <w:rPr>
          <w:lang w:val="fr-FR"/>
        </w:rPr>
      </w:pPr>
      <w:r w:rsidRPr="00640626">
        <w:rPr>
          <w:lang w:val="fr-FR"/>
        </w:rPr>
        <w:t xml:space="preserve">La </w:t>
      </w:r>
      <w:r w:rsidR="00450795" w:rsidRPr="00640626">
        <w:rPr>
          <w:lang w:val="fr-FR"/>
        </w:rPr>
        <w:t>création d’emploi</w:t>
      </w:r>
      <w:r w:rsidRPr="00640626">
        <w:rPr>
          <w:lang w:val="fr-FR"/>
        </w:rPr>
        <w:t xml:space="preserve"> et le développement de l’entreprise </w:t>
      </w:r>
      <w:r w:rsidR="007F0BB4" w:rsidRPr="00640626">
        <w:rPr>
          <w:lang w:val="fr-FR"/>
        </w:rPr>
        <w:t>revêtent une importance capitale pour le</w:t>
      </w:r>
      <w:r w:rsidRPr="00640626">
        <w:rPr>
          <w:lang w:val="fr-FR"/>
        </w:rPr>
        <w:t xml:space="preserve"> développement d’une a</w:t>
      </w:r>
      <w:r w:rsidR="009D6437" w:rsidRPr="00640626">
        <w:rPr>
          <w:lang w:val="fr-FR"/>
        </w:rPr>
        <w:t>quaculture durable. U</w:t>
      </w:r>
      <w:r w:rsidRPr="00640626">
        <w:rPr>
          <w:lang w:val="fr-FR"/>
        </w:rPr>
        <w:t xml:space="preserve">ne part importante du revenu familial, et </w:t>
      </w:r>
      <w:r w:rsidR="00B671FC" w:rsidRPr="00640626">
        <w:rPr>
          <w:lang w:val="fr-FR"/>
        </w:rPr>
        <w:t xml:space="preserve">donc </w:t>
      </w:r>
      <w:r w:rsidRPr="00640626">
        <w:rPr>
          <w:lang w:val="fr-FR"/>
        </w:rPr>
        <w:t xml:space="preserve">des moyens d’existence des individus, provient </w:t>
      </w:r>
      <w:r w:rsidR="007F0BB4" w:rsidRPr="00640626">
        <w:rPr>
          <w:lang w:val="fr-FR"/>
        </w:rPr>
        <w:t>essentiellement</w:t>
      </w:r>
      <w:r w:rsidRPr="00640626">
        <w:rPr>
          <w:lang w:val="fr-FR"/>
        </w:rPr>
        <w:t xml:space="preserve"> des </w:t>
      </w:r>
      <w:r w:rsidR="007F0BB4" w:rsidRPr="00640626">
        <w:rPr>
          <w:lang w:val="fr-FR"/>
        </w:rPr>
        <w:t>revenus générés sur le marché</w:t>
      </w:r>
      <w:r w:rsidR="00B671FC" w:rsidRPr="00640626">
        <w:rPr>
          <w:lang w:val="fr-FR"/>
        </w:rPr>
        <w:t xml:space="preserve"> </w:t>
      </w:r>
      <w:r w:rsidR="004B5FDB" w:rsidRPr="00640626">
        <w:rPr>
          <w:lang w:val="fr-FR"/>
        </w:rPr>
        <w:t xml:space="preserve">du </w:t>
      </w:r>
      <w:r w:rsidR="00B671FC" w:rsidRPr="00640626">
        <w:rPr>
          <w:lang w:val="fr-FR"/>
        </w:rPr>
        <w:t xml:space="preserve">travail, </w:t>
      </w:r>
      <w:r w:rsidR="007F0BB4" w:rsidRPr="00640626">
        <w:rPr>
          <w:lang w:val="fr-FR"/>
        </w:rPr>
        <w:t>d’où l’importance d’</w:t>
      </w:r>
      <w:r w:rsidR="009D6437" w:rsidRPr="00640626">
        <w:rPr>
          <w:lang w:val="fr-FR"/>
        </w:rPr>
        <w:t xml:space="preserve">emplois productifs </w:t>
      </w:r>
      <w:r w:rsidR="007F0BB4" w:rsidRPr="00640626">
        <w:rPr>
          <w:lang w:val="fr-FR"/>
        </w:rPr>
        <w:t xml:space="preserve">pour une </w:t>
      </w:r>
      <w:r w:rsidRPr="00640626">
        <w:rPr>
          <w:lang w:val="fr-FR"/>
        </w:rPr>
        <w:t xml:space="preserve">répartition </w:t>
      </w:r>
      <w:r w:rsidR="007F0BB4" w:rsidRPr="00640626">
        <w:rPr>
          <w:lang w:val="fr-FR"/>
        </w:rPr>
        <w:t xml:space="preserve">effective </w:t>
      </w:r>
      <w:r w:rsidRPr="00640626">
        <w:rPr>
          <w:lang w:val="fr-FR"/>
        </w:rPr>
        <w:t>des dividendes du développement économique</w:t>
      </w:r>
      <w:r w:rsidR="00B671FC" w:rsidRPr="00640626">
        <w:rPr>
          <w:lang w:val="fr-FR"/>
        </w:rPr>
        <w:t xml:space="preserve">. Le développement de l’entreprise </w:t>
      </w:r>
      <w:r w:rsidR="007F0BB4" w:rsidRPr="00640626">
        <w:rPr>
          <w:lang w:val="fr-FR"/>
        </w:rPr>
        <w:t xml:space="preserve">intervient de manière déterminante dans </w:t>
      </w:r>
      <w:r w:rsidR="00B671FC" w:rsidRPr="00640626">
        <w:rPr>
          <w:lang w:val="fr-FR"/>
        </w:rPr>
        <w:t xml:space="preserve">la </w:t>
      </w:r>
      <w:r w:rsidR="00450795" w:rsidRPr="00640626">
        <w:rPr>
          <w:lang w:val="fr-FR"/>
        </w:rPr>
        <w:t>création d’emploi</w:t>
      </w:r>
      <w:r w:rsidR="00B671FC" w:rsidRPr="00640626">
        <w:rPr>
          <w:lang w:val="fr-FR"/>
        </w:rPr>
        <w:t xml:space="preserve">. Le volet 1 </w:t>
      </w:r>
      <w:r w:rsidR="007F0BB4" w:rsidRPr="00640626">
        <w:rPr>
          <w:lang w:val="fr-FR"/>
        </w:rPr>
        <w:t xml:space="preserve">du travail décent met l’accent sur l’identification </w:t>
      </w:r>
      <w:r w:rsidR="00B671FC" w:rsidRPr="00640626">
        <w:rPr>
          <w:lang w:val="fr-FR"/>
        </w:rPr>
        <w:t xml:space="preserve">de possibilités </w:t>
      </w:r>
      <w:r w:rsidR="00824342" w:rsidRPr="00640626">
        <w:rPr>
          <w:lang w:val="fr-FR"/>
        </w:rPr>
        <w:t xml:space="preserve">en matière d’investissements, de création d’entreprises, de développement des compétences, de </w:t>
      </w:r>
      <w:r w:rsidR="00450795" w:rsidRPr="00640626">
        <w:rPr>
          <w:lang w:val="fr-FR"/>
        </w:rPr>
        <w:t>création d’emploi</w:t>
      </w:r>
      <w:r w:rsidR="00573A10" w:rsidRPr="00640626">
        <w:rPr>
          <w:lang w:val="fr-FR"/>
        </w:rPr>
        <w:t>s</w:t>
      </w:r>
      <w:r w:rsidR="00824342" w:rsidRPr="00640626">
        <w:rPr>
          <w:lang w:val="fr-FR"/>
        </w:rPr>
        <w:t xml:space="preserve"> et de moyens d’existence durables. Trois grandes problématiques liées à l’aquaculture dans le contexte du volet 1, avec les actions envisageables correspondantes, sont présentées ci-après. Il s’agit i) de la faiblesse des revenus et </w:t>
      </w:r>
      <w:r w:rsidR="001A0EF2" w:rsidRPr="00640626">
        <w:rPr>
          <w:lang w:val="fr-FR"/>
        </w:rPr>
        <w:t>de la productivité in</w:t>
      </w:r>
      <w:r w:rsidR="00082B55" w:rsidRPr="00640626">
        <w:rPr>
          <w:lang w:val="fr-FR"/>
        </w:rPr>
        <w:t xml:space="preserve">suffisante de la main-d’œuvre, </w:t>
      </w:r>
      <w:r w:rsidR="001A0EF2" w:rsidRPr="00640626">
        <w:rPr>
          <w:lang w:val="fr-FR"/>
        </w:rPr>
        <w:t>ii) des lacunes en matière de données et de politiques générales et iii) des menaces pesant sur les moyens d’existence durables.</w:t>
      </w:r>
    </w:p>
    <w:p w:rsidR="001C3334" w:rsidRPr="00640626" w:rsidRDefault="001A0EF2" w:rsidP="001C3334">
      <w:pPr>
        <w:pStyle w:val="NewPara"/>
        <w:jc w:val="both"/>
        <w:rPr>
          <w:lang w:val="fr-FR"/>
        </w:rPr>
      </w:pPr>
      <w:r w:rsidRPr="00640626">
        <w:rPr>
          <w:lang w:val="fr-FR"/>
        </w:rPr>
        <w:t xml:space="preserve">La </w:t>
      </w:r>
      <w:r w:rsidRPr="00640626">
        <w:rPr>
          <w:b/>
          <w:lang w:val="fr-FR"/>
        </w:rPr>
        <w:t xml:space="preserve">faiblesse des revenus et </w:t>
      </w:r>
      <w:r w:rsidR="002C56AA" w:rsidRPr="00640626">
        <w:rPr>
          <w:b/>
          <w:lang w:val="fr-FR"/>
        </w:rPr>
        <w:t xml:space="preserve">la </w:t>
      </w:r>
      <w:r w:rsidRPr="00640626">
        <w:rPr>
          <w:b/>
          <w:lang w:val="fr-FR"/>
        </w:rPr>
        <w:t>productivité insuffisante de la main-d’œuvre</w:t>
      </w:r>
      <w:r w:rsidRPr="00640626">
        <w:rPr>
          <w:lang w:val="fr-FR"/>
        </w:rPr>
        <w:t xml:space="preserve"> sont </w:t>
      </w:r>
      <w:r w:rsidR="00E81D90" w:rsidRPr="00640626">
        <w:rPr>
          <w:lang w:val="fr-FR"/>
        </w:rPr>
        <w:t xml:space="preserve">des phénomènes </w:t>
      </w:r>
      <w:r w:rsidRPr="00640626">
        <w:rPr>
          <w:lang w:val="fr-FR"/>
        </w:rPr>
        <w:t xml:space="preserve">souvent </w:t>
      </w:r>
      <w:r w:rsidR="00E81D90" w:rsidRPr="00640626">
        <w:rPr>
          <w:lang w:val="fr-FR"/>
        </w:rPr>
        <w:t>lié</w:t>
      </w:r>
      <w:r w:rsidR="00573A10" w:rsidRPr="00640626">
        <w:rPr>
          <w:lang w:val="fr-FR"/>
        </w:rPr>
        <w:t>s à</w:t>
      </w:r>
      <w:r w:rsidR="000878F9" w:rsidRPr="00640626">
        <w:rPr>
          <w:lang w:val="fr-FR"/>
        </w:rPr>
        <w:t xml:space="preserve"> l’emploi informel, </w:t>
      </w:r>
      <w:r w:rsidR="00573A10" w:rsidRPr="00640626">
        <w:rPr>
          <w:lang w:val="fr-FR"/>
        </w:rPr>
        <w:t xml:space="preserve">au </w:t>
      </w:r>
      <w:r w:rsidR="000878F9" w:rsidRPr="00640626">
        <w:rPr>
          <w:lang w:val="fr-FR"/>
        </w:rPr>
        <w:t xml:space="preserve">sous-emploi et </w:t>
      </w:r>
      <w:r w:rsidR="00573A10" w:rsidRPr="00640626">
        <w:rPr>
          <w:lang w:val="fr-FR"/>
        </w:rPr>
        <w:t xml:space="preserve">à </w:t>
      </w:r>
      <w:r w:rsidR="000878F9" w:rsidRPr="00640626">
        <w:rPr>
          <w:lang w:val="fr-FR"/>
        </w:rPr>
        <w:t xml:space="preserve">l’emploi saisonnier. Des </w:t>
      </w:r>
      <w:r w:rsidR="00573A10" w:rsidRPr="00640626">
        <w:rPr>
          <w:lang w:val="fr-FR"/>
        </w:rPr>
        <w:t xml:space="preserve">études pourraient </w:t>
      </w:r>
      <w:r w:rsidR="00E81D90" w:rsidRPr="00640626">
        <w:rPr>
          <w:lang w:val="fr-FR"/>
        </w:rPr>
        <w:t xml:space="preserve">donc </w:t>
      </w:r>
      <w:r w:rsidR="00573A10" w:rsidRPr="00640626">
        <w:rPr>
          <w:lang w:val="fr-FR"/>
        </w:rPr>
        <w:t>être menées en vue d’identifier d</w:t>
      </w:r>
      <w:r w:rsidR="000878F9" w:rsidRPr="00640626">
        <w:rPr>
          <w:lang w:val="fr-FR"/>
        </w:rPr>
        <w:t xml:space="preserve">es formes d’aquaculture </w:t>
      </w:r>
      <w:r w:rsidR="00E81D90" w:rsidRPr="00640626">
        <w:rPr>
          <w:lang w:val="fr-FR"/>
        </w:rPr>
        <w:t>contribua</w:t>
      </w:r>
      <w:r w:rsidR="000208F8" w:rsidRPr="00640626">
        <w:rPr>
          <w:lang w:val="fr-FR"/>
        </w:rPr>
        <w:t>nt</w:t>
      </w:r>
      <w:r w:rsidR="00573A10" w:rsidRPr="00640626">
        <w:rPr>
          <w:lang w:val="fr-FR"/>
        </w:rPr>
        <w:t xml:space="preserve"> à</w:t>
      </w:r>
      <w:r w:rsidR="000878F9" w:rsidRPr="00640626">
        <w:rPr>
          <w:lang w:val="fr-FR"/>
        </w:rPr>
        <w:t xml:space="preserve"> créer de nouve</w:t>
      </w:r>
      <w:r w:rsidR="00573A10" w:rsidRPr="00640626">
        <w:rPr>
          <w:lang w:val="fr-FR"/>
        </w:rPr>
        <w:t xml:space="preserve">lles possibilités d’emploi et à </w:t>
      </w:r>
      <w:r w:rsidR="000878F9" w:rsidRPr="00640626">
        <w:rPr>
          <w:lang w:val="fr-FR"/>
        </w:rPr>
        <w:t xml:space="preserve">améliorer les conditions de travail. </w:t>
      </w:r>
      <w:r w:rsidR="00E81D90" w:rsidRPr="00640626">
        <w:rPr>
          <w:lang w:val="fr-FR"/>
        </w:rPr>
        <w:t>S’agissant des</w:t>
      </w:r>
      <w:r w:rsidR="001741CF" w:rsidRPr="00640626">
        <w:rPr>
          <w:lang w:val="fr-FR"/>
        </w:rPr>
        <w:t xml:space="preserve"> petites exploitations</w:t>
      </w:r>
      <w:r w:rsidR="000208F8" w:rsidRPr="00640626">
        <w:rPr>
          <w:lang w:val="fr-FR"/>
        </w:rPr>
        <w:t xml:space="preserve"> continua</w:t>
      </w:r>
      <w:r w:rsidR="00573A10" w:rsidRPr="00640626">
        <w:rPr>
          <w:lang w:val="fr-FR"/>
        </w:rPr>
        <w:t xml:space="preserve">nt </w:t>
      </w:r>
      <w:r w:rsidR="002C56AA" w:rsidRPr="00640626">
        <w:rPr>
          <w:lang w:val="fr-FR"/>
        </w:rPr>
        <w:t xml:space="preserve">en grande partie à reposer sur le travail familial non rémunéré (souvent assuré par les femmes et les enfants), il est indispensable de mettre en place des conditions permettant aux producteurs </w:t>
      </w:r>
      <w:r w:rsidR="00573A10" w:rsidRPr="00640626">
        <w:rPr>
          <w:lang w:val="fr-FR"/>
        </w:rPr>
        <w:t xml:space="preserve">artisanaux </w:t>
      </w:r>
      <w:r w:rsidR="002C56AA" w:rsidRPr="00640626">
        <w:rPr>
          <w:lang w:val="fr-FR"/>
        </w:rPr>
        <w:t>(femmes et jeunes compri</w:t>
      </w:r>
      <w:r w:rsidR="001741CF" w:rsidRPr="00640626">
        <w:rPr>
          <w:lang w:val="fr-FR"/>
        </w:rPr>
        <w:t xml:space="preserve">s) d’être parties prenantes à des </w:t>
      </w:r>
      <w:r w:rsidR="002C56AA" w:rsidRPr="00640626">
        <w:rPr>
          <w:lang w:val="fr-FR"/>
        </w:rPr>
        <w:t xml:space="preserve">chaînes de valeur </w:t>
      </w:r>
      <w:r w:rsidR="001741CF" w:rsidRPr="00640626">
        <w:rPr>
          <w:lang w:val="fr-FR"/>
        </w:rPr>
        <w:t>modernes et viables</w:t>
      </w:r>
      <w:r w:rsidR="002C56AA" w:rsidRPr="00640626">
        <w:rPr>
          <w:lang w:val="fr-FR"/>
        </w:rPr>
        <w:t xml:space="preserve">. </w:t>
      </w:r>
      <w:r w:rsidR="00E81D90" w:rsidRPr="00640626">
        <w:rPr>
          <w:lang w:val="fr-FR"/>
        </w:rPr>
        <w:t>Pour les cas où</w:t>
      </w:r>
      <w:r w:rsidR="00573A10" w:rsidRPr="00640626">
        <w:rPr>
          <w:lang w:val="fr-FR"/>
        </w:rPr>
        <w:t xml:space="preserve"> </w:t>
      </w:r>
      <w:r w:rsidR="002C56AA" w:rsidRPr="00640626">
        <w:rPr>
          <w:lang w:val="fr-FR"/>
        </w:rPr>
        <w:t xml:space="preserve">les travailleurs du </w:t>
      </w:r>
      <w:r w:rsidR="00D720A5" w:rsidRPr="00640626">
        <w:rPr>
          <w:lang w:val="fr-FR"/>
        </w:rPr>
        <w:t>secteur des pêches</w:t>
      </w:r>
      <w:r w:rsidR="002C56AA" w:rsidRPr="00640626">
        <w:rPr>
          <w:lang w:val="fr-FR"/>
        </w:rPr>
        <w:t xml:space="preserve"> </w:t>
      </w:r>
      <w:r w:rsidR="00573A10" w:rsidRPr="00640626">
        <w:rPr>
          <w:lang w:val="fr-FR"/>
        </w:rPr>
        <w:t xml:space="preserve">peuvent être qualifiés de </w:t>
      </w:r>
      <w:r w:rsidR="002C56AA" w:rsidRPr="00640626">
        <w:rPr>
          <w:lang w:val="fr-FR"/>
        </w:rPr>
        <w:lastRenderedPageBreak/>
        <w:t>pauvres</w:t>
      </w:r>
      <w:r w:rsidR="00573A10" w:rsidRPr="00640626">
        <w:rPr>
          <w:lang w:val="fr-FR"/>
        </w:rPr>
        <w:t xml:space="preserve"> et où </w:t>
      </w:r>
      <w:r w:rsidR="002C56AA" w:rsidRPr="00640626">
        <w:rPr>
          <w:lang w:val="fr-FR"/>
        </w:rPr>
        <w:t>les emplois di</w:t>
      </w:r>
      <w:r w:rsidR="00C537B5" w:rsidRPr="00640626">
        <w:rPr>
          <w:lang w:val="fr-FR"/>
        </w:rPr>
        <w:t>sponibles</w:t>
      </w:r>
      <w:r w:rsidR="00E81D90" w:rsidRPr="00640626">
        <w:rPr>
          <w:lang w:val="fr-FR"/>
        </w:rPr>
        <w:t xml:space="preserve">, non </w:t>
      </w:r>
      <w:r w:rsidR="00573A10" w:rsidRPr="00640626">
        <w:rPr>
          <w:lang w:val="fr-FR"/>
        </w:rPr>
        <w:t>productifs</w:t>
      </w:r>
      <w:r w:rsidR="00E81D90" w:rsidRPr="00640626">
        <w:rPr>
          <w:lang w:val="fr-FR"/>
        </w:rPr>
        <w:t xml:space="preserve"> et non rémunérateurs, </w:t>
      </w:r>
      <w:r w:rsidR="00C537B5" w:rsidRPr="00640626">
        <w:rPr>
          <w:lang w:val="fr-FR"/>
        </w:rPr>
        <w:t xml:space="preserve">ne génèrent que de faibles revenus, il </w:t>
      </w:r>
      <w:r w:rsidR="000208F8" w:rsidRPr="00640626">
        <w:rPr>
          <w:lang w:val="fr-FR"/>
        </w:rPr>
        <w:t xml:space="preserve">faudrait </w:t>
      </w:r>
      <w:r w:rsidR="00C537B5" w:rsidRPr="00640626">
        <w:rPr>
          <w:lang w:val="fr-FR"/>
        </w:rPr>
        <w:t>épa</w:t>
      </w:r>
      <w:r w:rsidR="000208F8" w:rsidRPr="00640626">
        <w:rPr>
          <w:lang w:val="fr-FR"/>
        </w:rPr>
        <w:t xml:space="preserve">uler les aquaculteurs </w:t>
      </w:r>
      <w:r w:rsidR="006F28C9" w:rsidRPr="00640626">
        <w:rPr>
          <w:lang w:val="fr-FR"/>
        </w:rPr>
        <w:t>dans leur</w:t>
      </w:r>
      <w:r w:rsidR="000208F8" w:rsidRPr="00640626">
        <w:rPr>
          <w:lang w:val="fr-FR"/>
        </w:rPr>
        <w:t xml:space="preserve"> recherche de </w:t>
      </w:r>
      <w:r w:rsidR="00573A10" w:rsidRPr="00640626">
        <w:rPr>
          <w:lang w:val="fr-FR"/>
        </w:rPr>
        <w:t xml:space="preserve">moyens </w:t>
      </w:r>
      <w:r w:rsidR="000208F8" w:rsidRPr="00640626">
        <w:rPr>
          <w:lang w:val="fr-FR"/>
        </w:rPr>
        <w:t xml:space="preserve">destinés à </w:t>
      </w:r>
      <w:r w:rsidR="00C537B5" w:rsidRPr="00640626">
        <w:rPr>
          <w:lang w:val="fr-FR"/>
        </w:rPr>
        <w:t xml:space="preserve">développer des </w:t>
      </w:r>
      <w:r w:rsidR="00B57801" w:rsidRPr="00640626">
        <w:rPr>
          <w:lang w:val="fr-FR"/>
        </w:rPr>
        <w:t>entreprises</w:t>
      </w:r>
      <w:r w:rsidR="00C537B5" w:rsidRPr="00640626">
        <w:rPr>
          <w:lang w:val="fr-FR"/>
        </w:rPr>
        <w:t xml:space="preserve"> productives et rentables.</w:t>
      </w:r>
    </w:p>
    <w:p w:rsidR="001C3334" w:rsidRPr="00640626" w:rsidRDefault="003B7D99" w:rsidP="00082B55">
      <w:pPr>
        <w:pStyle w:val="NewPara"/>
        <w:jc w:val="both"/>
        <w:rPr>
          <w:lang w:val="fr-FR"/>
        </w:rPr>
      </w:pPr>
      <w:r w:rsidRPr="00640626">
        <w:rPr>
          <w:lang w:val="fr-FR"/>
        </w:rPr>
        <w:t>L’aide au</w:t>
      </w:r>
      <w:r w:rsidR="00C537B5" w:rsidRPr="00640626">
        <w:rPr>
          <w:lang w:val="fr-FR"/>
        </w:rPr>
        <w:t xml:space="preserve"> développement de petites et m</w:t>
      </w:r>
      <w:r w:rsidRPr="00640626">
        <w:rPr>
          <w:lang w:val="fr-FR"/>
        </w:rPr>
        <w:t xml:space="preserve">oyennes entreprises, </w:t>
      </w:r>
      <w:r w:rsidR="00C537B5" w:rsidRPr="00640626">
        <w:rPr>
          <w:lang w:val="fr-FR"/>
        </w:rPr>
        <w:t xml:space="preserve">l’accès à de meilleures pratiques de gestion </w:t>
      </w:r>
      <w:r w:rsidRPr="00640626">
        <w:rPr>
          <w:lang w:val="fr-FR"/>
        </w:rPr>
        <w:t xml:space="preserve">et à des mécanismes de crédit </w:t>
      </w:r>
      <w:r w:rsidR="0011267F" w:rsidRPr="00640626">
        <w:rPr>
          <w:lang w:val="fr-FR"/>
        </w:rPr>
        <w:t xml:space="preserve">plus porteurs </w:t>
      </w:r>
      <w:r w:rsidR="00C537B5" w:rsidRPr="00640626">
        <w:rPr>
          <w:lang w:val="fr-FR"/>
        </w:rPr>
        <w:t>ainsi qu</w:t>
      </w:r>
      <w:r w:rsidRPr="00640626">
        <w:rPr>
          <w:lang w:val="fr-FR"/>
        </w:rPr>
        <w:t xml:space="preserve">e la </w:t>
      </w:r>
      <w:r w:rsidR="0053301A" w:rsidRPr="00640626">
        <w:rPr>
          <w:lang w:val="fr-FR"/>
        </w:rPr>
        <w:t xml:space="preserve">constitution </w:t>
      </w:r>
      <w:r w:rsidR="0011267F" w:rsidRPr="00640626">
        <w:rPr>
          <w:lang w:val="fr-FR"/>
        </w:rPr>
        <w:t>d’</w:t>
      </w:r>
      <w:r w:rsidR="0091297B" w:rsidRPr="00640626">
        <w:rPr>
          <w:lang w:val="fr-FR"/>
        </w:rPr>
        <w:t xml:space="preserve">organisations </w:t>
      </w:r>
      <w:r w:rsidRPr="00640626">
        <w:rPr>
          <w:lang w:val="fr-FR"/>
        </w:rPr>
        <w:t xml:space="preserve">de travailleurs du </w:t>
      </w:r>
      <w:r w:rsidR="00F55287" w:rsidRPr="00640626">
        <w:rPr>
          <w:lang w:val="fr-FR"/>
        </w:rPr>
        <w:t>secteur des pêches</w:t>
      </w:r>
      <w:r w:rsidRPr="00640626">
        <w:rPr>
          <w:lang w:val="fr-FR"/>
        </w:rPr>
        <w:t xml:space="preserve"> et d</w:t>
      </w:r>
      <w:r w:rsidR="0011267F" w:rsidRPr="00640626">
        <w:rPr>
          <w:lang w:val="fr-FR"/>
        </w:rPr>
        <w:t xml:space="preserve">’aquaculteurs </w:t>
      </w:r>
      <w:r w:rsidRPr="00640626">
        <w:rPr>
          <w:lang w:val="fr-FR"/>
        </w:rPr>
        <w:t xml:space="preserve">sont </w:t>
      </w:r>
      <w:r w:rsidR="00573A10" w:rsidRPr="00640626">
        <w:rPr>
          <w:lang w:val="fr-FR"/>
        </w:rPr>
        <w:t xml:space="preserve">autant de </w:t>
      </w:r>
      <w:r w:rsidR="00E81D90" w:rsidRPr="00640626">
        <w:rPr>
          <w:lang w:val="fr-FR"/>
        </w:rPr>
        <w:t>pistes</w:t>
      </w:r>
      <w:r w:rsidRPr="00640626">
        <w:rPr>
          <w:lang w:val="fr-FR"/>
        </w:rPr>
        <w:t xml:space="preserve"> pouvant </w:t>
      </w:r>
      <w:r w:rsidR="00573A10" w:rsidRPr="00640626">
        <w:rPr>
          <w:lang w:val="fr-FR"/>
        </w:rPr>
        <w:t xml:space="preserve">aider </w:t>
      </w:r>
      <w:r w:rsidRPr="00640626">
        <w:rPr>
          <w:lang w:val="fr-FR"/>
        </w:rPr>
        <w:t xml:space="preserve">à surmonter les problèmes </w:t>
      </w:r>
      <w:r w:rsidR="00573A10" w:rsidRPr="00640626">
        <w:rPr>
          <w:lang w:val="fr-FR"/>
        </w:rPr>
        <w:t xml:space="preserve">découlant </w:t>
      </w:r>
      <w:r w:rsidRPr="00640626">
        <w:rPr>
          <w:lang w:val="fr-FR"/>
        </w:rPr>
        <w:t xml:space="preserve">d’un faible pouvoir de négociation et d’un accès limité aux marchés et aux informations relatives à ces derniers. </w:t>
      </w:r>
      <w:r w:rsidR="00E81D90" w:rsidRPr="00640626">
        <w:rPr>
          <w:lang w:val="fr-FR"/>
        </w:rPr>
        <w:t>Les services de vulgarisation et</w:t>
      </w:r>
      <w:r w:rsidR="004E52B2" w:rsidRPr="00640626">
        <w:rPr>
          <w:lang w:val="fr-FR"/>
        </w:rPr>
        <w:t xml:space="preserve"> </w:t>
      </w:r>
      <w:r w:rsidR="000403D5" w:rsidRPr="00640626">
        <w:rPr>
          <w:lang w:val="fr-FR"/>
        </w:rPr>
        <w:t xml:space="preserve">une </w:t>
      </w:r>
      <w:r w:rsidR="00A7334B" w:rsidRPr="00640626">
        <w:rPr>
          <w:lang w:val="fr-FR"/>
        </w:rPr>
        <w:t xml:space="preserve">formation professionnelle </w:t>
      </w:r>
      <w:r w:rsidR="00E81D90" w:rsidRPr="00640626">
        <w:rPr>
          <w:lang w:val="fr-FR"/>
        </w:rPr>
        <w:t>ciblée peuvent aider à pallier le manque de compétences, l’absence de services financiers ainsi que les insuffisances en termes de technologie et d’infrastructures auxquels sont confrontés de nombreux aquaculteurs.</w:t>
      </w:r>
    </w:p>
    <w:p w:rsidR="001C3334" w:rsidRPr="00640626" w:rsidRDefault="00AC572B" w:rsidP="00082B55">
      <w:pPr>
        <w:pStyle w:val="NewPara"/>
        <w:jc w:val="both"/>
        <w:rPr>
          <w:lang w:val="fr-FR"/>
        </w:rPr>
      </w:pPr>
      <w:r w:rsidRPr="00640626">
        <w:rPr>
          <w:b/>
          <w:lang w:val="fr-FR"/>
        </w:rPr>
        <w:t xml:space="preserve">Les lacunes en matière de données et de politiques générales </w:t>
      </w:r>
      <w:r w:rsidRPr="00640626">
        <w:rPr>
          <w:lang w:val="fr-FR"/>
        </w:rPr>
        <w:t>découlent</w:t>
      </w:r>
      <w:r w:rsidRPr="00640626">
        <w:rPr>
          <w:b/>
          <w:lang w:val="fr-FR"/>
        </w:rPr>
        <w:t xml:space="preserve"> </w:t>
      </w:r>
      <w:r w:rsidRPr="00640626">
        <w:rPr>
          <w:lang w:val="fr-FR"/>
        </w:rPr>
        <w:t xml:space="preserve">de la visibilité limitée des petits aquaculteurs et des activités de subsistance. Les statistiques relatives à l’aquaculture ne </w:t>
      </w:r>
      <w:r w:rsidR="00A7334B" w:rsidRPr="00640626">
        <w:rPr>
          <w:lang w:val="fr-FR"/>
        </w:rPr>
        <w:t xml:space="preserve">font </w:t>
      </w:r>
      <w:r w:rsidRPr="00640626">
        <w:rPr>
          <w:lang w:val="fr-FR"/>
        </w:rPr>
        <w:t xml:space="preserve">généralement </w:t>
      </w:r>
      <w:r w:rsidR="00F14D55" w:rsidRPr="00640626">
        <w:rPr>
          <w:lang w:val="fr-FR"/>
        </w:rPr>
        <w:t xml:space="preserve">pas </w:t>
      </w:r>
      <w:r w:rsidR="00A7334B" w:rsidRPr="00640626">
        <w:rPr>
          <w:lang w:val="fr-FR"/>
        </w:rPr>
        <w:t xml:space="preserve">ressortir </w:t>
      </w:r>
      <w:r w:rsidR="000403D5" w:rsidRPr="00640626">
        <w:rPr>
          <w:lang w:val="fr-FR"/>
        </w:rPr>
        <w:t>l’importance</w:t>
      </w:r>
      <w:r w:rsidR="00A7334B" w:rsidRPr="00640626">
        <w:rPr>
          <w:lang w:val="fr-FR"/>
        </w:rPr>
        <w:t xml:space="preserve"> de l’aquaculture artisanale</w:t>
      </w:r>
      <w:r w:rsidR="000A2261" w:rsidRPr="00640626">
        <w:rPr>
          <w:lang w:val="fr-FR"/>
        </w:rPr>
        <w:t>, ni sa</w:t>
      </w:r>
      <w:r w:rsidRPr="00640626">
        <w:rPr>
          <w:lang w:val="fr-FR"/>
        </w:rPr>
        <w:t xml:space="preserve"> contribution à l’emploi </w:t>
      </w:r>
      <w:r w:rsidR="000A2261" w:rsidRPr="00640626">
        <w:rPr>
          <w:lang w:val="fr-FR"/>
        </w:rPr>
        <w:t>à toutes les étapes</w:t>
      </w:r>
      <w:r w:rsidRPr="00640626">
        <w:rPr>
          <w:lang w:val="fr-FR"/>
        </w:rPr>
        <w:t xml:space="preserve"> de la </w:t>
      </w:r>
      <w:r w:rsidR="000A2261" w:rsidRPr="00640626">
        <w:rPr>
          <w:lang w:val="fr-FR"/>
        </w:rPr>
        <w:t>chaîne de valeur.</w:t>
      </w:r>
      <w:r w:rsidR="004E52B2" w:rsidRPr="00640626">
        <w:rPr>
          <w:lang w:val="fr-FR"/>
        </w:rPr>
        <w:t xml:space="preserve"> </w:t>
      </w:r>
      <w:r w:rsidR="000A2261" w:rsidRPr="00640626">
        <w:rPr>
          <w:lang w:val="fr-FR"/>
        </w:rPr>
        <w:t>De même, l</w:t>
      </w:r>
      <w:r w:rsidRPr="00640626">
        <w:rPr>
          <w:lang w:val="fr-FR"/>
        </w:rPr>
        <w:t xml:space="preserve">es chiffres </w:t>
      </w:r>
      <w:r w:rsidR="000A2261" w:rsidRPr="00640626">
        <w:rPr>
          <w:lang w:val="fr-FR"/>
        </w:rPr>
        <w:t xml:space="preserve">ne tiennent souvent pas compte des </w:t>
      </w:r>
      <w:r w:rsidRPr="00640626">
        <w:rPr>
          <w:lang w:val="fr-FR"/>
        </w:rPr>
        <w:t xml:space="preserve">activités de subsistance et </w:t>
      </w:r>
      <w:r w:rsidR="000A2261" w:rsidRPr="00640626">
        <w:rPr>
          <w:lang w:val="fr-FR"/>
        </w:rPr>
        <w:t xml:space="preserve">du rôle </w:t>
      </w:r>
      <w:r w:rsidRPr="00640626">
        <w:rPr>
          <w:lang w:val="fr-FR"/>
        </w:rPr>
        <w:t xml:space="preserve">des femmes, des jeunes et des enfants </w:t>
      </w:r>
      <w:r w:rsidR="000A2261" w:rsidRPr="00640626">
        <w:rPr>
          <w:lang w:val="fr-FR"/>
        </w:rPr>
        <w:t xml:space="preserve">travaillant </w:t>
      </w:r>
      <w:r w:rsidRPr="00640626">
        <w:rPr>
          <w:lang w:val="fr-FR"/>
        </w:rPr>
        <w:t xml:space="preserve">dans l’aquaculture. La présentation de données </w:t>
      </w:r>
      <w:r w:rsidR="00AB61E8" w:rsidRPr="00640626">
        <w:rPr>
          <w:lang w:val="fr-FR"/>
        </w:rPr>
        <w:t xml:space="preserve">ventilées </w:t>
      </w:r>
      <w:r w:rsidRPr="00640626">
        <w:rPr>
          <w:lang w:val="fr-FR"/>
        </w:rPr>
        <w:t xml:space="preserve">permettrait de mieux </w:t>
      </w:r>
      <w:r w:rsidR="00AB61E8" w:rsidRPr="00640626">
        <w:rPr>
          <w:lang w:val="fr-FR"/>
        </w:rPr>
        <w:t>saisir</w:t>
      </w:r>
      <w:r w:rsidRPr="00640626">
        <w:rPr>
          <w:lang w:val="fr-FR"/>
        </w:rPr>
        <w:t xml:space="preserve"> et faire comprendre l'importance de l</w:t>
      </w:r>
      <w:r w:rsidR="00AB61E8" w:rsidRPr="00640626">
        <w:rPr>
          <w:lang w:val="fr-FR"/>
        </w:rPr>
        <w:t>’aquaculture</w:t>
      </w:r>
      <w:r w:rsidRPr="00640626">
        <w:rPr>
          <w:lang w:val="fr-FR"/>
        </w:rPr>
        <w:t xml:space="preserve">, </w:t>
      </w:r>
      <w:r w:rsidR="00AB61E8" w:rsidRPr="00640626">
        <w:rPr>
          <w:lang w:val="fr-FR"/>
        </w:rPr>
        <w:t>et ce pour toute une série d’</w:t>
      </w:r>
      <w:r w:rsidRPr="00640626">
        <w:rPr>
          <w:lang w:val="fr-FR"/>
        </w:rPr>
        <w:t>aspects socioéconomiques</w:t>
      </w:r>
      <w:r w:rsidR="00AB61E8" w:rsidRPr="00640626">
        <w:rPr>
          <w:lang w:val="fr-FR"/>
        </w:rPr>
        <w:t>.</w:t>
      </w:r>
    </w:p>
    <w:p w:rsidR="001C3334" w:rsidRPr="00640626" w:rsidRDefault="00F14D55" w:rsidP="001C3334">
      <w:pPr>
        <w:pStyle w:val="NewPara"/>
        <w:jc w:val="both"/>
        <w:rPr>
          <w:lang w:val="fr-FR"/>
        </w:rPr>
      </w:pPr>
      <w:r w:rsidRPr="00640626">
        <w:rPr>
          <w:lang w:val="fr-FR"/>
        </w:rPr>
        <w:t xml:space="preserve">S’ajoute à cela le fait que </w:t>
      </w:r>
      <w:r w:rsidR="00385F37" w:rsidRPr="00640626">
        <w:rPr>
          <w:lang w:val="fr-FR"/>
        </w:rPr>
        <w:t>la majorité des politiques et plans de gestion touchant aux pêches et à l’aquaculture n</w:t>
      </w:r>
      <w:r w:rsidR="000403D5" w:rsidRPr="00640626">
        <w:rPr>
          <w:lang w:val="fr-FR"/>
        </w:rPr>
        <w:t>e comportent pas encore d’</w:t>
      </w:r>
      <w:r w:rsidR="00385F37" w:rsidRPr="00640626">
        <w:rPr>
          <w:lang w:val="fr-FR"/>
        </w:rPr>
        <w:t xml:space="preserve">objectifs </w:t>
      </w:r>
      <w:r w:rsidR="000403D5" w:rsidRPr="00640626">
        <w:rPr>
          <w:lang w:val="fr-FR"/>
        </w:rPr>
        <w:t xml:space="preserve">largement acceptés </w:t>
      </w:r>
      <w:r w:rsidR="00385F37" w:rsidRPr="00640626">
        <w:rPr>
          <w:lang w:val="fr-FR"/>
        </w:rPr>
        <w:t>en matière d’emploi et de travail décent</w:t>
      </w:r>
      <w:r w:rsidRPr="00640626">
        <w:rPr>
          <w:lang w:val="fr-FR"/>
        </w:rPr>
        <w:t xml:space="preserve">. </w:t>
      </w:r>
      <w:r w:rsidR="00BC5077" w:rsidRPr="00640626">
        <w:rPr>
          <w:lang w:val="fr-FR"/>
        </w:rPr>
        <w:t xml:space="preserve">Les </w:t>
      </w:r>
      <w:r w:rsidR="006C2C6B" w:rsidRPr="00640626">
        <w:rPr>
          <w:lang w:val="fr-FR"/>
        </w:rPr>
        <w:t xml:space="preserve">mesures ci-après peuvent </w:t>
      </w:r>
      <w:r w:rsidR="000403D5" w:rsidRPr="00640626">
        <w:rPr>
          <w:lang w:val="fr-FR"/>
        </w:rPr>
        <w:t xml:space="preserve">dès lors </w:t>
      </w:r>
      <w:r w:rsidR="006C2C6B" w:rsidRPr="00640626">
        <w:rPr>
          <w:lang w:val="fr-FR"/>
        </w:rPr>
        <w:t>être envisagées: i) diffuser largement les données reflétant</w:t>
      </w:r>
      <w:r w:rsidR="00BC5077" w:rsidRPr="00640626">
        <w:rPr>
          <w:lang w:val="fr-FR"/>
        </w:rPr>
        <w:t xml:space="preserve"> </w:t>
      </w:r>
      <w:r w:rsidR="006C2C6B" w:rsidRPr="00640626">
        <w:rPr>
          <w:lang w:val="fr-FR"/>
        </w:rPr>
        <w:t>l’influence</w:t>
      </w:r>
      <w:r w:rsidR="00BC5077" w:rsidRPr="00640626">
        <w:rPr>
          <w:lang w:val="fr-FR"/>
        </w:rPr>
        <w:t xml:space="preserve"> des entreprises aquacoles sur l’emploi, la réduction de la pauvreté et le développement économique à l’éc</w:t>
      </w:r>
      <w:r w:rsidR="006C2C6B" w:rsidRPr="00640626">
        <w:rPr>
          <w:lang w:val="fr-FR"/>
        </w:rPr>
        <w:t xml:space="preserve">helon local et régional, ii) </w:t>
      </w:r>
      <w:r w:rsidR="00BC5077" w:rsidRPr="00640626">
        <w:rPr>
          <w:lang w:val="fr-FR"/>
        </w:rPr>
        <w:t xml:space="preserve">associer les parties prenantes du monde du </w:t>
      </w:r>
      <w:r w:rsidR="006C2C6B" w:rsidRPr="00640626">
        <w:rPr>
          <w:lang w:val="fr-FR"/>
        </w:rPr>
        <w:t xml:space="preserve">travail à la planification et </w:t>
      </w:r>
      <w:r w:rsidR="00BC5077" w:rsidRPr="00640626">
        <w:rPr>
          <w:lang w:val="fr-FR"/>
        </w:rPr>
        <w:t>circonscrire les problématiques en matière d’emploi dans le do</w:t>
      </w:r>
      <w:r w:rsidR="006C2C6B" w:rsidRPr="00640626">
        <w:rPr>
          <w:lang w:val="fr-FR"/>
        </w:rPr>
        <w:t>maine de l’aquaculture, iii)</w:t>
      </w:r>
      <w:r w:rsidR="004E52B2" w:rsidRPr="00640626">
        <w:rPr>
          <w:lang w:val="fr-FR"/>
        </w:rPr>
        <w:t xml:space="preserve"> </w:t>
      </w:r>
      <w:r w:rsidR="001E69A8" w:rsidRPr="00640626">
        <w:rPr>
          <w:lang w:val="fr-FR"/>
        </w:rPr>
        <w:t xml:space="preserve">faire en sorte que les politiques </w:t>
      </w:r>
      <w:r w:rsidR="006C2C6B" w:rsidRPr="00640626">
        <w:rPr>
          <w:lang w:val="fr-FR"/>
        </w:rPr>
        <w:t xml:space="preserve">applicables à </w:t>
      </w:r>
      <w:r w:rsidR="001E69A8" w:rsidRPr="00640626">
        <w:rPr>
          <w:lang w:val="fr-FR"/>
        </w:rPr>
        <w:t xml:space="preserve">l’aquaculture promeuvent </w:t>
      </w:r>
      <w:r w:rsidR="00BC5077" w:rsidRPr="00640626">
        <w:rPr>
          <w:lang w:val="fr-FR"/>
        </w:rPr>
        <w:t xml:space="preserve">la </w:t>
      </w:r>
      <w:r w:rsidR="00450795" w:rsidRPr="00640626">
        <w:rPr>
          <w:lang w:val="fr-FR"/>
        </w:rPr>
        <w:t>création d’emploi</w:t>
      </w:r>
      <w:r w:rsidR="00BC5077" w:rsidRPr="00640626">
        <w:rPr>
          <w:lang w:val="fr-FR"/>
        </w:rPr>
        <w:t xml:space="preserve"> et l</w:t>
      </w:r>
      <w:r w:rsidR="001E69A8" w:rsidRPr="00640626">
        <w:rPr>
          <w:lang w:val="fr-FR"/>
        </w:rPr>
        <w:t>e développe</w:t>
      </w:r>
      <w:r w:rsidR="006C2C6B" w:rsidRPr="00640626">
        <w:rPr>
          <w:lang w:val="fr-FR"/>
        </w:rPr>
        <w:t xml:space="preserve">ment de l’entreprise, et iv) </w:t>
      </w:r>
      <w:r w:rsidR="001E69A8" w:rsidRPr="00640626">
        <w:rPr>
          <w:lang w:val="fr-FR"/>
        </w:rPr>
        <w:t xml:space="preserve">garantir </w:t>
      </w:r>
      <w:r w:rsidR="006C2C6B" w:rsidRPr="00640626">
        <w:rPr>
          <w:lang w:val="fr-FR"/>
        </w:rPr>
        <w:t xml:space="preserve">une </w:t>
      </w:r>
      <w:r w:rsidR="001E69A8" w:rsidRPr="00640626">
        <w:rPr>
          <w:lang w:val="fr-FR"/>
        </w:rPr>
        <w:t>prise en compte cohérente de ces aspects dans le cadre de l’élaboration de politiques intersectorielles (emploi, protection sociale, etc.).</w:t>
      </w:r>
    </w:p>
    <w:p w:rsidR="001C3334" w:rsidRPr="00640626" w:rsidRDefault="001E69A8" w:rsidP="001C3334">
      <w:pPr>
        <w:pStyle w:val="NewPara"/>
        <w:jc w:val="both"/>
        <w:rPr>
          <w:lang w:val="fr-FR"/>
        </w:rPr>
      </w:pPr>
      <w:r w:rsidRPr="00640626">
        <w:rPr>
          <w:b/>
          <w:lang w:val="fr-FR"/>
        </w:rPr>
        <w:t xml:space="preserve">Menaces pesant sur les moyens </w:t>
      </w:r>
      <w:r w:rsidR="006C2C6B" w:rsidRPr="00640626">
        <w:rPr>
          <w:b/>
          <w:lang w:val="fr-FR"/>
        </w:rPr>
        <w:t>d’existence</w:t>
      </w:r>
      <w:r w:rsidRPr="00640626">
        <w:rPr>
          <w:b/>
          <w:lang w:val="fr-FR"/>
        </w:rPr>
        <w:t xml:space="preserve"> </w:t>
      </w:r>
      <w:r w:rsidR="006C2C6B" w:rsidRPr="00640626">
        <w:rPr>
          <w:b/>
          <w:lang w:val="fr-FR"/>
        </w:rPr>
        <w:t xml:space="preserve">durables. </w:t>
      </w:r>
      <w:r w:rsidR="006C2C6B" w:rsidRPr="00640626">
        <w:rPr>
          <w:lang w:val="fr-FR"/>
        </w:rPr>
        <w:t xml:space="preserve">Les jeunes éprouvent plus de difficultés à accéder </w:t>
      </w:r>
      <w:r w:rsidRPr="00640626">
        <w:rPr>
          <w:lang w:val="fr-FR"/>
        </w:rPr>
        <w:t xml:space="preserve">aux ressources indispensables </w:t>
      </w:r>
      <w:r w:rsidR="00434D86" w:rsidRPr="00640626">
        <w:rPr>
          <w:lang w:val="fr-FR"/>
        </w:rPr>
        <w:t>à la gestion d’</w:t>
      </w:r>
      <w:r w:rsidRPr="00640626">
        <w:rPr>
          <w:lang w:val="fr-FR"/>
        </w:rPr>
        <w:t>exploitations aquacoles viables (</w:t>
      </w:r>
      <w:r w:rsidR="00434D86" w:rsidRPr="00640626">
        <w:rPr>
          <w:lang w:val="fr-FR"/>
        </w:rPr>
        <w:t xml:space="preserve">propriété des terres, </w:t>
      </w:r>
      <w:r w:rsidR="000403D5" w:rsidRPr="00640626">
        <w:rPr>
          <w:lang w:val="fr-FR"/>
        </w:rPr>
        <w:t xml:space="preserve">accès au </w:t>
      </w:r>
      <w:r w:rsidR="00434D86" w:rsidRPr="00640626">
        <w:rPr>
          <w:lang w:val="fr-FR"/>
        </w:rPr>
        <w:t xml:space="preserve">seuil économique d’exploitation et accès aux investissements initiaux nécessaires, par exemple). Cet obstacle peut être surmonté </w:t>
      </w:r>
      <w:r w:rsidR="00040F09" w:rsidRPr="00640626">
        <w:rPr>
          <w:lang w:val="fr-FR"/>
        </w:rPr>
        <w:t>en introduisant des</w:t>
      </w:r>
      <w:r w:rsidR="00434D86" w:rsidRPr="00640626">
        <w:rPr>
          <w:lang w:val="fr-FR"/>
        </w:rPr>
        <w:t xml:space="preserve"> mécanismes facilitateurs </w:t>
      </w:r>
      <w:r w:rsidR="00E81D90" w:rsidRPr="00640626">
        <w:rPr>
          <w:lang w:val="fr-FR"/>
        </w:rPr>
        <w:t>les aidant</w:t>
      </w:r>
      <w:r w:rsidR="00434D86" w:rsidRPr="00640626">
        <w:rPr>
          <w:lang w:val="fr-FR"/>
        </w:rPr>
        <w:t xml:space="preserve"> à prendre pied dans des projets aquacoles (création de groupes de production et </w:t>
      </w:r>
      <w:r w:rsidR="00040F09" w:rsidRPr="00640626">
        <w:rPr>
          <w:lang w:val="fr-FR"/>
        </w:rPr>
        <w:t>action collective, par exemple)</w:t>
      </w:r>
      <w:r w:rsidR="00434D86" w:rsidRPr="00640626">
        <w:rPr>
          <w:lang w:val="fr-FR"/>
        </w:rPr>
        <w:t xml:space="preserve"> et en </w:t>
      </w:r>
      <w:r w:rsidR="00040F09" w:rsidRPr="00640626">
        <w:rPr>
          <w:lang w:val="fr-FR"/>
        </w:rPr>
        <w:t xml:space="preserve">leur permettant </w:t>
      </w:r>
      <w:r w:rsidR="000403D5" w:rsidRPr="00640626">
        <w:rPr>
          <w:lang w:val="fr-FR"/>
        </w:rPr>
        <w:t>d’intégrer</w:t>
      </w:r>
      <w:r w:rsidR="006C2C6B" w:rsidRPr="00640626">
        <w:rPr>
          <w:lang w:val="fr-FR"/>
        </w:rPr>
        <w:t xml:space="preserve"> des</w:t>
      </w:r>
      <w:r w:rsidR="00434D86" w:rsidRPr="00640626">
        <w:rPr>
          <w:lang w:val="fr-FR"/>
        </w:rPr>
        <w:t xml:space="preserve"> </w:t>
      </w:r>
      <w:r w:rsidR="00FE44F4" w:rsidRPr="00640626">
        <w:rPr>
          <w:lang w:val="fr-FR"/>
        </w:rPr>
        <w:t xml:space="preserve">écoles et </w:t>
      </w:r>
      <w:r w:rsidR="000403D5" w:rsidRPr="00640626">
        <w:rPr>
          <w:lang w:val="fr-FR"/>
        </w:rPr>
        <w:t xml:space="preserve">des </w:t>
      </w:r>
      <w:r w:rsidR="00FE44F4" w:rsidRPr="00640626">
        <w:rPr>
          <w:lang w:val="fr-FR"/>
        </w:rPr>
        <w:t xml:space="preserve">établissements d'enseignement </w:t>
      </w:r>
      <w:r w:rsidR="00040F09" w:rsidRPr="00640626">
        <w:rPr>
          <w:lang w:val="fr-FR"/>
        </w:rPr>
        <w:t xml:space="preserve">grâce auxquels ils obtiendront plus facilement </w:t>
      </w:r>
      <w:r w:rsidR="00FE44F4" w:rsidRPr="00640626">
        <w:rPr>
          <w:lang w:val="fr-FR"/>
        </w:rPr>
        <w:t xml:space="preserve">des emplois </w:t>
      </w:r>
      <w:r w:rsidR="000403D5" w:rsidRPr="00640626">
        <w:rPr>
          <w:lang w:val="fr-FR"/>
        </w:rPr>
        <w:t>rémunérateurs</w:t>
      </w:r>
      <w:r w:rsidR="006C2C6B" w:rsidRPr="00640626">
        <w:rPr>
          <w:lang w:val="fr-FR"/>
        </w:rPr>
        <w:t xml:space="preserve"> et décents. </w:t>
      </w:r>
      <w:r w:rsidR="00645984" w:rsidRPr="00640626">
        <w:rPr>
          <w:lang w:val="fr-FR"/>
        </w:rPr>
        <w:t>Avec l</w:t>
      </w:r>
      <w:r w:rsidR="00040F09" w:rsidRPr="00640626">
        <w:rPr>
          <w:lang w:val="fr-FR"/>
        </w:rPr>
        <w:t xml:space="preserve">’introduction de </w:t>
      </w:r>
      <w:r w:rsidR="00FE44F4" w:rsidRPr="00640626">
        <w:rPr>
          <w:lang w:val="fr-FR"/>
        </w:rPr>
        <w:t xml:space="preserve">critères plus stricts en matière de sécurité alimentaire et de traçabilité </w:t>
      </w:r>
      <w:r w:rsidR="00645984" w:rsidRPr="00640626">
        <w:rPr>
          <w:lang w:val="fr-FR"/>
        </w:rPr>
        <w:t xml:space="preserve">ainsi </w:t>
      </w:r>
      <w:r w:rsidR="00082B55" w:rsidRPr="00640626">
        <w:rPr>
          <w:lang w:val="fr-FR"/>
        </w:rPr>
        <w:t xml:space="preserve">que </w:t>
      </w:r>
      <w:r w:rsidR="00645984" w:rsidRPr="00640626">
        <w:rPr>
          <w:lang w:val="fr-FR"/>
        </w:rPr>
        <w:t>d’autres exigences à caractère non tarifaire</w:t>
      </w:r>
      <w:r w:rsidR="00FE44F4" w:rsidRPr="00640626">
        <w:rPr>
          <w:lang w:val="fr-FR"/>
        </w:rPr>
        <w:t xml:space="preserve"> </w:t>
      </w:r>
      <w:r w:rsidR="00040F09" w:rsidRPr="00640626">
        <w:rPr>
          <w:lang w:val="fr-FR"/>
        </w:rPr>
        <w:t>pouvant</w:t>
      </w:r>
      <w:r w:rsidR="00FE44F4" w:rsidRPr="00640626">
        <w:rPr>
          <w:lang w:val="fr-FR"/>
        </w:rPr>
        <w:t xml:space="preserve"> limiter voire empêcher la participation des petits producteurs aux chaînes de valeur internationales, il </w:t>
      </w:r>
      <w:r w:rsidR="00040F09" w:rsidRPr="00640626">
        <w:rPr>
          <w:lang w:val="fr-FR"/>
        </w:rPr>
        <w:t xml:space="preserve">sera </w:t>
      </w:r>
      <w:r w:rsidR="00FE44F4" w:rsidRPr="00640626">
        <w:rPr>
          <w:lang w:val="fr-FR"/>
        </w:rPr>
        <w:t>indispe</w:t>
      </w:r>
      <w:r w:rsidR="00A53D0D" w:rsidRPr="00640626">
        <w:rPr>
          <w:lang w:val="fr-FR"/>
        </w:rPr>
        <w:t xml:space="preserve">nsable </w:t>
      </w:r>
      <w:r w:rsidR="006C2C6B" w:rsidRPr="00640626">
        <w:rPr>
          <w:lang w:val="fr-FR"/>
        </w:rPr>
        <w:t xml:space="preserve">de </w:t>
      </w:r>
      <w:r w:rsidR="00645984" w:rsidRPr="00640626">
        <w:rPr>
          <w:lang w:val="fr-FR"/>
        </w:rPr>
        <w:t>dispenser</w:t>
      </w:r>
      <w:r w:rsidR="00A53D0D" w:rsidRPr="00640626">
        <w:rPr>
          <w:lang w:val="fr-FR"/>
        </w:rPr>
        <w:t xml:space="preserve"> des formations </w:t>
      </w:r>
      <w:r w:rsidR="00FE44F4" w:rsidRPr="00640626">
        <w:rPr>
          <w:lang w:val="fr-FR"/>
        </w:rPr>
        <w:t>consacrées aux ré</w:t>
      </w:r>
      <w:r w:rsidR="006C2C6B" w:rsidRPr="00640626">
        <w:rPr>
          <w:lang w:val="fr-FR"/>
        </w:rPr>
        <w:t xml:space="preserve">glementations environnementales, </w:t>
      </w:r>
      <w:r w:rsidR="00A53D0D" w:rsidRPr="00640626">
        <w:rPr>
          <w:lang w:val="fr-FR"/>
        </w:rPr>
        <w:t>à la qualité des produits</w:t>
      </w:r>
      <w:r w:rsidR="006C2C6B" w:rsidRPr="00640626">
        <w:rPr>
          <w:lang w:val="fr-FR"/>
        </w:rPr>
        <w:t xml:space="preserve"> et aux exigences du monde commercial</w:t>
      </w:r>
      <w:r w:rsidR="00A53D0D" w:rsidRPr="00640626">
        <w:rPr>
          <w:lang w:val="fr-FR"/>
        </w:rPr>
        <w:t xml:space="preserve">. </w:t>
      </w:r>
      <w:r w:rsidR="00040F09" w:rsidRPr="00640626">
        <w:rPr>
          <w:lang w:val="fr-FR"/>
        </w:rPr>
        <w:t xml:space="preserve">La pollution, la détérioration de l’environnement, le changement climatique, les maladies et catastrophes naturelles ou causées par l'homme peuvent se répercuter sur les </w:t>
      </w:r>
      <w:r w:rsidR="00A53D0D" w:rsidRPr="00640626">
        <w:rPr>
          <w:lang w:val="fr-FR"/>
        </w:rPr>
        <w:t xml:space="preserve">entreprises, l’emploi et les conditions de travail. Il est </w:t>
      </w:r>
      <w:r w:rsidR="00645984" w:rsidRPr="00640626">
        <w:rPr>
          <w:lang w:val="fr-FR"/>
        </w:rPr>
        <w:t>nécessaire</w:t>
      </w:r>
      <w:r w:rsidR="00A53D0D" w:rsidRPr="00640626">
        <w:rPr>
          <w:lang w:val="fr-FR"/>
        </w:rPr>
        <w:t xml:space="preserve">, pour renforcer la capacité de résistance à ces </w:t>
      </w:r>
      <w:r w:rsidR="006C2C6B" w:rsidRPr="00640626">
        <w:rPr>
          <w:lang w:val="fr-FR"/>
        </w:rPr>
        <w:t>chocs</w:t>
      </w:r>
      <w:r w:rsidR="00A53D0D" w:rsidRPr="00640626">
        <w:rPr>
          <w:lang w:val="fr-FR"/>
        </w:rPr>
        <w:t xml:space="preserve">, de mener une réflexion sur la diversification des moyens d’existence </w:t>
      </w:r>
      <w:r w:rsidR="006C2C6B" w:rsidRPr="00640626">
        <w:rPr>
          <w:lang w:val="fr-FR"/>
        </w:rPr>
        <w:t>par le biais</w:t>
      </w:r>
      <w:r w:rsidR="00A53D0D" w:rsidRPr="00640626">
        <w:rPr>
          <w:lang w:val="fr-FR"/>
        </w:rPr>
        <w:t xml:space="preserve"> d’activités complémentaires et de substitution, de développer une capacité de réaction (mécanismes de </w:t>
      </w:r>
      <w:r w:rsidR="00973637" w:rsidRPr="00640626">
        <w:rPr>
          <w:lang w:val="fr-FR"/>
        </w:rPr>
        <w:t>résistance et d’adaptation) et d’identifier les vulnérabilités.</w:t>
      </w:r>
    </w:p>
    <w:p w:rsidR="001C3334" w:rsidRPr="00640626" w:rsidRDefault="001C3334" w:rsidP="001C3334">
      <w:pPr>
        <w:rPr>
          <w:lang w:val="fr-FR"/>
        </w:rPr>
      </w:pPr>
    </w:p>
    <w:p w:rsidR="001C3334" w:rsidRPr="00640626" w:rsidRDefault="00534D73" w:rsidP="00082B55">
      <w:pPr>
        <w:keepNext/>
        <w:keepLines/>
        <w:rPr>
          <w:b/>
          <w:lang w:val="fr-FR"/>
        </w:rPr>
      </w:pPr>
      <w:r w:rsidRPr="00640626">
        <w:rPr>
          <w:b/>
          <w:lang w:val="fr-FR"/>
        </w:rPr>
        <w:lastRenderedPageBreak/>
        <w:t>Volet 2 du travail décent</w:t>
      </w:r>
      <w:r w:rsidR="004E52B2" w:rsidRPr="00640626">
        <w:rPr>
          <w:b/>
          <w:lang w:val="fr-FR"/>
        </w:rPr>
        <w:t>:</w:t>
      </w:r>
      <w:r w:rsidR="001C3334" w:rsidRPr="00640626">
        <w:rPr>
          <w:b/>
          <w:lang w:val="fr-FR"/>
        </w:rPr>
        <w:t xml:space="preserve"> protection</w:t>
      </w:r>
      <w:r w:rsidRPr="00640626">
        <w:rPr>
          <w:b/>
          <w:lang w:val="fr-FR"/>
        </w:rPr>
        <w:t xml:space="preserve"> sociale</w:t>
      </w:r>
    </w:p>
    <w:p w:rsidR="001C3334" w:rsidRPr="00640626" w:rsidRDefault="001C3334" w:rsidP="00082B55">
      <w:pPr>
        <w:keepNext/>
        <w:keepLines/>
        <w:rPr>
          <w:lang w:val="fr-FR"/>
        </w:rPr>
      </w:pPr>
    </w:p>
    <w:p w:rsidR="001C3334" w:rsidRPr="00640626" w:rsidRDefault="00400C1E" w:rsidP="001C3334">
      <w:pPr>
        <w:pStyle w:val="NewPara"/>
        <w:keepNext/>
        <w:keepLines/>
        <w:jc w:val="both"/>
        <w:rPr>
          <w:lang w:val="fr-FR"/>
        </w:rPr>
      </w:pPr>
      <w:r w:rsidRPr="00640626">
        <w:rPr>
          <w:lang w:val="fr-FR"/>
        </w:rPr>
        <w:t xml:space="preserve">Il est essentiel, pour promouvoir le bien-être, de faire en sorte que les femmes et les hommes bénéficient </w:t>
      </w:r>
      <w:r w:rsidR="00C8709C" w:rsidRPr="00640626">
        <w:rPr>
          <w:lang w:val="fr-FR"/>
        </w:rPr>
        <w:t>de conditions de travail sûres</w:t>
      </w:r>
      <w:r w:rsidR="00E81D90" w:rsidRPr="00640626">
        <w:rPr>
          <w:lang w:val="fr-FR"/>
        </w:rPr>
        <w:t>,</w:t>
      </w:r>
      <w:r w:rsidR="00C8709C" w:rsidRPr="00640626">
        <w:rPr>
          <w:lang w:val="fr-FR"/>
        </w:rPr>
        <w:t xml:space="preserve"> </w:t>
      </w:r>
      <w:r w:rsidR="00E81D90" w:rsidRPr="00640626">
        <w:rPr>
          <w:lang w:val="fr-FR"/>
        </w:rPr>
        <w:t>de</w:t>
      </w:r>
      <w:r w:rsidR="00C8709C" w:rsidRPr="00640626">
        <w:rPr>
          <w:lang w:val="fr-FR"/>
        </w:rPr>
        <w:t xml:space="preserve"> périodes de temps </w:t>
      </w:r>
      <w:r w:rsidR="004158B2" w:rsidRPr="00640626">
        <w:rPr>
          <w:lang w:val="fr-FR"/>
        </w:rPr>
        <w:t xml:space="preserve">libre et de repos suffisantes, </w:t>
      </w:r>
      <w:r w:rsidR="00E81D90" w:rsidRPr="00640626">
        <w:rPr>
          <w:lang w:val="fr-FR"/>
        </w:rPr>
        <w:t>d’</w:t>
      </w:r>
      <w:r w:rsidR="00C8709C" w:rsidRPr="00640626">
        <w:rPr>
          <w:lang w:val="fr-FR"/>
        </w:rPr>
        <w:t xml:space="preserve">indemnisations </w:t>
      </w:r>
      <w:r w:rsidR="00B3096D" w:rsidRPr="00640626">
        <w:rPr>
          <w:lang w:val="fr-FR"/>
        </w:rPr>
        <w:t>acceptables</w:t>
      </w:r>
      <w:r w:rsidR="00C8709C" w:rsidRPr="00640626">
        <w:rPr>
          <w:lang w:val="fr-FR"/>
        </w:rPr>
        <w:t xml:space="preserve"> en cas de per</w:t>
      </w:r>
      <w:r w:rsidR="004158B2" w:rsidRPr="00640626">
        <w:rPr>
          <w:lang w:val="fr-FR"/>
        </w:rPr>
        <w:t xml:space="preserve">te ou de réduction des revenus </w:t>
      </w:r>
      <w:r w:rsidR="00C8709C" w:rsidRPr="00640626">
        <w:rPr>
          <w:lang w:val="fr-FR"/>
        </w:rPr>
        <w:t xml:space="preserve">et </w:t>
      </w:r>
      <w:r w:rsidR="00E81D90" w:rsidRPr="00640626">
        <w:rPr>
          <w:lang w:val="fr-FR"/>
        </w:rPr>
        <w:t>d’</w:t>
      </w:r>
      <w:r w:rsidR="00C8709C" w:rsidRPr="00640626">
        <w:rPr>
          <w:lang w:val="fr-FR"/>
        </w:rPr>
        <w:t xml:space="preserve">un accès à des soins de santé adéquats. </w:t>
      </w:r>
      <w:r w:rsidR="00CE0182" w:rsidRPr="00640626">
        <w:rPr>
          <w:lang w:val="fr-FR"/>
        </w:rPr>
        <w:t>Les deux principaux enjeux liés à la protection sociale dans le</w:t>
      </w:r>
      <w:r w:rsidR="00082B55" w:rsidRPr="00640626">
        <w:rPr>
          <w:lang w:val="fr-FR"/>
        </w:rPr>
        <w:t xml:space="preserve"> secteur de l’aquaculture sont </w:t>
      </w:r>
      <w:r w:rsidR="00CE0182" w:rsidRPr="00640626">
        <w:rPr>
          <w:lang w:val="fr-FR"/>
        </w:rPr>
        <w:t>i) l’absence de protection sociale et ii) la dangerosité de l’emploi. Des exemples de mesures envisageables sont proposés pour chacune de ces problématiques.</w:t>
      </w:r>
    </w:p>
    <w:p w:rsidR="001C3334" w:rsidRPr="00640626" w:rsidRDefault="0069174F" w:rsidP="003E5C05">
      <w:pPr>
        <w:pStyle w:val="NewPara"/>
        <w:jc w:val="both"/>
        <w:rPr>
          <w:lang w:val="fr-FR"/>
        </w:rPr>
      </w:pPr>
      <w:r w:rsidRPr="00640626">
        <w:rPr>
          <w:b/>
          <w:lang w:val="fr-FR"/>
        </w:rPr>
        <w:t xml:space="preserve">L’accès limité voire inexistant à la protection sociale </w:t>
      </w:r>
      <w:r w:rsidRPr="00640626">
        <w:rPr>
          <w:lang w:val="fr-FR"/>
        </w:rPr>
        <w:t xml:space="preserve">est un problème </w:t>
      </w:r>
      <w:r w:rsidR="006233E7" w:rsidRPr="00640626">
        <w:rPr>
          <w:lang w:val="fr-FR"/>
        </w:rPr>
        <w:t>pouvant toucher</w:t>
      </w:r>
      <w:r w:rsidRPr="00640626">
        <w:rPr>
          <w:lang w:val="fr-FR"/>
        </w:rPr>
        <w:t xml:space="preserve"> </w:t>
      </w:r>
      <w:r w:rsidR="004158B2" w:rsidRPr="00640626">
        <w:rPr>
          <w:lang w:val="fr-FR"/>
        </w:rPr>
        <w:t>aussi bien</w:t>
      </w:r>
      <w:r w:rsidRPr="00640626">
        <w:rPr>
          <w:lang w:val="fr-FR"/>
        </w:rPr>
        <w:t xml:space="preserve"> les travailleurs employés dans l’aquaculture (par exemple, en c</w:t>
      </w:r>
      <w:r w:rsidR="004158B2" w:rsidRPr="00640626">
        <w:rPr>
          <w:lang w:val="fr-FR"/>
        </w:rPr>
        <w:t xml:space="preserve">as de maladie ou d’accident) que </w:t>
      </w:r>
      <w:r w:rsidRPr="00640626">
        <w:rPr>
          <w:lang w:val="fr-FR"/>
        </w:rPr>
        <w:t xml:space="preserve">leurs familles </w:t>
      </w:r>
      <w:r w:rsidR="004158B2" w:rsidRPr="00640626">
        <w:rPr>
          <w:lang w:val="fr-FR"/>
        </w:rPr>
        <w:t>et</w:t>
      </w:r>
      <w:r w:rsidRPr="00640626">
        <w:rPr>
          <w:lang w:val="fr-FR"/>
        </w:rPr>
        <w:t xml:space="preserve"> leurs communautés. L’absence de prestations </w:t>
      </w:r>
      <w:r w:rsidR="006233E7" w:rsidRPr="00640626">
        <w:rPr>
          <w:lang w:val="fr-FR"/>
        </w:rPr>
        <w:t>médicales</w:t>
      </w:r>
      <w:r w:rsidRPr="00640626">
        <w:rPr>
          <w:lang w:val="fr-FR"/>
        </w:rPr>
        <w:t xml:space="preserve"> et de sécurité sociale </w:t>
      </w:r>
      <w:r w:rsidR="006233E7" w:rsidRPr="00640626">
        <w:rPr>
          <w:lang w:val="fr-FR"/>
        </w:rPr>
        <w:t>(</w:t>
      </w:r>
      <w:r w:rsidR="002E40B2" w:rsidRPr="00640626">
        <w:rPr>
          <w:lang w:val="fr-FR"/>
        </w:rPr>
        <w:t>y compris</w:t>
      </w:r>
      <w:r w:rsidR="004158B2" w:rsidRPr="00640626">
        <w:rPr>
          <w:lang w:val="fr-FR"/>
        </w:rPr>
        <w:t xml:space="preserve"> de</w:t>
      </w:r>
      <w:r w:rsidR="006233E7" w:rsidRPr="00640626">
        <w:rPr>
          <w:lang w:val="fr-FR"/>
        </w:rPr>
        <w:t xml:space="preserve"> prestations de maternité et </w:t>
      </w:r>
      <w:r w:rsidR="002E40B2" w:rsidRPr="00640626">
        <w:rPr>
          <w:lang w:val="fr-FR"/>
        </w:rPr>
        <w:t xml:space="preserve">d’assurance) peut également </w:t>
      </w:r>
      <w:r w:rsidR="004158B2" w:rsidRPr="00640626">
        <w:rPr>
          <w:lang w:val="fr-FR"/>
        </w:rPr>
        <w:t>avoir des retombées</w:t>
      </w:r>
      <w:r w:rsidR="002E40B2" w:rsidRPr="00640626">
        <w:rPr>
          <w:lang w:val="fr-FR"/>
        </w:rPr>
        <w:t xml:space="preserve"> sur la production </w:t>
      </w:r>
      <w:r w:rsidR="00C843C5" w:rsidRPr="00640626">
        <w:rPr>
          <w:lang w:val="fr-FR"/>
        </w:rPr>
        <w:t>halieutique et</w:t>
      </w:r>
      <w:r w:rsidR="00082B55" w:rsidRPr="00640626">
        <w:rPr>
          <w:lang w:val="fr-FR"/>
        </w:rPr>
        <w:t>,</w:t>
      </w:r>
      <w:r w:rsidR="00C843C5" w:rsidRPr="00640626">
        <w:rPr>
          <w:lang w:val="fr-FR"/>
        </w:rPr>
        <w:t xml:space="preserve"> part</w:t>
      </w:r>
      <w:r w:rsidR="004158B2" w:rsidRPr="00640626">
        <w:rPr>
          <w:lang w:val="fr-FR"/>
        </w:rPr>
        <w:t>a</w:t>
      </w:r>
      <w:r w:rsidR="00C843C5" w:rsidRPr="00640626">
        <w:rPr>
          <w:lang w:val="fr-FR"/>
        </w:rPr>
        <w:t>n</w:t>
      </w:r>
      <w:r w:rsidR="004158B2" w:rsidRPr="00640626">
        <w:rPr>
          <w:lang w:val="fr-FR"/>
        </w:rPr>
        <w:t xml:space="preserve">t, accentuer </w:t>
      </w:r>
      <w:r w:rsidR="002E40B2" w:rsidRPr="00640626">
        <w:rPr>
          <w:lang w:val="fr-FR"/>
        </w:rPr>
        <w:t xml:space="preserve">la vulnérabilité </w:t>
      </w:r>
      <w:r w:rsidR="004158B2" w:rsidRPr="00640626">
        <w:rPr>
          <w:lang w:val="fr-FR"/>
        </w:rPr>
        <w:t>des exploitations</w:t>
      </w:r>
      <w:r w:rsidR="002E40B2" w:rsidRPr="00640626">
        <w:rPr>
          <w:lang w:val="fr-FR"/>
        </w:rPr>
        <w:t xml:space="preserve">. </w:t>
      </w:r>
      <w:r w:rsidR="00C82D9F" w:rsidRPr="00640626">
        <w:rPr>
          <w:lang w:val="fr-FR"/>
        </w:rPr>
        <w:t xml:space="preserve">En réponse à ces enjeux de </w:t>
      </w:r>
      <w:r w:rsidR="00CB59C6" w:rsidRPr="00640626">
        <w:rPr>
          <w:lang w:val="fr-FR"/>
        </w:rPr>
        <w:t xml:space="preserve">protection sociale, on peut </w:t>
      </w:r>
      <w:r w:rsidR="00C82D9F" w:rsidRPr="00640626">
        <w:rPr>
          <w:lang w:val="fr-FR"/>
        </w:rPr>
        <w:t xml:space="preserve">prendre </w:t>
      </w:r>
      <w:r w:rsidR="00CB59C6" w:rsidRPr="00640626">
        <w:rPr>
          <w:lang w:val="fr-FR"/>
        </w:rPr>
        <w:t>des mesures visant</w:t>
      </w:r>
      <w:r w:rsidR="00082B55" w:rsidRPr="00640626">
        <w:rPr>
          <w:lang w:val="fr-FR"/>
        </w:rPr>
        <w:t xml:space="preserve"> à</w:t>
      </w:r>
      <w:r w:rsidR="004E52B2" w:rsidRPr="00640626">
        <w:rPr>
          <w:lang w:val="fr-FR"/>
        </w:rPr>
        <w:t>:</w:t>
      </w:r>
    </w:p>
    <w:p w:rsidR="001C3334" w:rsidRPr="00640626" w:rsidRDefault="00877762" w:rsidP="003E5C05">
      <w:pPr>
        <w:pStyle w:val="BulletList"/>
        <w:jc w:val="both"/>
        <w:rPr>
          <w:lang w:val="fr-FR"/>
        </w:rPr>
      </w:pPr>
      <w:r w:rsidRPr="00640626">
        <w:rPr>
          <w:lang w:val="fr-FR"/>
        </w:rPr>
        <w:t>fournir un soutien aux communautés défavorisées de travailleurs du secteur des pêches (</w:t>
      </w:r>
      <w:r w:rsidR="00C843C5" w:rsidRPr="00640626">
        <w:rPr>
          <w:lang w:val="fr-FR"/>
        </w:rPr>
        <w:t>aides</w:t>
      </w:r>
      <w:r w:rsidRPr="00640626">
        <w:rPr>
          <w:lang w:val="fr-FR"/>
        </w:rPr>
        <w:t xml:space="preserve"> aux revenus, accès aux produits alimentaires, assurance chômage)</w:t>
      </w:r>
      <w:r w:rsidR="005E26F3" w:rsidRPr="00640626">
        <w:rPr>
          <w:lang w:val="fr-FR"/>
        </w:rPr>
        <w:t>, afin de les aider à gérer le risque</w:t>
      </w:r>
      <w:r w:rsidR="00492862" w:rsidRPr="00640626">
        <w:rPr>
          <w:lang w:val="fr-FR"/>
        </w:rPr>
        <w:t xml:space="preserve"> et à surmonter les contraintes</w:t>
      </w:r>
      <w:r w:rsidR="005E26F3" w:rsidRPr="00640626">
        <w:rPr>
          <w:lang w:val="fr-FR"/>
        </w:rPr>
        <w:t xml:space="preserve"> immédiates, à stimuler </w:t>
      </w:r>
      <w:r w:rsidR="00C82D9F" w:rsidRPr="00640626">
        <w:rPr>
          <w:lang w:val="fr-FR"/>
        </w:rPr>
        <w:t>la</w:t>
      </w:r>
      <w:r w:rsidR="005E26F3" w:rsidRPr="00640626">
        <w:rPr>
          <w:lang w:val="fr-FR"/>
        </w:rPr>
        <w:t xml:space="preserve"> p</w:t>
      </w:r>
      <w:r w:rsidR="00C82D9F" w:rsidRPr="00640626">
        <w:rPr>
          <w:lang w:val="fr-FR"/>
        </w:rPr>
        <w:t>roductivité et à renforcer la</w:t>
      </w:r>
      <w:r w:rsidR="00C843C5" w:rsidRPr="00640626">
        <w:rPr>
          <w:lang w:val="fr-FR"/>
        </w:rPr>
        <w:t xml:space="preserve"> </w:t>
      </w:r>
      <w:r w:rsidR="005E26F3" w:rsidRPr="00640626">
        <w:rPr>
          <w:lang w:val="fr-FR"/>
        </w:rPr>
        <w:t xml:space="preserve">capacité de résistance aux </w:t>
      </w:r>
      <w:r w:rsidR="00C843C5" w:rsidRPr="00640626">
        <w:rPr>
          <w:lang w:val="fr-FR"/>
        </w:rPr>
        <w:t>chocs</w:t>
      </w:r>
      <w:r w:rsidR="005E26F3" w:rsidRPr="00640626">
        <w:rPr>
          <w:lang w:val="fr-FR"/>
        </w:rPr>
        <w:t>;</w:t>
      </w:r>
    </w:p>
    <w:p w:rsidR="001C3334" w:rsidRPr="00640626" w:rsidRDefault="005E26F3" w:rsidP="003E5C05">
      <w:pPr>
        <w:pStyle w:val="BulletList"/>
        <w:jc w:val="both"/>
        <w:rPr>
          <w:lang w:val="fr-FR"/>
        </w:rPr>
      </w:pPr>
      <w:r w:rsidRPr="00640626">
        <w:rPr>
          <w:lang w:val="fr-FR"/>
        </w:rPr>
        <w:t xml:space="preserve">faire en </w:t>
      </w:r>
      <w:r w:rsidR="00C82D9F" w:rsidRPr="00640626">
        <w:rPr>
          <w:lang w:val="fr-FR"/>
        </w:rPr>
        <w:t xml:space="preserve">sorte que les travailleurs et </w:t>
      </w:r>
      <w:r w:rsidRPr="00640626">
        <w:rPr>
          <w:lang w:val="fr-FR"/>
        </w:rPr>
        <w:t>leurs familles bénéficient de soins de santé primaires et d’une éducation de base (</w:t>
      </w:r>
      <w:r w:rsidR="00492862" w:rsidRPr="00640626">
        <w:rPr>
          <w:lang w:val="fr-FR"/>
        </w:rPr>
        <w:t>maintien des enfants à l’éco</w:t>
      </w:r>
      <w:r w:rsidR="00B3096D" w:rsidRPr="00640626">
        <w:rPr>
          <w:lang w:val="fr-FR"/>
        </w:rPr>
        <w:t>le, par exemple)</w:t>
      </w:r>
      <w:r w:rsidR="00492862" w:rsidRPr="00640626">
        <w:rPr>
          <w:lang w:val="fr-FR"/>
        </w:rPr>
        <w:t>;</w:t>
      </w:r>
    </w:p>
    <w:p w:rsidR="001C3334" w:rsidRPr="00640626" w:rsidRDefault="00492862" w:rsidP="001C3334">
      <w:pPr>
        <w:pStyle w:val="BulletList"/>
        <w:jc w:val="both"/>
        <w:rPr>
          <w:lang w:val="fr-FR"/>
        </w:rPr>
      </w:pPr>
      <w:r w:rsidRPr="00640626">
        <w:rPr>
          <w:lang w:val="fr-FR"/>
        </w:rPr>
        <w:t>instaurer</w:t>
      </w:r>
      <w:r w:rsidR="004E52B2" w:rsidRPr="00640626">
        <w:rPr>
          <w:lang w:val="fr-FR"/>
        </w:rPr>
        <w:t xml:space="preserve"> </w:t>
      </w:r>
      <w:r w:rsidRPr="00640626">
        <w:rPr>
          <w:lang w:val="fr-FR"/>
        </w:rPr>
        <w:t xml:space="preserve">des mesures de protection sociale pour tous, indépendamment de </w:t>
      </w:r>
      <w:r w:rsidR="003E5C05" w:rsidRPr="00640626">
        <w:rPr>
          <w:lang w:val="fr-FR"/>
        </w:rPr>
        <w:t>la</w:t>
      </w:r>
      <w:r w:rsidRPr="00640626">
        <w:rPr>
          <w:lang w:val="fr-FR"/>
        </w:rPr>
        <w:t xml:space="preserve"> situation en matière d’emploi, et élargir les systèmes de protection social</w:t>
      </w:r>
      <w:r w:rsidR="003E5C05" w:rsidRPr="00640626">
        <w:rPr>
          <w:lang w:val="fr-FR"/>
        </w:rPr>
        <w:t>e</w:t>
      </w:r>
      <w:r w:rsidRPr="00640626">
        <w:rPr>
          <w:lang w:val="fr-FR"/>
        </w:rPr>
        <w:t xml:space="preserve"> aux trava</w:t>
      </w:r>
      <w:r w:rsidR="009767E5" w:rsidRPr="00640626">
        <w:rPr>
          <w:lang w:val="fr-FR"/>
        </w:rPr>
        <w:t xml:space="preserve">illeurs informels </w:t>
      </w:r>
      <w:r w:rsidR="00C82D9F" w:rsidRPr="00640626">
        <w:rPr>
          <w:lang w:val="fr-FR"/>
        </w:rPr>
        <w:t>de la pêche</w:t>
      </w:r>
      <w:r w:rsidR="009767E5" w:rsidRPr="00640626">
        <w:rPr>
          <w:lang w:val="fr-FR"/>
        </w:rPr>
        <w:t xml:space="preserve"> </w:t>
      </w:r>
      <w:r w:rsidRPr="00640626">
        <w:rPr>
          <w:lang w:val="fr-FR"/>
        </w:rPr>
        <w:t xml:space="preserve">au travers, par exemple, de programmes de sécurité sociale non contributifs </w:t>
      </w:r>
      <w:r w:rsidR="003E5C05" w:rsidRPr="00640626">
        <w:rPr>
          <w:lang w:val="fr-FR"/>
        </w:rPr>
        <w:t>(</w:t>
      </w:r>
      <w:r w:rsidR="00C82D9F" w:rsidRPr="00640626">
        <w:rPr>
          <w:lang w:val="fr-FR"/>
        </w:rPr>
        <w:t xml:space="preserve">retraite, maladie, </w:t>
      </w:r>
      <w:r w:rsidR="003E5C05" w:rsidRPr="00640626">
        <w:rPr>
          <w:lang w:val="fr-FR"/>
        </w:rPr>
        <w:t>maternité, invalidité, accident</w:t>
      </w:r>
      <w:r w:rsidR="00C82D9F" w:rsidRPr="00640626">
        <w:rPr>
          <w:lang w:val="fr-FR"/>
        </w:rPr>
        <w:t>s</w:t>
      </w:r>
      <w:r w:rsidR="003E5C05" w:rsidRPr="00640626">
        <w:rPr>
          <w:lang w:val="fr-FR"/>
        </w:rPr>
        <w:t xml:space="preserve"> du travail).</w:t>
      </w:r>
    </w:p>
    <w:p w:rsidR="001C3334" w:rsidRPr="00640626" w:rsidRDefault="007F2360" w:rsidP="00082B55">
      <w:pPr>
        <w:pStyle w:val="NewPara"/>
        <w:jc w:val="both"/>
        <w:rPr>
          <w:lang w:val="fr-FR"/>
        </w:rPr>
      </w:pPr>
      <w:r w:rsidRPr="00640626">
        <w:rPr>
          <w:b/>
          <w:lang w:val="fr-FR"/>
        </w:rPr>
        <w:t>La dangerosité de l’emploi</w:t>
      </w:r>
      <w:r w:rsidRPr="00640626">
        <w:rPr>
          <w:lang w:val="fr-FR"/>
        </w:rPr>
        <w:t xml:space="preserve"> en aquaculture peut</w:t>
      </w:r>
      <w:r w:rsidR="00C843C5" w:rsidRPr="00640626">
        <w:rPr>
          <w:lang w:val="fr-FR"/>
        </w:rPr>
        <w:t xml:space="preserve"> </w:t>
      </w:r>
      <w:r w:rsidRPr="00640626">
        <w:rPr>
          <w:lang w:val="fr-FR"/>
        </w:rPr>
        <w:t xml:space="preserve">susciter des </w:t>
      </w:r>
      <w:r w:rsidR="00C843C5" w:rsidRPr="00640626">
        <w:rPr>
          <w:lang w:val="fr-FR"/>
        </w:rPr>
        <w:t>pr</w:t>
      </w:r>
      <w:r w:rsidR="00C82D9F" w:rsidRPr="00640626">
        <w:rPr>
          <w:lang w:val="fr-FR"/>
        </w:rPr>
        <w:t>é</w:t>
      </w:r>
      <w:r w:rsidR="00C843C5" w:rsidRPr="00640626">
        <w:rPr>
          <w:lang w:val="fr-FR"/>
        </w:rPr>
        <w:t>o</w:t>
      </w:r>
      <w:r w:rsidR="00C82D9F" w:rsidRPr="00640626">
        <w:rPr>
          <w:lang w:val="fr-FR"/>
        </w:rPr>
        <w:t>ccupations</w:t>
      </w:r>
      <w:r w:rsidR="00621D8A" w:rsidRPr="00640626">
        <w:rPr>
          <w:lang w:val="fr-FR"/>
        </w:rPr>
        <w:t xml:space="preserve"> de sécurité et de santé au travail (SST)</w:t>
      </w:r>
      <w:r w:rsidR="00C843C5" w:rsidRPr="00640626">
        <w:rPr>
          <w:lang w:val="fr-FR"/>
        </w:rPr>
        <w:t xml:space="preserve"> qui varieront suivant le type d’activité et les circonstances</w:t>
      </w:r>
      <w:r w:rsidR="00621D8A" w:rsidRPr="00640626">
        <w:rPr>
          <w:lang w:val="fr-FR"/>
        </w:rPr>
        <w:t xml:space="preserve">. Des situations dangereuses peuvent se présenter dans les écloseries, </w:t>
      </w:r>
      <w:r w:rsidR="00961BBF" w:rsidRPr="00640626">
        <w:rPr>
          <w:lang w:val="fr-FR"/>
        </w:rPr>
        <w:t xml:space="preserve">dans </w:t>
      </w:r>
      <w:r w:rsidR="00621D8A" w:rsidRPr="00640626">
        <w:rPr>
          <w:lang w:val="fr-FR"/>
        </w:rPr>
        <w:t>les infrastructures d’alevinage, au cours des opérations de prélèvement à des fins de reproduction (</w:t>
      </w:r>
      <w:r w:rsidR="00C82D9F" w:rsidRPr="00640626">
        <w:rPr>
          <w:lang w:val="fr-FR"/>
        </w:rPr>
        <w:t xml:space="preserve">risques de </w:t>
      </w:r>
      <w:r w:rsidR="00621D8A" w:rsidRPr="00640626">
        <w:rPr>
          <w:lang w:val="fr-FR"/>
        </w:rPr>
        <w:t xml:space="preserve">blessures, glissades/chutes, coupures, </w:t>
      </w:r>
      <w:r w:rsidR="009767E5" w:rsidRPr="00640626">
        <w:rPr>
          <w:lang w:val="fr-FR"/>
        </w:rPr>
        <w:t>immersion</w:t>
      </w:r>
      <w:r w:rsidR="00621D8A" w:rsidRPr="00640626">
        <w:rPr>
          <w:lang w:val="fr-FR"/>
        </w:rPr>
        <w:t>/plongée, parasites/agents pathogènes</w:t>
      </w:r>
      <w:r w:rsidR="00961BBF" w:rsidRPr="00640626">
        <w:rPr>
          <w:lang w:val="fr-FR"/>
        </w:rPr>
        <w:t>, brûlures, irritations, allergies, inhal</w:t>
      </w:r>
      <w:r w:rsidR="008929C6" w:rsidRPr="00640626">
        <w:rPr>
          <w:lang w:val="fr-FR"/>
        </w:rPr>
        <w:t xml:space="preserve">ation, manutention du poisson). </w:t>
      </w:r>
      <w:r w:rsidR="00C82D9F" w:rsidRPr="00640626">
        <w:rPr>
          <w:lang w:val="fr-FR"/>
        </w:rPr>
        <w:t>Elles seront fonction des équipements, des agents chimiques et des agents biologiques utilisés, ainsi que de la taille de l’exploitation et de l’environnement physique.</w:t>
      </w:r>
    </w:p>
    <w:p w:rsidR="001C3334" w:rsidRPr="00640626" w:rsidRDefault="009767E5" w:rsidP="001C3334">
      <w:pPr>
        <w:pStyle w:val="NewPara"/>
        <w:jc w:val="both"/>
        <w:rPr>
          <w:lang w:val="fr-FR"/>
        </w:rPr>
      </w:pPr>
      <w:r w:rsidRPr="00640626">
        <w:rPr>
          <w:lang w:val="fr-FR"/>
        </w:rPr>
        <w:t xml:space="preserve">On pourra pallier ces problèmes en réalisant des </w:t>
      </w:r>
      <w:r w:rsidR="00656F06" w:rsidRPr="00640626">
        <w:rPr>
          <w:lang w:val="fr-FR"/>
        </w:rPr>
        <w:t xml:space="preserve">évaluations des risques sur le lieu de travail, de manière à recenser les dangers (pour les différents groupes d’âge/de sexe) et à identifier les mesures à prendre en matière de </w:t>
      </w:r>
      <w:r w:rsidR="00C82D9F" w:rsidRPr="00640626">
        <w:rPr>
          <w:lang w:val="fr-FR"/>
        </w:rPr>
        <w:t>SST</w:t>
      </w:r>
      <w:r w:rsidR="00656F06" w:rsidRPr="00640626">
        <w:rPr>
          <w:lang w:val="fr-FR"/>
        </w:rPr>
        <w:t xml:space="preserve">. </w:t>
      </w:r>
      <w:r w:rsidR="00C82D9F" w:rsidRPr="00640626">
        <w:rPr>
          <w:lang w:val="fr-FR"/>
        </w:rPr>
        <w:t>L</w:t>
      </w:r>
      <w:r w:rsidRPr="00640626">
        <w:rPr>
          <w:lang w:val="fr-FR"/>
        </w:rPr>
        <w:t xml:space="preserve">es </w:t>
      </w:r>
      <w:r w:rsidR="00656F06" w:rsidRPr="00640626">
        <w:rPr>
          <w:lang w:val="fr-FR"/>
        </w:rPr>
        <w:t>conditions de travail et les paramètr</w:t>
      </w:r>
      <w:r w:rsidRPr="00640626">
        <w:rPr>
          <w:lang w:val="fr-FR"/>
        </w:rPr>
        <w:t>es SST</w:t>
      </w:r>
      <w:r w:rsidR="00C82D9F" w:rsidRPr="00640626">
        <w:rPr>
          <w:lang w:val="fr-FR"/>
        </w:rPr>
        <w:t xml:space="preserve"> devraient être documentés</w:t>
      </w:r>
      <w:r w:rsidR="00656F06" w:rsidRPr="00640626">
        <w:rPr>
          <w:lang w:val="fr-FR"/>
        </w:rPr>
        <w:t xml:space="preserve">. Les instances compétentes </w:t>
      </w:r>
      <w:r w:rsidR="00C843C5" w:rsidRPr="00640626">
        <w:rPr>
          <w:lang w:val="fr-FR"/>
        </w:rPr>
        <w:t>pourront</w:t>
      </w:r>
      <w:r w:rsidR="00656F06" w:rsidRPr="00640626">
        <w:rPr>
          <w:lang w:val="fr-FR"/>
        </w:rPr>
        <w:t xml:space="preserve"> </w:t>
      </w:r>
      <w:r w:rsidR="00C82D9F" w:rsidRPr="00640626">
        <w:rPr>
          <w:lang w:val="fr-FR"/>
        </w:rPr>
        <w:t xml:space="preserve">également </w:t>
      </w:r>
      <w:r w:rsidR="00C843C5" w:rsidRPr="00640626">
        <w:rPr>
          <w:lang w:val="fr-FR"/>
        </w:rPr>
        <w:t xml:space="preserve">être amenées à </w:t>
      </w:r>
      <w:r w:rsidR="00656F06" w:rsidRPr="00640626">
        <w:rPr>
          <w:lang w:val="fr-FR"/>
        </w:rPr>
        <w:t>f</w:t>
      </w:r>
      <w:r w:rsidR="00612186" w:rsidRPr="00640626">
        <w:rPr>
          <w:lang w:val="fr-FR"/>
        </w:rPr>
        <w:t xml:space="preserve">aire le point sur les règlements </w:t>
      </w:r>
      <w:r w:rsidR="00656F06" w:rsidRPr="00640626">
        <w:rPr>
          <w:lang w:val="fr-FR"/>
        </w:rPr>
        <w:t xml:space="preserve">et définitions </w:t>
      </w:r>
      <w:r w:rsidR="00612186" w:rsidRPr="00640626">
        <w:rPr>
          <w:lang w:val="fr-FR"/>
        </w:rPr>
        <w:t xml:space="preserve">en matière de SST en aquaculture, </w:t>
      </w:r>
      <w:r w:rsidR="00C843C5" w:rsidRPr="00640626">
        <w:rPr>
          <w:lang w:val="fr-FR"/>
        </w:rPr>
        <w:t xml:space="preserve">à </w:t>
      </w:r>
      <w:r w:rsidR="00612186" w:rsidRPr="00640626">
        <w:rPr>
          <w:lang w:val="fr-FR"/>
        </w:rPr>
        <w:t xml:space="preserve">établir des listes des travaux dangereux, </w:t>
      </w:r>
      <w:r w:rsidR="00C843C5" w:rsidRPr="00640626">
        <w:rPr>
          <w:lang w:val="fr-FR"/>
        </w:rPr>
        <w:t xml:space="preserve">à </w:t>
      </w:r>
      <w:r w:rsidR="00612186" w:rsidRPr="00640626">
        <w:rPr>
          <w:lang w:val="fr-FR"/>
        </w:rPr>
        <w:t xml:space="preserve">introduire de meilleures pratiques de gestion notamment pour ce qui concerne la formation des travailleurs du secteur des pêches en matière de SST, et </w:t>
      </w:r>
      <w:r w:rsidR="00C843C5" w:rsidRPr="00640626">
        <w:rPr>
          <w:lang w:val="fr-FR"/>
        </w:rPr>
        <w:t xml:space="preserve">à </w:t>
      </w:r>
      <w:r w:rsidR="00612186" w:rsidRPr="00640626">
        <w:rPr>
          <w:lang w:val="fr-FR"/>
        </w:rPr>
        <w:t xml:space="preserve">promouvoir des mesures sanitaires préventives comme le port </w:t>
      </w:r>
      <w:r w:rsidR="00D720A5" w:rsidRPr="00640626">
        <w:rPr>
          <w:lang w:val="fr-FR"/>
        </w:rPr>
        <w:t>d’équipements individuels de protectio</w:t>
      </w:r>
      <w:r w:rsidRPr="00640626">
        <w:rPr>
          <w:lang w:val="fr-FR"/>
        </w:rPr>
        <w:t>n. L</w:t>
      </w:r>
      <w:r w:rsidR="00D720A5" w:rsidRPr="00640626">
        <w:rPr>
          <w:lang w:val="fr-FR"/>
        </w:rPr>
        <w:t>’introduction de technologies plus sûres</w:t>
      </w:r>
      <w:r w:rsidRPr="00640626">
        <w:rPr>
          <w:lang w:val="fr-FR"/>
        </w:rPr>
        <w:t xml:space="preserve"> est également une </w:t>
      </w:r>
      <w:r w:rsidR="00C82D9F" w:rsidRPr="00640626">
        <w:rPr>
          <w:lang w:val="fr-FR"/>
        </w:rPr>
        <w:t>option</w:t>
      </w:r>
      <w:r w:rsidRPr="00640626">
        <w:rPr>
          <w:lang w:val="fr-FR"/>
        </w:rPr>
        <w:t xml:space="preserve"> à envisager</w:t>
      </w:r>
      <w:r w:rsidR="00D720A5" w:rsidRPr="00640626">
        <w:rPr>
          <w:lang w:val="fr-FR"/>
        </w:rPr>
        <w:t>.</w:t>
      </w:r>
    </w:p>
    <w:p w:rsidR="001C3334" w:rsidRPr="00640626" w:rsidRDefault="001C3334" w:rsidP="001C3334">
      <w:pPr>
        <w:rPr>
          <w:lang w:val="fr-FR"/>
        </w:rPr>
      </w:pPr>
    </w:p>
    <w:p w:rsidR="001C3334" w:rsidRPr="00640626" w:rsidRDefault="00D720A5" w:rsidP="001C3334">
      <w:pPr>
        <w:rPr>
          <w:b/>
          <w:lang w:val="fr-FR"/>
        </w:rPr>
      </w:pPr>
      <w:r w:rsidRPr="00640626">
        <w:rPr>
          <w:b/>
          <w:lang w:val="fr-FR"/>
        </w:rPr>
        <w:t>Volet 3 du travail décent</w:t>
      </w:r>
      <w:r w:rsidR="004E52B2" w:rsidRPr="00640626">
        <w:rPr>
          <w:b/>
          <w:lang w:val="fr-FR"/>
        </w:rPr>
        <w:t>:</w:t>
      </w:r>
      <w:r w:rsidRPr="00640626">
        <w:rPr>
          <w:b/>
          <w:lang w:val="fr-FR"/>
        </w:rPr>
        <w:t xml:space="preserve"> normes et droits au travail</w:t>
      </w:r>
      <w:r w:rsidR="001C3334" w:rsidRPr="00640626">
        <w:rPr>
          <w:b/>
          <w:lang w:val="fr-FR"/>
        </w:rPr>
        <w:t xml:space="preserve"> </w:t>
      </w:r>
    </w:p>
    <w:p w:rsidR="001C3334" w:rsidRPr="00640626" w:rsidRDefault="001C3334" w:rsidP="001C3334">
      <w:pPr>
        <w:rPr>
          <w:lang w:val="fr-FR"/>
        </w:rPr>
      </w:pPr>
    </w:p>
    <w:p w:rsidR="001C3334" w:rsidRPr="00640626" w:rsidRDefault="00C843C5" w:rsidP="00082B55">
      <w:pPr>
        <w:pStyle w:val="NewPara"/>
        <w:jc w:val="both"/>
        <w:rPr>
          <w:lang w:val="fr-FR"/>
        </w:rPr>
      </w:pPr>
      <w:r w:rsidRPr="00640626">
        <w:rPr>
          <w:lang w:val="fr-FR"/>
        </w:rPr>
        <w:t xml:space="preserve">Il est indispensable que tous les travailleurs puissent être représentés, soient en mesure de participer et puissent compter sur des lois préservant leurs intérêts. </w:t>
      </w:r>
      <w:r w:rsidR="00E1293D" w:rsidRPr="00640626">
        <w:rPr>
          <w:lang w:val="fr-FR"/>
        </w:rPr>
        <w:t xml:space="preserve">Les normes du travail </w:t>
      </w:r>
      <w:r w:rsidRPr="00640626">
        <w:rPr>
          <w:lang w:val="fr-FR"/>
        </w:rPr>
        <w:t>jouent un rôle essentiel</w:t>
      </w:r>
      <w:r w:rsidR="00C82D9F" w:rsidRPr="00640626">
        <w:rPr>
          <w:lang w:val="fr-FR"/>
        </w:rPr>
        <w:t xml:space="preserve"> pour</w:t>
      </w:r>
      <w:r w:rsidR="00E1293D" w:rsidRPr="00640626">
        <w:rPr>
          <w:lang w:val="fr-FR"/>
        </w:rPr>
        <w:t xml:space="preserve"> la reconnaissance et le respect des droits des travailleurs. </w:t>
      </w:r>
      <w:r w:rsidR="00301BF4" w:rsidRPr="00640626">
        <w:rPr>
          <w:lang w:val="fr-FR"/>
        </w:rPr>
        <w:t xml:space="preserve">On relève, dans ce contexte, trois </w:t>
      </w:r>
      <w:r w:rsidR="00E1293D" w:rsidRPr="00640626">
        <w:rPr>
          <w:lang w:val="fr-FR"/>
        </w:rPr>
        <w:t>grands problèmes</w:t>
      </w:r>
      <w:r w:rsidR="00301BF4" w:rsidRPr="00640626">
        <w:rPr>
          <w:lang w:val="fr-FR"/>
        </w:rPr>
        <w:t xml:space="preserve"> pouvant intéresser l’aquaculture</w:t>
      </w:r>
      <w:r w:rsidR="00082B55" w:rsidRPr="00640626">
        <w:rPr>
          <w:lang w:val="fr-FR"/>
        </w:rPr>
        <w:t xml:space="preserve">, à savoir </w:t>
      </w:r>
      <w:r w:rsidR="00E1293D" w:rsidRPr="00640626">
        <w:rPr>
          <w:lang w:val="fr-FR"/>
        </w:rPr>
        <w:t xml:space="preserve">i) </w:t>
      </w:r>
      <w:r w:rsidR="00587B4F" w:rsidRPr="00640626">
        <w:rPr>
          <w:lang w:val="fr-FR"/>
        </w:rPr>
        <w:t>des</w:t>
      </w:r>
      <w:r w:rsidR="001056DE" w:rsidRPr="00640626">
        <w:rPr>
          <w:lang w:val="fr-FR"/>
        </w:rPr>
        <w:t xml:space="preserve"> réglementation</w:t>
      </w:r>
      <w:r w:rsidR="00587B4F" w:rsidRPr="00640626">
        <w:rPr>
          <w:lang w:val="fr-FR"/>
        </w:rPr>
        <w:t>s</w:t>
      </w:r>
      <w:r w:rsidR="001056DE" w:rsidRPr="00640626">
        <w:rPr>
          <w:lang w:val="fr-FR"/>
        </w:rPr>
        <w:t xml:space="preserve"> du </w:t>
      </w:r>
      <w:r w:rsidR="001056DE" w:rsidRPr="00640626">
        <w:rPr>
          <w:lang w:val="fr-FR"/>
        </w:rPr>
        <w:lastRenderedPageBreak/>
        <w:t>travail inefficace</w:t>
      </w:r>
      <w:r w:rsidR="00587B4F" w:rsidRPr="00640626">
        <w:rPr>
          <w:lang w:val="fr-FR"/>
        </w:rPr>
        <w:t>s</w:t>
      </w:r>
      <w:r w:rsidR="00082B55" w:rsidRPr="00640626">
        <w:rPr>
          <w:lang w:val="fr-FR"/>
        </w:rPr>
        <w:t xml:space="preserve">, </w:t>
      </w:r>
      <w:r w:rsidR="001056DE" w:rsidRPr="00640626">
        <w:rPr>
          <w:lang w:val="fr-FR"/>
        </w:rPr>
        <w:t xml:space="preserve">ii) </w:t>
      </w:r>
      <w:r w:rsidR="00244D97" w:rsidRPr="00640626">
        <w:rPr>
          <w:lang w:val="fr-FR"/>
        </w:rPr>
        <w:t>le recours fréquent au</w:t>
      </w:r>
      <w:r w:rsidR="00301BF4" w:rsidRPr="00640626">
        <w:rPr>
          <w:lang w:val="fr-FR"/>
        </w:rPr>
        <w:t xml:space="preserve"> travail des enfants </w:t>
      </w:r>
      <w:r w:rsidR="001056DE" w:rsidRPr="00640626">
        <w:rPr>
          <w:lang w:val="fr-FR"/>
        </w:rPr>
        <w:t xml:space="preserve">et iii) </w:t>
      </w:r>
      <w:r w:rsidR="00587B4F" w:rsidRPr="00640626">
        <w:rPr>
          <w:lang w:val="fr-FR"/>
        </w:rPr>
        <w:t>le</w:t>
      </w:r>
      <w:r w:rsidR="00301BF4" w:rsidRPr="00640626">
        <w:rPr>
          <w:lang w:val="fr-FR"/>
        </w:rPr>
        <w:t xml:space="preserve"> recours à une main-d’œuvre migrante vulnérable.</w:t>
      </w:r>
    </w:p>
    <w:p w:rsidR="001C3334" w:rsidRPr="00640626" w:rsidRDefault="00082B55" w:rsidP="00082B55">
      <w:pPr>
        <w:pStyle w:val="NewPara"/>
        <w:jc w:val="both"/>
        <w:rPr>
          <w:lang w:val="fr-FR"/>
        </w:rPr>
      </w:pPr>
      <w:r w:rsidRPr="00640626">
        <w:rPr>
          <w:b/>
          <w:lang w:val="fr-FR"/>
        </w:rPr>
        <w:t>Ré</w:t>
      </w:r>
      <w:r w:rsidR="008A03A3" w:rsidRPr="00640626">
        <w:rPr>
          <w:b/>
          <w:lang w:val="fr-FR"/>
        </w:rPr>
        <w:t>glementation</w:t>
      </w:r>
      <w:r w:rsidR="00587B4F" w:rsidRPr="00640626">
        <w:rPr>
          <w:b/>
          <w:lang w:val="fr-FR"/>
        </w:rPr>
        <w:t>s</w:t>
      </w:r>
      <w:r w:rsidR="008A03A3" w:rsidRPr="00640626">
        <w:rPr>
          <w:b/>
          <w:lang w:val="fr-FR"/>
        </w:rPr>
        <w:t xml:space="preserve"> du travail inefficace</w:t>
      </w:r>
      <w:r w:rsidR="00587B4F" w:rsidRPr="00640626">
        <w:rPr>
          <w:b/>
          <w:lang w:val="fr-FR"/>
        </w:rPr>
        <w:t>s</w:t>
      </w:r>
      <w:r w:rsidR="00301BF4" w:rsidRPr="00640626">
        <w:rPr>
          <w:lang w:val="fr-FR"/>
        </w:rPr>
        <w:t xml:space="preserve">. À l’instar de l’agriculture, </w:t>
      </w:r>
      <w:r w:rsidR="00ED0FC8" w:rsidRPr="00640626">
        <w:rPr>
          <w:lang w:val="fr-FR"/>
        </w:rPr>
        <w:t>l</w:t>
      </w:r>
      <w:r w:rsidR="003142D6" w:rsidRPr="00640626">
        <w:rPr>
          <w:lang w:val="fr-FR"/>
        </w:rPr>
        <w:t xml:space="preserve">’aquaculture est souvent sous-réglementée car régie par des législations du travail ne prévoyant pas de couverture sociale, de protection et d’inspections pour les travailleurs </w:t>
      </w:r>
      <w:r w:rsidR="00ED0FC8" w:rsidRPr="00640626">
        <w:rPr>
          <w:lang w:val="fr-FR"/>
        </w:rPr>
        <w:t>aquacoles</w:t>
      </w:r>
      <w:r w:rsidR="004A5508" w:rsidRPr="00640626">
        <w:rPr>
          <w:lang w:val="fr-FR"/>
        </w:rPr>
        <w:t xml:space="preserve">. Il </w:t>
      </w:r>
      <w:r w:rsidR="00ED0FC8" w:rsidRPr="00640626">
        <w:rPr>
          <w:lang w:val="fr-FR"/>
        </w:rPr>
        <w:t xml:space="preserve">arrive fréquemment que les </w:t>
      </w:r>
      <w:r w:rsidR="004A5508" w:rsidRPr="00640626">
        <w:rPr>
          <w:lang w:val="fr-FR"/>
        </w:rPr>
        <w:t xml:space="preserve">travailleurs </w:t>
      </w:r>
      <w:r w:rsidR="00B3096D" w:rsidRPr="00640626">
        <w:rPr>
          <w:lang w:val="fr-FR"/>
        </w:rPr>
        <w:t>du secteur des pêches</w:t>
      </w:r>
      <w:r w:rsidR="00ED0FC8" w:rsidRPr="00640626">
        <w:rPr>
          <w:lang w:val="fr-FR"/>
        </w:rPr>
        <w:t xml:space="preserve"> </w:t>
      </w:r>
      <w:r w:rsidR="004A5508" w:rsidRPr="00640626">
        <w:rPr>
          <w:lang w:val="fr-FR"/>
        </w:rPr>
        <w:t>soient empêchés de f</w:t>
      </w:r>
      <w:r w:rsidR="00244D97" w:rsidRPr="00640626">
        <w:rPr>
          <w:lang w:val="fr-FR"/>
        </w:rPr>
        <w:t xml:space="preserve">aire valoir leurs droits </w:t>
      </w:r>
      <w:r w:rsidR="004A5508" w:rsidRPr="00640626">
        <w:rPr>
          <w:lang w:val="fr-FR"/>
        </w:rPr>
        <w:t>et d</w:t>
      </w:r>
      <w:r w:rsidR="00244D97" w:rsidRPr="00640626">
        <w:rPr>
          <w:lang w:val="fr-FR"/>
        </w:rPr>
        <w:t>e jouir de ceux-ci</w:t>
      </w:r>
      <w:r w:rsidR="004A5508" w:rsidRPr="00640626">
        <w:rPr>
          <w:lang w:val="fr-FR"/>
        </w:rPr>
        <w:t xml:space="preserve">. Les femmes sont généralement plus vulnérables et </w:t>
      </w:r>
      <w:r w:rsidR="00ED0FC8" w:rsidRPr="00640626">
        <w:rPr>
          <w:lang w:val="fr-FR"/>
        </w:rPr>
        <w:t xml:space="preserve">privées de </w:t>
      </w:r>
      <w:r w:rsidR="004A5508" w:rsidRPr="00640626">
        <w:rPr>
          <w:lang w:val="fr-FR"/>
        </w:rPr>
        <w:t xml:space="preserve">protection. </w:t>
      </w:r>
      <w:r w:rsidR="00CA33F6" w:rsidRPr="00640626">
        <w:rPr>
          <w:lang w:val="fr-FR"/>
        </w:rPr>
        <w:t xml:space="preserve">Le travail </w:t>
      </w:r>
      <w:r w:rsidR="00BE22EB" w:rsidRPr="00640626">
        <w:rPr>
          <w:lang w:val="fr-FR"/>
        </w:rPr>
        <w:t>effectué dans le cadre d’un arrangement contractuel</w:t>
      </w:r>
      <w:r w:rsidR="00CA33F6" w:rsidRPr="00640626">
        <w:rPr>
          <w:lang w:val="fr-FR"/>
        </w:rPr>
        <w:t xml:space="preserve"> est </w:t>
      </w:r>
      <w:r w:rsidR="004A5508" w:rsidRPr="00640626">
        <w:rPr>
          <w:lang w:val="fr-FR"/>
        </w:rPr>
        <w:t xml:space="preserve">souvent </w:t>
      </w:r>
      <w:r w:rsidR="00CA33F6" w:rsidRPr="00640626">
        <w:rPr>
          <w:lang w:val="fr-FR"/>
        </w:rPr>
        <w:t xml:space="preserve">synonyme de statut professionnel inférieur, de travail occasionnel, d’emploi </w:t>
      </w:r>
      <w:r w:rsidR="00ED0FC8" w:rsidRPr="00640626">
        <w:rPr>
          <w:lang w:val="fr-FR"/>
        </w:rPr>
        <w:t>peu</w:t>
      </w:r>
      <w:r w:rsidR="00CA33F6" w:rsidRPr="00640626">
        <w:rPr>
          <w:lang w:val="fr-FR"/>
        </w:rPr>
        <w:t xml:space="preserve"> stable </w:t>
      </w:r>
      <w:r w:rsidR="00BE22EB" w:rsidRPr="00640626">
        <w:rPr>
          <w:lang w:val="fr-FR"/>
        </w:rPr>
        <w:t>et de bas salaire</w:t>
      </w:r>
      <w:r w:rsidR="008A03A3" w:rsidRPr="00640626">
        <w:rPr>
          <w:lang w:val="fr-FR"/>
        </w:rPr>
        <w:t xml:space="preserve">. </w:t>
      </w:r>
      <w:r w:rsidR="00C843C5" w:rsidRPr="00640626">
        <w:rPr>
          <w:lang w:val="fr-FR"/>
        </w:rPr>
        <w:t>L</w:t>
      </w:r>
      <w:r w:rsidR="00ED0FC8" w:rsidRPr="00640626">
        <w:rPr>
          <w:lang w:val="fr-FR"/>
        </w:rPr>
        <w:t xml:space="preserve">’application des </w:t>
      </w:r>
      <w:r w:rsidR="008A03A3" w:rsidRPr="00640626">
        <w:rPr>
          <w:lang w:val="fr-FR"/>
        </w:rPr>
        <w:t xml:space="preserve">normes internationales du travail en vigueur </w:t>
      </w:r>
      <w:r w:rsidR="00C843C5" w:rsidRPr="00640626">
        <w:rPr>
          <w:lang w:val="fr-FR"/>
        </w:rPr>
        <w:t xml:space="preserve">peut être encouragée </w:t>
      </w:r>
      <w:r w:rsidR="00ED0FC8" w:rsidRPr="00640626">
        <w:rPr>
          <w:lang w:val="fr-FR"/>
        </w:rPr>
        <w:t xml:space="preserve">par l’adoption de </w:t>
      </w:r>
      <w:r w:rsidR="00620544" w:rsidRPr="00640626">
        <w:rPr>
          <w:lang w:val="fr-FR"/>
        </w:rPr>
        <w:t>directive</w:t>
      </w:r>
      <w:r w:rsidR="005C2E50" w:rsidRPr="00640626">
        <w:rPr>
          <w:lang w:val="fr-FR"/>
        </w:rPr>
        <w:t>s</w:t>
      </w:r>
      <w:r w:rsidR="00EC0945" w:rsidRPr="00640626">
        <w:rPr>
          <w:lang w:val="fr-FR"/>
        </w:rPr>
        <w:t xml:space="preserve"> prônant des pratiques équitables en matière d’emploi </w:t>
      </w:r>
      <w:r w:rsidR="007D77DF" w:rsidRPr="00640626">
        <w:rPr>
          <w:lang w:val="fr-FR"/>
        </w:rPr>
        <w:t>dans l’aquaculture (</w:t>
      </w:r>
      <w:r w:rsidR="00EC0945" w:rsidRPr="00640626">
        <w:rPr>
          <w:lang w:val="fr-FR"/>
        </w:rPr>
        <w:t>droits fon</w:t>
      </w:r>
      <w:r w:rsidR="00ED0FC8" w:rsidRPr="00640626">
        <w:rPr>
          <w:lang w:val="fr-FR"/>
        </w:rPr>
        <w:t xml:space="preserve">damentaux des travailleurs, </w:t>
      </w:r>
      <w:r w:rsidR="007D77DF" w:rsidRPr="00640626">
        <w:rPr>
          <w:lang w:val="fr-FR"/>
        </w:rPr>
        <w:t xml:space="preserve">salaires, </w:t>
      </w:r>
      <w:r w:rsidR="005C2E50" w:rsidRPr="00640626">
        <w:rPr>
          <w:lang w:val="fr-FR"/>
        </w:rPr>
        <w:t>horaires</w:t>
      </w:r>
      <w:r w:rsidR="00EC0945" w:rsidRPr="00640626">
        <w:rPr>
          <w:lang w:val="fr-FR"/>
        </w:rPr>
        <w:t xml:space="preserve"> et sécurité et santé au travail</w:t>
      </w:r>
      <w:r w:rsidR="007D77DF" w:rsidRPr="00640626">
        <w:rPr>
          <w:lang w:val="fr-FR"/>
        </w:rPr>
        <w:t>)</w:t>
      </w:r>
      <w:r w:rsidR="00EC0945" w:rsidRPr="00640626">
        <w:rPr>
          <w:lang w:val="fr-FR"/>
        </w:rPr>
        <w:t xml:space="preserve">. </w:t>
      </w:r>
      <w:r w:rsidR="00C843C5" w:rsidRPr="00640626">
        <w:rPr>
          <w:lang w:val="fr-FR"/>
        </w:rPr>
        <w:t>L</w:t>
      </w:r>
      <w:r w:rsidR="007D77DF" w:rsidRPr="00640626">
        <w:rPr>
          <w:lang w:val="fr-FR"/>
        </w:rPr>
        <w:t>a prise en compte des critères du</w:t>
      </w:r>
      <w:r w:rsidR="00EC0945" w:rsidRPr="00640626">
        <w:rPr>
          <w:lang w:val="fr-FR"/>
        </w:rPr>
        <w:t xml:space="preserve"> travail décent dans les normes de certification ou les procédures de </w:t>
      </w:r>
      <w:r w:rsidR="001056DE" w:rsidRPr="00640626">
        <w:rPr>
          <w:lang w:val="fr-FR"/>
        </w:rPr>
        <w:t>renouvellement de</w:t>
      </w:r>
      <w:r w:rsidR="009767E5" w:rsidRPr="00640626">
        <w:rPr>
          <w:lang w:val="fr-FR"/>
        </w:rPr>
        <w:t>s</w:t>
      </w:r>
      <w:r w:rsidR="001056DE" w:rsidRPr="00640626">
        <w:rPr>
          <w:lang w:val="fr-FR"/>
        </w:rPr>
        <w:t xml:space="preserve"> </w:t>
      </w:r>
      <w:r w:rsidR="009767E5" w:rsidRPr="00640626">
        <w:rPr>
          <w:lang w:val="fr-FR"/>
        </w:rPr>
        <w:t>baux</w:t>
      </w:r>
      <w:r w:rsidR="001056DE" w:rsidRPr="00640626">
        <w:rPr>
          <w:lang w:val="fr-FR"/>
        </w:rPr>
        <w:t xml:space="preserve"> aquacole</w:t>
      </w:r>
      <w:r w:rsidR="009767E5" w:rsidRPr="00640626">
        <w:rPr>
          <w:lang w:val="fr-FR"/>
        </w:rPr>
        <w:t>s</w:t>
      </w:r>
      <w:r w:rsidR="00C843C5" w:rsidRPr="00640626">
        <w:rPr>
          <w:lang w:val="fr-FR"/>
        </w:rPr>
        <w:t xml:space="preserve"> constitue une autre piste</w:t>
      </w:r>
      <w:r w:rsidR="001056DE" w:rsidRPr="00640626">
        <w:rPr>
          <w:lang w:val="fr-FR"/>
        </w:rPr>
        <w:t xml:space="preserve">. </w:t>
      </w:r>
      <w:r w:rsidR="00B3096D" w:rsidRPr="00640626">
        <w:rPr>
          <w:lang w:val="fr-FR"/>
        </w:rPr>
        <w:t>I</w:t>
      </w:r>
      <w:r w:rsidR="001056DE" w:rsidRPr="00640626">
        <w:rPr>
          <w:lang w:val="fr-FR"/>
        </w:rPr>
        <w:t>nvesti</w:t>
      </w:r>
      <w:r w:rsidR="007D77DF" w:rsidRPr="00640626">
        <w:rPr>
          <w:lang w:val="fr-FR"/>
        </w:rPr>
        <w:t xml:space="preserve">r dans le suivi et </w:t>
      </w:r>
      <w:r w:rsidR="00C843C5" w:rsidRPr="00640626">
        <w:rPr>
          <w:lang w:val="fr-FR"/>
        </w:rPr>
        <w:t>l’application des textes réglementaires</w:t>
      </w:r>
      <w:r w:rsidR="00B3096D" w:rsidRPr="00640626">
        <w:rPr>
          <w:lang w:val="fr-FR"/>
        </w:rPr>
        <w:t xml:space="preserve"> pourrait également s’avérer nécessaire</w:t>
      </w:r>
      <w:r w:rsidR="00C843C5" w:rsidRPr="00640626">
        <w:rPr>
          <w:lang w:val="fr-FR"/>
        </w:rPr>
        <w:t>.</w:t>
      </w:r>
    </w:p>
    <w:p w:rsidR="001C3334" w:rsidRPr="00640626" w:rsidRDefault="001056DE" w:rsidP="001C3334">
      <w:pPr>
        <w:pStyle w:val="NewPara"/>
        <w:jc w:val="both"/>
        <w:rPr>
          <w:lang w:val="fr-FR"/>
        </w:rPr>
      </w:pPr>
      <w:r w:rsidRPr="00640626">
        <w:rPr>
          <w:lang w:val="fr-FR"/>
        </w:rPr>
        <w:t xml:space="preserve">Il est fréquent que les </w:t>
      </w:r>
      <w:r w:rsidR="00C843C5" w:rsidRPr="00640626">
        <w:rPr>
          <w:lang w:val="fr-FR"/>
        </w:rPr>
        <w:t>autorités responsables</w:t>
      </w:r>
      <w:r w:rsidRPr="00640626">
        <w:rPr>
          <w:lang w:val="fr-FR"/>
        </w:rPr>
        <w:t xml:space="preserve"> du secteur ne </w:t>
      </w:r>
      <w:r w:rsidR="007D77DF" w:rsidRPr="00640626">
        <w:rPr>
          <w:lang w:val="fr-FR"/>
        </w:rPr>
        <w:t>soient pas équipé</w:t>
      </w:r>
      <w:r w:rsidR="00C843C5" w:rsidRPr="00640626">
        <w:rPr>
          <w:lang w:val="fr-FR"/>
        </w:rPr>
        <w:t>e</w:t>
      </w:r>
      <w:r w:rsidR="007D77DF" w:rsidRPr="00640626">
        <w:rPr>
          <w:lang w:val="fr-FR"/>
        </w:rPr>
        <w:t xml:space="preserve">s </w:t>
      </w:r>
      <w:r w:rsidR="00BE22EB" w:rsidRPr="00640626">
        <w:rPr>
          <w:lang w:val="fr-FR"/>
        </w:rPr>
        <w:t xml:space="preserve">pour </w:t>
      </w:r>
      <w:r w:rsidRPr="00640626">
        <w:rPr>
          <w:lang w:val="fr-FR"/>
        </w:rPr>
        <w:t xml:space="preserve">traiter les questions </w:t>
      </w:r>
      <w:r w:rsidR="00587B4F" w:rsidRPr="00640626">
        <w:rPr>
          <w:lang w:val="fr-FR"/>
        </w:rPr>
        <w:t xml:space="preserve">relatives </w:t>
      </w:r>
      <w:r w:rsidR="00C843C5" w:rsidRPr="00640626">
        <w:rPr>
          <w:lang w:val="fr-FR"/>
        </w:rPr>
        <w:t>à l’emploi</w:t>
      </w:r>
      <w:r w:rsidRPr="00640626">
        <w:rPr>
          <w:lang w:val="fr-FR"/>
        </w:rPr>
        <w:t xml:space="preserve">. De plus, les services des pêches et de l’aquaculture et les </w:t>
      </w:r>
      <w:r w:rsidR="00587B4F" w:rsidRPr="00640626">
        <w:rPr>
          <w:lang w:val="fr-FR"/>
        </w:rPr>
        <w:t xml:space="preserve">autorités compétentes en matière d’emploi </w:t>
      </w:r>
      <w:r w:rsidRPr="00640626">
        <w:rPr>
          <w:lang w:val="fr-FR"/>
        </w:rPr>
        <w:t xml:space="preserve">travaillent souvent </w:t>
      </w:r>
      <w:r w:rsidR="00587B4F" w:rsidRPr="00640626">
        <w:rPr>
          <w:lang w:val="fr-FR"/>
        </w:rPr>
        <w:t>isoléme</w:t>
      </w:r>
      <w:r w:rsidR="007D77DF" w:rsidRPr="00640626">
        <w:rPr>
          <w:lang w:val="fr-FR"/>
        </w:rPr>
        <w:t xml:space="preserve">nt. </w:t>
      </w:r>
      <w:r w:rsidR="005E61A6" w:rsidRPr="00640626">
        <w:rPr>
          <w:lang w:val="fr-FR"/>
        </w:rPr>
        <w:t>Les</w:t>
      </w:r>
      <w:r w:rsidR="00587B4F" w:rsidRPr="00640626">
        <w:rPr>
          <w:lang w:val="fr-FR"/>
        </w:rPr>
        <w:t xml:space="preserve"> organes officiels responsables </w:t>
      </w:r>
      <w:r w:rsidR="009767E5" w:rsidRPr="00640626">
        <w:rPr>
          <w:lang w:val="fr-FR"/>
        </w:rPr>
        <w:t xml:space="preserve">du secteur </w:t>
      </w:r>
      <w:r w:rsidR="00587B4F" w:rsidRPr="00640626">
        <w:rPr>
          <w:lang w:val="fr-FR"/>
        </w:rPr>
        <w:t>de l’aquacul</w:t>
      </w:r>
      <w:r w:rsidR="007D77DF" w:rsidRPr="00640626">
        <w:rPr>
          <w:lang w:val="fr-FR"/>
        </w:rPr>
        <w:t xml:space="preserve">ture </w:t>
      </w:r>
      <w:r w:rsidR="005E61A6" w:rsidRPr="00640626">
        <w:rPr>
          <w:lang w:val="fr-FR"/>
        </w:rPr>
        <w:t xml:space="preserve">pourraient dès lors recevoir des moyens supplémentaires qui leur permettraient de </w:t>
      </w:r>
      <w:r w:rsidR="007D77DF" w:rsidRPr="00640626">
        <w:rPr>
          <w:lang w:val="fr-FR"/>
        </w:rPr>
        <w:t xml:space="preserve">travailler sur ces </w:t>
      </w:r>
      <w:r w:rsidR="00587B4F" w:rsidRPr="00640626">
        <w:rPr>
          <w:lang w:val="fr-FR"/>
        </w:rPr>
        <w:t>problématiques</w:t>
      </w:r>
      <w:r w:rsidR="005E61A6" w:rsidRPr="00640626">
        <w:rPr>
          <w:lang w:val="fr-FR"/>
        </w:rPr>
        <w:t>,</w:t>
      </w:r>
      <w:r w:rsidR="00587B4F" w:rsidRPr="00640626">
        <w:rPr>
          <w:lang w:val="fr-FR"/>
        </w:rPr>
        <w:t xml:space="preserve"> et fonctionner en coordination avec les </w:t>
      </w:r>
      <w:r w:rsidR="005E61A6" w:rsidRPr="00640626">
        <w:rPr>
          <w:lang w:val="fr-FR"/>
        </w:rPr>
        <w:t>autorités</w:t>
      </w:r>
      <w:r w:rsidR="00587B4F" w:rsidRPr="00640626">
        <w:rPr>
          <w:lang w:val="fr-FR"/>
        </w:rPr>
        <w:t xml:space="preserve"> </w:t>
      </w:r>
      <w:r w:rsidR="007D77DF" w:rsidRPr="00640626">
        <w:rPr>
          <w:lang w:val="fr-FR"/>
        </w:rPr>
        <w:t>compétent</w:t>
      </w:r>
      <w:r w:rsidR="005E61A6" w:rsidRPr="00640626">
        <w:rPr>
          <w:lang w:val="fr-FR"/>
        </w:rPr>
        <w:t>e</w:t>
      </w:r>
      <w:r w:rsidR="007D77DF" w:rsidRPr="00640626">
        <w:rPr>
          <w:lang w:val="fr-FR"/>
        </w:rPr>
        <w:t>s en matière d’emploi</w:t>
      </w:r>
      <w:r w:rsidR="00587B4F" w:rsidRPr="00640626">
        <w:rPr>
          <w:lang w:val="fr-FR"/>
        </w:rPr>
        <w:t>.</w:t>
      </w:r>
    </w:p>
    <w:p w:rsidR="001C3334" w:rsidRPr="00640626" w:rsidRDefault="00B3096D" w:rsidP="001C3334">
      <w:pPr>
        <w:pStyle w:val="NewPara"/>
        <w:jc w:val="both"/>
        <w:rPr>
          <w:lang w:val="fr-FR"/>
        </w:rPr>
      </w:pPr>
      <w:r w:rsidRPr="00640626">
        <w:rPr>
          <w:b/>
          <w:lang w:val="fr-FR"/>
        </w:rPr>
        <w:t>Prévalence du</w:t>
      </w:r>
      <w:r w:rsidR="00587B4F" w:rsidRPr="00640626">
        <w:rPr>
          <w:b/>
          <w:lang w:val="fr-FR"/>
        </w:rPr>
        <w:t xml:space="preserve"> travail des enfants</w:t>
      </w:r>
      <w:r w:rsidR="00587B4F" w:rsidRPr="00640626">
        <w:rPr>
          <w:lang w:val="fr-FR"/>
        </w:rPr>
        <w:t xml:space="preserve">. </w:t>
      </w:r>
      <w:r w:rsidR="00AA2AD2" w:rsidRPr="00640626">
        <w:rPr>
          <w:lang w:val="fr-FR"/>
        </w:rPr>
        <w:t>D’après l’OIT, quelque 98 millions d’enfants travaillen</w:t>
      </w:r>
      <w:r w:rsidR="005E61A6" w:rsidRPr="00640626">
        <w:rPr>
          <w:lang w:val="fr-FR"/>
        </w:rPr>
        <w:t xml:space="preserve">t dans l’agriculture, </w:t>
      </w:r>
      <w:r w:rsidR="00A27B6E" w:rsidRPr="00640626">
        <w:rPr>
          <w:lang w:val="fr-FR"/>
        </w:rPr>
        <w:t>y compris</w:t>
      </w:r>
      <w:r w:rsidR="000A4D77" w:rsidRPr="00640626">
        <w:rPr>
          <w:lang w:val="fr-FR"/>
        </w:rPr>
        <w:t xml:space="preserve"> </w:t>
      </w:r>
      <w:r w:rsidR="00AA2AD2" w:rsidRPr="00640626">
        <w:rPr>
          <w:lang w:val="fr-FR"/>
        </w:rPr>
        <w:t>dans les domaines des pêches et de l’aquaculture</w:t>
      </w:r>
      <w:r w:rsidR="000A42C2" w:rsidRPr="00640626">
        <w:rPr>
          <w:lang w:val="fr-FR"/>
        </w:rPr>
        <w:t xml:space="preserve">, </w:t>
      </w:r>
      <w:r w:rsidR="00A27B6E" w:rsidRPr="00640626">
        <w:rPr>
          <w:lang w:val="fr-FR"/>
        </w:rPr>
        <w:t xml:space="preserve">au </w:t>
      </w:r>
      <w:r w:rsidR="006F18DD" w:rsidRPr="00640626">
        <w:rPr>
          <w:lang w:val="fr-FR"/>
        </w:rPr>
        <w:t>niveau essentiellement artisanal</w:t>
      </w:r>
      <w:r w:rsidR="000C7774" w:rsidRPr="00640626">
        <w:rPr>
          <w:lang w:val="fr-FR"/>
        </w:rPr>
        <w:t xml:space="preserve">. </w:t>
      </w:r>
      <w:r w:rsidR="00A27B6E" w:rsidRPr="00640626">
        <w:rPr>
          <w:lang w:val="fr-FR"/>
        </w:rPr>
        <w:t xml:space="preserve">Souvent, les risques plus marqués et les dangers sanitaires et de sécurité plus importants auxquels sont exposés les enfants ne sont pas reconnus, et le travail des enfants ainsi que les tâches adaptées à leur âge sont des aspects dont on se préoccupe peu, </w:t>
      </w:r>
      <w:r w:rsidR="00460BBD" w:rsidRPr="00640626">
        <w:rPr>
          <w:lang w:val="fr-FR"/>
        </w:rPr>
        <w:t>ou pas</w:t>
      </w:r>
      <w:r w:rsidR="00A27B6E" w:rsidRPr="00640626">
        <w:rPr>
          <w:lang w:val="fr-FR"/>
        </w:rPr>
        <w:t xml:space="preserve">. </w:t>
      </w:r>
      <w:r w:rsidR="00AA5111" w:rsidRPr="00640626">
        <w:rPr>
          <w:lang w:val="fr-FR"/>
        </w:rPr>
        <w:t>L</w:t>
      </w:r>
      <w:r w:rsidR="000A42C2" w:rsidRPr="00640626">
        <w:rPr>
          <w:lang w:val="fr-FR"/>
        </w:rPr>
        <w:t>’aquaculture est souvent négligée lors de l</w:t>
      </w:r>
      <w:r w:rsidR="00AA5111" w:rsidRPr="00640626">
        <w:rPr>
          <w:lang w:val="fr-FR"/>
        </w:rPr>
        <w:t xml:space="preserve">a </w:t>
      </w:r>
      <w:r w:rsidR="000A4D77" w:rsidRPr="00640626">
        <w:rPr>
          <w:lang w:val="fr-FR"/>
        </w:rPr>
        <w:t>transposition</w:t>
      </w:r>
      <w:r w:rsidR="00AA5111" w:rsidRPr="00640626">
        <w:rPr>
          <w:lang w:val="fr-FR"/>
        </w:rPr>
        <w:t xml:space="preserve"> </w:t>
      </w:r>
      <w:r w:rsidR="000A4D77" w:rsidRPr="00640626">
        <w:rPr>
          <w:lang w:val="fr-FR"/>
        </w:rPr>
        <w:t>des conventions internationales sur le travail des enfants dans les</w:t>
      </w:r>
      <w:r w:rsidR="00AA5111" w:rsidRPr="00640626">
        <w:rPr>
          <w:lang w:val="fr-FR"/>
        </w:rPr>
        <w:t xml:space="preserve"> l</w:t>
      </w:r>
      <w:r w:rsidR="000A4D77" w:rsidRPr="00640626">
        <w:rPr>
          <w:lang w:val="fr-FR"/>
        </w:rPr>
        <w:t>égislations nationales (</w:t>
      </w:r>
      <w:r w:rsidR="00AA5111" w:rsidRPr="00640626">
        <w:rPr>
          <w:lang w:val="fr-FR"/>
        </w:rPr>
        <w:t xml:space="preserve">réglementation, </w:t>
      </w:r>
      <w:r w:rsidR="000A4D77" w:rsidRPr="00640626">
        <w:rPr>
          <w:lang w:val="fr-FR"/>
        </w:rPr>
        <w:t xml:space="preserve">mise en œuvre, </w:t>
      </w:r>
      <w:r w:rsidR="000A42C2" w:rsidRPr="00640626">
        <w:rPr>
          <w:lang w:val="fr-FR"/>
        </w:rPr>
        <w:t>exécution)</w:t>
      </w:r>
      <w:r w:rsidR="000A4D77" w:rsidRPr="00640626">
        <w:rPr>
          <w:lang w:val="fr-FR"/>
        </w:rPr>
        <w:t xml:space="preserve">, ce qui explique que les listes des travaux dangereux </w:t>
      </w:r>
      <w:r w:rsidR="00460BBD" w:rsidRPr="00640626">
        <w:rPr>
          <w:lang w:val="fr-FR"/>
        </w:rPr>
        <w:t>n’évoquent</w:t>
      </w:r>
      <w:r w:rsidR="000A4D77" w:rsidRPr="00640626">
        <w:rPr>
          <w:lang w:val="fr-FR"/>
        </w:rPr>
        <w:t xml:space="preserve"> parfois le travail des enfants qu’en termes vagues</w:t>
      </w:r>
      <w:r w:rsidR="00B07983" w:rsidRPr="00640626">
        <w:rPr>
          <w:lang w:val="fr-FR"/>
        </w:rPr>
        <w:t xml:space="preserve">. Une série de mesures sont susceptibles </w:t>
      </w:r>
      <w:r w:rsidR="000A4D77" w:rsidRPr="00640626">
        <w:rPr>
          <w:lang w:val="fr-FR"/>
        </w:rPr>
        <w:t>d’améliorer les choses à cet égard</w:t>
      </w:r>
      <w:r w:rsidR="00B07983" w:rsidRPr="00640626">
        <w:rPr>
          <w:lang w:val="fr-FR"/>
        </w:rPr>
        <w:t>:</w:t>
      </w:r>
    </w:p>
    <w:p w:rsidR="001C3334" w:rsidRPr="00640626" w:rsidRDefault="007C2A1F" w:rsidP="001C3334">
      <w:pPr>
        <w:pStyle w:val="BulletList"/>
        <w:rPr>
          <w:lang w:val="fr-FR"/>
        </w:rPr>
      </w:pPr>
      <w:r w:rsidRPr="00640626">
        <w:rPr>
          <w:lang w:val="fr-FR"/>
        </w:rPr>
        <w:t>a</w:t>
      </w:r>
      <w:r w:rsidR="00B07983" w:rsidRPr="00640626">
        <w:rPr>
          <w:lang w:val="fr-FR"/>
        </w:rPr>
        <w:t xml:space="preserve">pplication plus large </w:t>
      </w:r>
      <w:r w:rsidRPr="00640626">
        <w:rPr>
          <w:lang w:val="fr-FR"/>
        </w:rPr>
        <w:t xml:space="preserve">des </w:t>
      </w:r>
      <w:r w:rsidR="00620544" w:rsidRPr="00640626">
        <w:rPr>
          <w:lang w:val="fr-FR"/>
        </w:rPr>
        <w:t>directive</w:t>
      </w:r>
      <w:r w:rsidRPr="00640626">
        <w:rPr>
          <w:lang w:val="fr-FR"/>
        </w:rPr>
        <w:t xml:space="preserve">s et de la FAO et de l’OIT sur la façon de régler le </w:t>
      </w:r>
      <w:r w:rsidR="00287752" w:rsidRPr="00640626">
        <w:rPr>
          <w:lang w:val="fr-FR"/>
        </w:rPr>
        <w:t>problème du</w:t>
      </w:r>
      <w:r w:rsidRPr="00640626">
        <w:rPr>
          <w:lang w:val="fr-FR"/>
        </w:rPr>
        <w:t xml:space="preserve"> travail des enfants dans la pêche et l’aquaculture; </w:t>
      </w:r>
    </w:p>
    <w:p w:rsidR="001C3334" w:rsidRPr="00640626" w:rsidRDefault="007C2A1F" w:rsidP="001C3334">
      <w:pPr>
        <w:pStyle w:val="BulletList"/>
        <w:rPr>
          <w:lang w:val="fr-FR"/>
        </w:rPr>
      </w:pPr>
      <w:r w:rsidRPr="00640626">
        <w:rPr>
          <w:lang w:val="fr-FR"/>
        </w:rPr>
        <w:t xml:space="preserve">formulation de plans d’action nationaux sur le travail des enfants dans l’aquaculture, avec établissement </w:t>
      </w:r>
      <w:r w:rsidR="0050354C" w:rsidRPr="00640626">
        <w:rPr>
          <w:lang w:val="fr-FR"/>
        </w:rPr>
        <w:t>de mesures visant à développer d</w:t>
      </w:r>
      <w:r w:rsidRPr="00640626">
        <w:rPr>
          <w:lang w:val="fr-FR"/>
        </w:rPr>
        <w:t>es capacités en la matière;</w:t>
      </w:r>
    </w:p>
    <w:p w:rsidR="001C3334" w:rsidRPr="00640626" w:rsidRDefault="007C2A1F" w:rsidP="001C3334">
      <w:pPr>
        <w:pStyle w:val="BulletList"/>
        <w:rPr>
          <w:lang w:val="fr-FR"/>
        </w:rPr>
      </w:pPr>
      <w:r w:rsidRPr="00640626">
        <w:rPr>
          <w:lang w:val="fr-FR"/>
        </w:rPr>
        <w:t xml:space="preserve">collecte de données ventilées par sexe et par groupe d’âge </w:t>
      </w:r>
      <w:r w:rsidR="00673517" w:rsidRPr="00640626">
        <w:rPr>
          <w:lang w:val="fr-FR"/>
        </w:rPr>
        <w:t xml:space="preserve">sur le travail des enfants </w:t>
      </w:r>
      <w:r w:rsidR="0050354C" w:rsidRPr="00640626">
        <w:rPr>
          <w:lang w:val="fr-FR"/>
        </w:rPr>
        <w:t>dans l’</w:t>
      </w:r>
      <w:r w:rsidR="00673517" w:rsidRPr="00640626">
        <w:rPr>
          <w:lang w:val="fr-FR"/>
        </w:rPr>
        <w:t>aquaculture (et dans le secteur des pêches);</w:t>
      </w:r>
      <w:r w:rsidR="001C3334" w:rsidRPr="00640626">
        <w:rPr>
          <w:lang w:val="fr-FR"/>
        </w:rPr>
        <w:t xml:space="preserve"> </w:t>
      </w:r>
    </w:p>
    <w:p w:rsidR="001C3334" w:rsidRPr="00640626" w:rsidRDefault="0050354C" w:rsidP="001C3334">
      <w:pPr>
        <w:pStyle w:val="BulletList"/>
        <w:rPr>
          <w:lang w:val="fr-FR"/>
        </w:rPr>
      </w:pPr>
      <w:r w:rsidRPr="00640626">
        <w:rPr>
          <w:lang w:val="fr-FR"/>
        </w:rPr>
        <w:t xml:space="preserve">prise en compte, dans les politiques et les programmes en rapport avec l’aquaculture, </w:t>
      </w:r>
      <w:r w:rsidR="00673517" w:rsidRPr="00640626">
        <w:rPr>
          <w:lang w:val="fr-FR"/>
        </w:rPr>
        <w:t xml:space="preserve">des </w:t>
      </w:r>
      <w:r w:rsidRPr="00640626">
        <w:rPr>
          <w:lang w:val="fr-FR"/>
        </w:rPr>
        <w:t>questions</w:t>
      </w:r>
      <w:r w:rsidR="00673517" w:rsidRPr="00640626">
        <w:rPr>
          <w:lang w:val="fr-FR"/>
        </w:rPr>
        <w:t xml:space="preserve"> relatives au travail des </w:t>
      </w:r>
      <w:r w:rsidRPr="00640626">
        <w:rPr>
          <w:lang w:val="fr-FR"/>
        </w:rPr>
        <w:t>enfants</w:t>
      </w:r>
      <w:r w:rsidR="001C3334" w:rsidRPr="00640626">
        <w:rPr>
          <w:lang w:val="fr-FR"/>
        </w:rPr>
        <w:t>;</w:t>
      </w:r>
    </w:p>
    <w:p w:rsidR="001C3334" w:rsidRPr="00640626" w:rsidRDefault="00673517" w:rsidP="001C3334">
      <w:pPr>
        <w:pStyle w:val="BulletList"/>
        <w:rPr>
          <w:lang w:val="fr-FR"/>
        </w:rPr>
      </w:pPr>
      <w:r w:rsidRPr="00640626">
        <w:rPr>
          <w:lang w:val="fr-FR"/>
        </w:rPr>
        <w:t>établissement de listes des travaux présentant un danger pour les enfants</w:t>
      </w:r>
      <w:r w:rsidR="001C3334" w:rsidRPr="00640626">
        <w:rPr>
          <w:lang w:val="fr-FR"/>
        </w:rPr>
        <w:t xml:space="preserve">; </w:t>
      </w:r>
    </w:p>
    <w:p w:rsidR="001C3334" w:rsidRPr="00640626" w:rsidRDefault="00673517" w:rsidP="001C3334">
      <w:pPr>
        <w:pStyle w:val="BulletList"/>
        <w:rPr>
          <w:lang w:val="fr-FR"/>
        </w:rPr>
      </w:pPr>
      <w:r w:rsidRPr="00640626">
        <w:rPr>
          <w:lang w:val="fr-FR"/>
        </w:rPr>
        <w:t xml:space="preserve">prévention et élimination du travail des enfants </w:t>
      </w:r>
      <w:r w:rsidR="0050354C" w:rsidRPr="00640626">
        <w:rPr>
          <w:lang w:val="fr-FR"/>
        </w:rPr>
        <w:t>par</w:t>
      </w:r>
      <w:r w:rsidRPr="00640626">
        <w:rPr>
          <w:lang w:val="fr-FR"/>
        </w:rPr>
        <w:t xml:space="preserve"> la lutte contre ses causes profondes (pauvreté, manque d’instruction) et </w:t>
      </w:r>
      <w:r w:rsidR="0050354C" w:rsidRPr="00640626">
        <w:rPr>
          <w:lang w:val="fr-FR"/>
        </w:rPr>
        <w:t>proposition, aux ménages dém</w:t>
      </w:r>
      <w:r w:rsidR="005E61A6" w:rsidRPr="00640626">
        <w:rPr>
          <w:lang w:val="fr-FR"/>
        </w:rPr>
        <w:t>uni</w:t>
      </w:r>
      <w:r w:rsidR="0050354C" w:rsidRPr="00640626">
        <w:rPr>
          <w:lang w:val="fr-FR"/>
        </w:rPr>
        <w:t>s,</w:t>
      </w:r>
      <w:r w:rsidRPr="00640626">
        <w:rPr>
          <w:lang w:val="fr-FR"/>
        </w:rPr>
        <w:t xml:space="preserve"> d</w:t>
      </w:r>
      <w:r w:rsidR="000B57DB" w:rsidRPr="00640626">
        <w:rPr>
          <w:lang w:val="fr-FR"/>
        </w:rPr>
        <w:t xml:space="preserve">’autres </w:t>
      </w:r>
      <w:r w:rsidR="0050354C" w:rsidRPr="00640626">
        <w:rPr>
          <w:lang w:val="fr-FR"/>
        </w:rPr>
        <w:t>moyens d’existence</w:t>
      </w:r>
      <w:r w:rsidR="001C3334" w:rsidRPr="00640626">
        <w:rPr>
          <w:lang w:val="fr-FR"/>
        </w:rPr>
        <w:t>.</w:t>
      </w:r>
    </w:p>
    <w:p w:rsidR="001C3334" w:rsidRPr="00640626" w:rsidRDefault="000B57DB" w:rsidP="001C3334">
      <w:pPr>
        <w:pStyle w:val="NewPara"/>
        <w:jc w:val="both"/>
        <w:rPr>
          <w:lang w:val="fr-FR"/>
        </w:rPr>
      </w:pPr>
      <w:r w:rsidRPr="00640626">
        <w:rPr>
          <w:b/>
          <w:lang w:val="fr-FR"/>
        </w:rPr>
        <w:t>Travailleurs migrants vulnérables</w:t>
      </w:r>
      <w:r w:rsidR="001C3334" w:rsidRPr="00640626">
        <w:rPr>
          <w:lang w:val="fr-FR"/>
        </w:rPr>
        <w:t xml:space="preserve">. </w:t>
      </w:r>
      <w:r w:rsidR="005E61A6" w:rsidRPr="00640626">
        <w:rPr>
          <w:lang w:val="fr-FR"/>
        </w:rPr>
        <w:t xml:space="preserve">Il arrive que le </w:t>
      </w:r>
      <w:r w:rsidRPr="00640626">
        <w:rPr>
          <w:lang w:val="fr-FR"/>
        </w:rPr>
        <w:t xml:space="preserve">secteur des pêches </w:t>
      </w:r>
      <w:r w:rsidR="005E61A6" w:rsidRPr="00640626">
        <w:rPr>
          <w:lang w:val="fr-FR"/>
        </w:rPr>
        <w:t>offre des opportunités d’emploi plus intéressantes et des salaires plus élevés aux travailleurs migrants, mais le risque existe néanmoins, pour ceux-ci</w:t>
      </w:r>
      <w:r w:rsidRPr="00640626">
        <w:rPr>
          <w:lang w:val="fr-FR"/>
        </w:rPr>
        <w:t xml:space="preserve">, </w:t>
      </w:r>
      <w:r w:rsidR="005E61A6" w:rsidRPr="00640626">
        <w:rPr>
          <w:lang w:val="fr-FR"/>
        </w:rPr>
        <w:t xml:space="preserve">d’être </w:t>
      </w:r>
      <w:r w:rsidRPr="00640626">
        <w:rPr>
          <w:lang w:val="fr-FR"/>
        </w:rPr>
        <w:t>exposés à des</w:t>
      </w:r>
      <w:r w:rsidR="00F85C4D" w:rsidRPr="00640626">
        <w:rPr>
          <w:lang w:val="fr-FR"/>
        </w:rPr>
        <w:t xml:space="preserve"> déficits de travail décent et à </w:t>
      </w:r>
      <w:r w:rsidRPr="00640626">
        <w:rPr>
          <w:lang w:val="fr-FR"/>
        </w:rPr>
        <w:t>l’emploi vulnérable.</w:t>
      </w:r>
      <w:r w:rsidR="00F85C4D" w:rsidRPr="00640626">
        <w:rPr>
          <w:lang w:val="fr-FR"/>
        </w:rPr>
        <w:t xml:space="preserve"> Les travailleurs migrants employés dans le secteur des pêches peuvent être particulièrement vulnérables à l’exploitation, au travail forcé et à la traite d’</w:t>
      </w:r>
      <w:r w:rsidR="00287752" w:rsidRPr="00640626">
        <w:rPr>
          <w:lang w:val="fr-FR"/>
        </w:rPr>
        <w:t>êtres</w:t>
      </w:r>
      <w:r w:rsidR="00F85C4D" w:rsidRPr="00640626">
        <w:rPr>
          <w:lang w:val="fr-FR"/>
        </w:rPr>
        <w:t xml:space="preserve"> humains ainsi qu’aux risques sanitaires et de sécurité au travail, et n’avoir qu’un accès </w:t>
      </w:r>
      <w:r w:rsidR="001B35AE" w:rsidRPr="00640626">
        <w:rPr>
          <w:lang w:val="fr-FR"/>
        </w:rPr>
        <w:t xml:space="preserve">limité </w:t>
      </w:r>
      <w:r w:rsidR="00F85C4D" w:rsidRPr="00640626">
        <w:rPr>
          <w:lang w:val="fr-FR"/>
        </w:rPr>
        <w:t xml:space="preserve">à l’assistance juridique et à la justice. Pour remédier à ces problèmes, on </w:t>
      </w:r>
      <w:r w:rsidR="005E61A6" w:rsidRPr="00640626">
        <w:rPr>
          <w:lang w:val="fr-FR"/>
        </w:rPr>
        <w:t>peut</w:t>
      </w:r>
      <w:r w:rsidR="00F85C4D" w:rsidRPr="00640626">
        <w:rPr>
          <w:lang w:val="fr-FR"/>
        </w:rPr>
        <w:t xml:space="preserve"> envisager des mesures visant à améliorer les conditions de travail et le recrutement de</w:t>
      </w:r>
      <w:r w:rsidR="000473F6" w:rsidRPr="00640626">
        <w:rPr>
          <w:lang w:val="fr-FR"/>
        </w:rPr>
        <w:t xml:space="preserve"> ces travailleurs </w:t>
      </w:r>
      <w:r w:rsidR="0050354C" w:rsidRPr="00640626">
        <w:rPr>
          <w:lang w:val="fr-FR"/>
        </w:rPr>
        <w:t>de diverses manières</w:t>
      </w:r>
      <w:r w:rsidR="004E52B2" w:rsidRPr="00640626">
        <w:rPr>
          <w:lang w:val="fr-FR"/>
        </w:rPr>
        <w:t>:</w:t>
      </w:r>
      <w:r w:rsidR="0050354C" w:rsidRPr="00640626">
        <w:rPr>
          <w:lang w:val="fr-FR"/>
        </w:rPr>
        <w:t xml:space="preserve"> </w:t>
      </w:r>
      <w:r w:rsidR="00A27B6E" w:rsidRPr="00640626">
        <w:rPr>
          <w:lang w:val="fr-FR"/>
        </w:rPr>
        <w:t>arrangements</w:t>
      </w:r>
      <w:r w:rsidR="000473F6" w:rsidRPr="00640626">
        <w:rPr>
          <w:lang w:val="fr-FR"/>
        </w:rPr>
        <w:t xml:space="preserve"> écrits, paiement </w:t>
      </w:r>
      <w:r w:rsidR="005E61A6" w:rsidRPr="00640626">
        <w:rPr>
          <w:lang w:val="fr-FR"/>
        </w:rPr>
        <w:t xml:space="preserve">régulier </w:t>
      </w:r>
      <w:r w:rsidR="000473F6" w:rsidRPr="00640626">
        <w:rPr>
          <w:lang w:val="fr-FR"/>
        </w:rPr>
        <w:t>de</w:t>
      </w:r>
      <w:r w:rsidR="005E61A6" w:rsidRPr="00640626">
        <w:rPr>
          <w:lang w:val="fr-FR"/>
        </w:rPr>
        <w:t>s</w:t>
      </w:r>
      <w:r w:rsidR="000473F6" w:rsidRPr="00640626">
        <w:rPr>
          <w:lang w:val="fr-FR"/>
        </w:rPr>
        <w:t xml:space="preserve"> salaires, fourniture d’une aide juridique, mise en place d’un plan de sécurité sociale, </w:t>
      </w:r>
      <w:r w:rsidR="0050354C" w:rsidRPr="00640626">
        <w:rPr>
          <w:lang w:val="fr-FR"/>
        </w:rPr>
        <w:t xml:space="preserve">dispositions de </w:t>
      </w:r>
      <w:r w:rsidR="0050354C" w:rsidRPr="00640626">
        <w:rPr>
          <w:lang w:val="fr-FR"/>
        </w:rPr>
        <w:lastRenderedPageBreak/>
        <w:t xml:space="preserve">rapatriement, </w:t>
      </w:r>
      <w:r w:rsidR="000473F6" w:rsidRPr="00640626">
        <w:rPr>
          <w:lang w:val="fr-FR"/>
        </w:rPr>
        <w:t>organisation de formations et reconnaissance du droit de s’organiser.</w:t>
      </w:r>
      <w:r w:rsidR="001B35AE" w:rsidRPr="00640626">
        <w:rPr>
          <w:lang w:val="fr-FR"/>
        </w:rPr>
        <w:t xml:space="preserve"> Des </w:t>
      </w:r>
      <w:r w:rsidR="00514ED5" w:rsidRPr="00640626">
        <w:rPr>
          <w:lang w:val="fr-FR"/>
        </w:rPr>
        <w:t>recherches</w:t>
      </w:r>
      <w:r w:rsidR="001B35AE" w:rsidRPr="00640626">
        <w:rPr>
          <w:lang w:val="fr-FR"/>
        </w:rPr>
        <w:t xml:space="preserve"> </w:t>
      </w:r>
      <w:r w:rsidR="00514ED5" w:rsidRPr="00640626">
        <w:rPr>
          <w:lang w:val="fr-FR"/>
        </w:rPr>
        <w:t>sur l’utilisation de travailleurs locaux et migrants et la dépendance à l’égard des uns et des autres pourraient être réalisées, de même que des études sur les économies potentielles découlant de l’utilisation d’une main-d’œuvre vulnérable et la menace qui en résulte pour la compétitivité du secteur légitime.</w:t>
      </w:r>
    </w:p>
    <w:p w:rsidR="001C3334" w:rsidRPr="00640626" w:rsidRDefault="001C3334" w:rsidP="001C3334">
      <w:pPr>
        <w:rPr>
          <w:lang w:val="fr-FR"/>
        </w:rPr>
      </w:pPr>
    </w:p>
    <w:p w:rsidR="001C3334" w:rsidRPr="00640626" w:rsidRDefault="00F54475" w:rsidP="001C3334">
      <w:pPr>
        <w:rPr>
          <w:b/>
          <w:lang w:val="fr-FR"/>
        </w:rPr>
      </w:pPr>
      <w:r w:rsidRPr="00640626">
        <w:rPr>
          <w:b/>
          <w:lang w:val="fr-FR"/>
        </w:rPr>
        <w:t>Volet 4 du travail décent</w:t>
      </w:r>
      <w:r w:rsidR="004E52B2" w:rsidRPr="00640626">
        <w:rPr>
          <w:b/>
          <w:lang w:val="fr-FR"/>
        </w:rPr>
        <w:t>:</w:t>
      </w:r>
      <w:r w:rsidRPr="00640626">
        <w:rPr>
          <w:b/>
          <w:lang w:val="fr-FR"/>
        </w:rPr>
        <w:t xml:space="preserve"> gouvernance et dialogue social</w:t>
      </w:r>
      <w:r w:rsidR="001C3334" w:rsidRPr="00640626">
        <w:rPr>
          <w:b/>
          <w:lang w:val="fr-FR"/>
        </w:rPr>
        <w:t xml:space="preserve"> </w:t>
      </w:r>
    </w:p>
    <w:p w:rsidR="001C3334" w:rsidRPr="00640626" w:rsidRDefault="001C3334" w:rsidP="001C3334">
      <w:pPr>
        <w:rPr>
          <w:lang w:val="fr-FR"/>
        </w:rPr>
      </w:pPr>
    </w:p>
    <w:p w:rsidR="001C3334" w:rsidRPr="00640626" w:rsidRDefault="00DB3E8F" w:rsidP="00082B55">
      <w:pPr>
        <w:pStyle w:val="NewPara"/>
        <w:jc w:val="both"/>
        <w:rPr>
          <w:lang w:val="fr-FR"/>
        </w:rPr>
      </w:pPr>
      <w:r w:rsidRPr="00640626">
        <w:rPr>
          <w:lang w:val="fr-FR"/>
        </w:rPr>
        <w:t>L’accroissement de</w:t>
      </w:r>
      <w:r w:rsidR="00AF19CA" w:rsidRPr="00640626">
        <w:rPr>
          <w:lang w:val="fr-FR"/>
        </w:rPr>
        <w:t xml:space="preserve"> la productivité, </w:t>
      </w:r>
      <w:r w:rsidRPr="00640626">
        <w:rPr>
          <w:lang w:val="fr-FR"/>
        </w:rPr>
        <w:t xml:space="preserve">l’évitement des </w:t>
      </w:r>
      <w:r w:rsidR="00AF19CA" w:rsidRPr="00640626">
        <w:rPr>
          <w:lang w:val="fr-FR"/>
        </w:rPr>
        <w:t xml:space="preserve">différends sur le lieu de travail et </w:t>
      </w:r>
      <w:r w:rsidRPr="00640626">
        <w:rPr>
          <w:lang w:val="fr-FR"/>
        </w:rPr>
        <w:t xml:space="preserve">la mise en place de </w:t>
      </w:r>
      <w:r w:rsidR="00AF19CA" w:rsidRPr="00640626">
        <w:rPr>
          <w:lang w:val="fr-FR"/>
        </w:rPr>
        <w:t>sociétés cohésives</w:t>
      </w:r>
      <w:r w:rsidRPr="00640626">
        <w:rPr>
          <w:lang w:val="fr-FR"/>
        </w:rPr>
        <w:t xml:space="preserve"> ne peuvent s’envisager qu’avec la participation d’organisations de travailleurs et d’employeurs à la fois fortes et indépendantes. Pour que le dialogue soit effectif, </w:t>
      </w:r>
      <w:r w:rsidR="00F47609" w:rsidRPr="00640626">
        <w:rPr>
          <w:lang w:val="fr-FR"/>
        </w:rPr>
        <w:t xml:space="preserve">ces acteurs doivent être libres de former ou de rejoindre </w:t>
      </w:r>
      <w:r w:rsidRPr="00640626">
        <w:rPr>
          <w:lang w:val="fr-FR"/>
        </w:rPr>
        <w:t xml:space="preserve">librement des groupes </w:t>
      </w:r>
      <w:r w:rsidR="00BB2F87" w:rsidRPr="00640626">
        <w:rPr>
          <w:lang w:val="fr-FR"/>
        </w:rPr>
        <w:t>ayant pour vocation de</w:t>
      </w:r>
      <w:r w:rsidR="00A27B6E" w:rsidRPr="00640626">
        <w:rPr>
          <w:lang w:val="fr-FR"/>
        </w:rPr>
        <w:t xml:space="preserve"> promouvoir et de </w:t>
      </w:r>
      <w:r w:rsidRPr="00640626">
        <w:rPr>
          <w:lang w:val="fr-FR"/>
        </w:rPr>
        <w:t xml:space="preserve">défendre </w:t>
      </w:r>
      <w:r w:rsidR="00F47609" w:rsidRPr="00640626">
        <w:rPr>
          <w:lang w:val="fr-FR"/>
        </w:rPr>
        <w:t>leurs intérêts professionnels. La liberté d’association et le dialogue social sont des piliers de la bonne gouvernance sur le marché du travail.</w:t>
      </w:r>
    </w:p>
    <w:p w:rsidR="001C3334" w:rsidRPr="00640626" w:rsidRDefault="00BB2F87" w:rsidP="001C3334">
      <w:pPr>
        <w:pStyle w:val="NewPara"/>
        <w:jc w:val="both"/>
        <w:rPr>
          <w:lang w:val="fr-FR"/>
        </w:rPr>
      </w:pPr>
      <w:r w:rsidRPr="00640626">
        <w:rPr>
          <w:lang w:val="fr-FR"/>
        </w:rPr>
        <w:t xml:space="preserve">Malheureusement, le </w:t>
      </w:r>
      <w:r w:rsidR="00F47609" w:rsidRPr="00640626">
        <w:rPr>
          <w:lang w:val="fr-FR"/>
        </w:rPr>
        <w:t xml:space="preserve">secteur de l’aquaculture </w:t>
      </w:r>
      <w:r w:rsidRPr="00640626">
        <w:rPr>
          <w:lang w:val="fr-FR"/>
        </w:rPr>
        <w:t xml:space="preserve">présente </w:t>
      </w:r>
      <w:r w:rsidR="00A27B6E" w:rsidRPr="00640626">
        <w:rPr>
          <w:lang w:val="fr-FR"/>
        </w:rPr>
        <w:t xml:space="preserve">fréquemment </w:t>
      </w:r>
      <w:r w:rsidR="00F47609" w:rsidRPr="00640626">
        <w:rPr>
          <w:lang w:val="fr-FR"/>
        </w:rPr>
        <w:t xml:space="preserve">de </w:t>
      </w:r>
      <w:r w:rsidR="00F47609" w:rsidRPr="00640626">
        <w:rPr>
          <w:b/>
          <w:lang w:val="fr-FR"/>
        </w:rPr>
        <w:t>faibles niveaux d’organisation et de participation</w:t>
      </w:r>
      <w:r w:rsidR="00F47609" w:rsidRPr="00640626">
        <w:rPr>
          <w:lang w:val="fr-FR"/>
        </w:rPr>
        <w:t xml:space="preserve">. Les petits producteurs sont souvent </w:t>
      </w:r>
      <w:r w:rsidRPr="00640626">
        <w:rPr>
          <w:lang w:val="fr-FR"/>
        </w:rPr>
        <w:t>confrontés</w:t>
      </w:r>
      <w:r w:rsidR="00F47609" w:rsidRPr="00640626">
        <w:rPr>
          <w:lang w:val="fr-FR"/>
        </w:rPr>
        <w:t xml:space="preserve"> à des intermédiaires qui, </w:t>
      </w:r>
      <w:r w:rsidRPr="00640626">
        <w:rPr>
          <w:lang w:val="fr-FR"/>
        </w:rPr>
        <w:t>de par leur poids</w:t>
      </w:r>
      <w:r w:rsidR="00F47609" w:rsidRPr="00640626">
        <w:rPr>
          <w:lang w:val="fr-FR"/>
        </w:rPr>
        <w:t xml:space="preserve"> sur le prix et les marchés, </w:t>
      </w:r>
      <w:r w:rsidRPr="00640626">
        <w:rPr>
          <w:lang w:val="fr-FR"/>
        </w:rPr>
        <w:t>influent fortement</w:t>
      </w:r>
      <w:r w:rsidR="00F47609" w:rsidRPr="00640626">
        <w:rPr>
          <w:lang w:val="fr-FR"/>
        </w:rPr>
        <w:t xml:space="preserve"> sur les chaînes de valeur</w:t>
      </w:r>
      <w:r w:rsidR="004875EA" w:rsidRPr="00640626">
        <w:rPr>
          <w:lang w:val="fr-FR"/>
        </w:rPr>
        <w:t xml:space="preserve">. Peu organisés, les </w:t>
      </w:r>
      <w:r w:rsidR="00F47609" w:rsidRPr="00640626">
        <w:rPr>
          <w:lang w:val="fr-FR"/>
        </w:rPr>
        <w:t xml:space="preserve">travailleurs de la pêche et </w:t>
      </w:r>
      <w:r w:rsidR="004875EA" w:rsidRPr="00640626">
        <w:rPr>
          <w:lang w:val="fr-FR"/>
        </w:rPr>
        <w:t xml:space="preserve">des </w:t>
      </w:r>
      <w:r w:rsidR="00F47609" w:rsidRPr="00640626">
        <w:rPr>
          <w:lang w:val="fr-FR"/>
        </w:rPr>
        <w:t>artisans-pêcheurs</w:t>
      </w:r>
      <w:r w:rsidR="004875EA" w:rsidRPr="00640626">
        <w:rPr>
          <w:lang w:val="fr-FR"/>
        </w:rPr>
        <w:t xml:space="preserve"> </w:t>
      </w:r>
      <w:r w:rsidR="00290126" w:rsidRPr="00640626">
        <w:rPr>
          <w:lang w:val="fr-FR"/>
        </w:rPr>
        <w:t>n’</w:t>
      </w:r>
      <w:r w:rsidR="004875EA" w:rsidRPr="00640626">
        <w:rPr>
          <w:lang w:val="fr-FR"/>
        </w:rPr>
        <w:t xml:space="preserve">ont </w:t>
      </w:r>
      <w:r w:rsidR="00290126" w:rsidRPr="00640626">
        <w:rPr>
          <w:lang w:val="fr-FR"/>
        </w:rPr>
        <w:t xml:space="preserve">qu’un accès restreint, voire nul, </w:t>
      </w:r>
      <w:r w:rsidR="004875EA" w:rsidRPr="00640626">
        <w:rPr>
          <w:lang w:val="fr-FR"/>
        </w:rPr>
        <w:t>aux processus d’élaboration des politiques</w:t>
      </w:r>
      <w:r w:rsidR="00290126" w:rsidRPr="00640626">
        <w:rPr>
          <w:lang w:val="fr-FR"/>
        </w:rPr>
        <w:t xml:space="preserve">. Il en va de même pour les organisations </w:t>
      </w:r>
      <w:r w:rsidR="007B4E8B" w:rsidRPr="00640626">
        <w:rPr>
          <w:lang w:val="fr-FR"/>
        </w:rPr>
        <w:t>commu</w:t>
      </w:r>
      <w:r w:rsidRPr="00640626">
        <w:rPr>
          <w:lang w:val="fr-FR"/>
        </w:rPr>
        <w:t>n</w:t>
      </w:r>
      <w:r w:rsidR="007B4E8B" w:rsidRPr="00640626">
        <w:rPr>
          <w:lang w:val="fr-FR"/>
        </w:rPr>
        <w:t>a</w:t>
      </w:r>
      <w:r w:rsidRPr="00640626">
        <w:rPr>
          <w:lang w:val="fr-FR"/>
        </w:rPr>
        <w:t>utaires</w:t>
      </w:r>
      <w:r w:rsidR="00290126" w:rsidRPr="00640626">
        <w:rPr>
          <w:lang w:val="fr-FR"/>
        </w:rPr>
        <w:t xml:space="preserve"> qui, souvent, ne sont pas suffisamment puissantes pour peser sur les décisions. Cette représentation et cette organisation très lacunaires des travailleurs de la pêche tiennent au caractère informel des conventions d’emploi, à la petite taille des exploitations et à la faiblesse des moyens et du soutien juridique nécessaires pour s’organiser. Un certain nombre de mesures pourraient être envisagées:</w:t>
      </w:r>
    </w:p>
    <w:p w:rsidR="001C3334" w:rsidRPr="00640626" w:rsidRDefault="007B4E8B" w:rsidP="001C3334">
      <w:pPr>
        <w:pStyle w:val="BulletList"/>
        <w:rPr>
          <w:lang w:val="fr-FR"/>
        </w:rPr>
      </w:pPr>
      <w:r w:rsidRPr="00640626">
        <w:rPr>
          <w:lang w:val="fr-FR"/>
        </w:rPr>
        <w:t xml:space="preserve">reconnaissance, pour les travailleurs des exploitations aquacoles, </w:t>
      </w:r>
      <w:r w:rsidR="00270892" w:rsidRPr="00640626">
        <w:rPr>
          <w:lang w:val="fr-FR"/>
        </w:rPr>
        <w:t>des droits à l’organisation</w:t>
      </w:r>
      <w:r w:rsidRPr="00640626">
        <w:rPr>
          <w:lang w:val="fr-FR"/>
        </w:rPr>
        <w:t>, à la négociation collective ainsi qu’</w:t>
      </w:r>
      <w:r w:rsidR="00270892" w:rsidRPr="00640626">
        <w:rPr>
          <w:lang w:val="fr-FR"/>
        </w:rPr>
        <w:t xml:space="preserve">à </w:t>
      </w:r>
      <w:r w:rsidR="00460BBD" w:rsidRPr="00640626">
        <w:rPr>
          <w:lang w:val="fr-FR"/>
        </w:rPr>
        <w:t xml:space="preserve">la </w:t>
      </w:r>
      <w:r w:rsidR="00270892" w:rsidRPr="00640626">
        <w:rPr>
          <w:lang w:val="fr-FR"/>
        </w:rPr>
        <w:t xml:space="preserve">participation à la planification, au développement </w:t>
      </w:r>
      <w:r w:rsidR="00A27B6E" w:rsidRPr="00640626">
        <w:rPr>
          <w:lang w:val="fr-FR"/>
        </w:rPr>
        <w:t>et à</w:t>
      </w:r>
      <w:r w:rsidR="00270892" w:rsidRPr="00640626">
        <w:rPr>
          <w:lang w:val="fr-FR"/>
        </w:rPr>
        <w:t xml:space="preserve"> la gestion des opérations aquacoles</w:t>
      </w:r>
      <w:r w:rsidR="001C3334" w:rsidRPr="00640626">
        <w:rPr>
          <w:lang w:val="fr-FR"/>
        </w:rPr>
        <w:t>;</w:t>
      </w:r>
    </w:p>
    <w:p w:rsidR="001C3334" w:rsidRPr="00640626" w:rsidRDefault="00270892" w:rsidP="001C3334">
      <w:pPr>
        <w:pStyle w:val="BulletList"/>
        <w:rPr>
          <w:lang w:val="fr-FR"/>
        </w:rPr>
      </w:pPr>
      <w:r w:rsidRPr="00640626">
        <w:rPr>
          <w:lang w:val="fr-FR"/>
        </w:rPr>
        <w:t>soutien aux organisations professionnelles et aux coopérative</w:t>
      </w:r>
      <w:r w:rsidR="00E900DA" w:rsidRPr="00640626">
        <w:rPr>
          <w:lang w:val="fr-FR"/>
        </w:rPr>
        <w:t>s</w:t>
      </w:r>
      <w:r w:rsidRPr="00640626">
        <w:rPr>
          <w:lang w:val="fr-FR"/>
        </w:rPr>
        <w:t xml:space="preserve"> locales, de manière à aider les </w:t>
      </w:r>
      <w:r w:rsidR="00BB2F87" w:rsidRPr="00640626">
        <w:rPr>
          <w:lang w:val="fr-FR"/>
        </w:rPr>
        <w:t>aquaculteurs artisanaux</w:t>
      </w:r>
      <w:r w:rsidRPr="00640626">
        <w:rPr>
          <w:lang w:val="fr-FR"/>
        </w:rPr>
        <w:t xml:space="preserve"> à intégrer les chaînes de valeur;</w:t>
      </w:r>
    </w:p>
    <w:p w:rsidR="001C3334" w:rsidRPr="00640626" w:rsidRDefault="00270892" w:rsidP="001C3334">
      <w:pPr>
        <w:pStyle w:val="BulletList"/>
        <w:rPr>
          <w:lang w:val="fr-FR"/>
        </w:rPr>
      </w:pPr>
      <w:r w:rsidRPr="00640626">
        <w:rPr>
          <w:lang w:val="fr-FR"/>
        </w:rPr>
        <w:t>aide aux coopératives aquacoles dans les négociations avec les intermédiaires commerciaux</w:t>
      </w:r>
      <w:r w:rsidR="001C3334" w:rsidRPr="00640626">
        <w:rPr>
          <w:lang w:val="fr-FR"/>
        </w:rPr>
        <w:t>;</w:t>
      </w:r>
    </w:p>
    <w:p w:rsidR="001C3334" w:rsidRPr="00640626" w:rsidRDefault="00287752" w:rsidP="001C3334">
      <w:pPr>
        <w:pStyle w:val="BulletList"/>
        <w:rPr>
          <w:lang w:val="fr-FR"/>
        </w:rPr>
      </w:pPr>
      <w:r w:rsidRPr="00640626">
        <w:rPr>
          <w:lang w:val="fr-FR"/>
        </w:rPr>
        <w:t xml:space="preserve">octroi aux organisations d’aquaculteurs de l’autorité </w:t>
      </w:r>
      <w:r w:rsidR="007B4E8B" w:rsidRPr="00640626">
        <w:rPr>
          <w:lang w:val="fr-FR"/>
        </w:rPr>
        <w:t>voulue</w:t>
      </w:r>
      <w:r w:rsidRPr="00640626">
        <w:rPr>
          <w:lang w:val="fr-FR"/>
        </w:rPr>
        <w:t xml:space="preserve"> pour </w:t>
      </w:r>
      <w:r w:rsidR="00270892" w:rsidRPr="00640626">
        <w:rPr>
          <w:lang w:val="fr-FR"/>
        </w:rPr>
        <w:t>participer activement au dialogue sur les politique</w:t>
      </w:r>
      <w:r w:rsidR="00C96460" w:rsidRPr="00640626">
        <w:rPr>
          <w:lang w:val="fr-FR"/>
        </w:rPr>
        <w:t>s</w:t>
      </w:r>
      <w:r w:rsidR="00270892" w:rsidRPr="00640626">
        <w:rPr>
          <w:lang w:val="fr-FR"/>
        </w:rPr>
        <w:t xml:space="preserve"> ainsi qu’aux mécanismes de gouvernance de l’aquaculture;</w:t>
      </w:r>
    </w:p>
    <w:p w:rsidR="001C3334" w:rsidRPr="00640626" w:rsidRDefault="00287752" w:rsidP="00082B55">
      <w:pPr>
        <w:pStyle w:val="BulletList"/>
        <w:rPr>
          <w:lang w:val="fr-FR"/>
        </w:rPr>
      </w:pPr>
      <w:r w:rsidRPr="00640626">
        <w:rPr>
          <w:lang w:val="fr-FR"/>
        </w:rPr>
        <w:t>renforcement de la collaboration entre associations d’aquaculteurs, notamment au travers de la mise en place de réseaux et de plates-formes permettant d’échanger des informations et facilitant la participation à l’établissement des politiques et à la prise de décision</w:t>
      </w:r>
      <w:r w:rsidR="00C96460" w:rsidRPr="00640626">
        <w:rPr>
          <w:lang w:val="fr-FR"/>
        </w:rPr>
        <w:t xml:space="preserve">. </w:t>
      </w:r>
    </w:p>
    <w:p w:rsidR="001C3334" w:rsidRPr="00640626" w:rsidRDefault="00C6364A" w:rsidP="001C3334">
      <w:pPr>
        <w:pStyle w:val="NewPara"/>
        <w:jc w:val="both"/>
        <w:rPr>
          <w:lang w:val="fr-FR"/>
        </w:rPr>
      </w:pPr>
      <w:r w:rsidRPr="00640626">
        <w:rPr>
          <w:lang w:val="fr-FR"/>
        </w:rPr>
        <w:t xml:space="preserve">En général, les </w:t>
      </w:r>
      <w:r w:rsidR="00E57B77" w:rsidRPr="00640626">
        <w:rPr>
          <w:lang w:val="fr-FR"/>
        </w:rPr>
        <w:t>mesures destinées à promouvoir et à mettre en œuvre des politiques et des pratiques pour l’</w:t>
      </w:r>
      <w:r w:rsidR="00997D0A" w:rsidRPr="00640626">
        <w:rPr>
          <w:lang w:val="fr-FR"/>
        </w:rPr>
        <w:t xml:space="preserve">emploi décent en </w:t>
      </w:r>
      <w:r w:rsidR="00E57B77" w:rsidRPr="00640626">
        <w:rPr>
          <w:lang w:val="fr-FR"/>
        </w:rPr>
        <w:t xml:space="preserve">aquaculture </w:t>
      </w:r>
      <w:r w:rsidRPr="00640626">
        <w:rPr>
          <w:lang w:val="fr-FR"/>
        </w:rPr>
        <w:t>peuvent être</w:t>
      </w:r>
      <w:r w:rsidR="007053EE" w:rsidRPr="00640626">
        <w:rPr>
          <w:lang w:val="fr-FR"/>
        </w:rPr>
        <w:t xml:space="preserve"> prises </w:t>
      </w:r>
      <w:r w:rsidR="00A27B6E" w:rsidRPr="00640626">
        <w:rPr>
          <w:lang w:val="fr-FR"/>
        </w:rPr>
        <w:t>à l’initiative des</w:t>
      </w:r>
      <w:r w:rsidR="007053EE" w:rsidRPr="00640626">
        <w:rPr>
          <w:lang w:val="fr-FR"/>
        </w:rPr>
        <w:t xml:space="preserve"> </w:t>
      </w:r>
      <w:r w:rsidR="00A863E2" w:rsidRPr="00640626">
        <w:rPr>
          <w:lang w:val="fr-FR"/>
        </w:rPr>
        <w:t>entités</w:t>
      </w:r>
      <w:r w:rsidR="00A27B6E" w:rsidRPr="00640626">
        <w:rPr>
          <w:lang w:val="fr-FR"/>
        </w:rPr>
        <w:t xml:space="preserve"> concernées</w:t>
      </w:r>
      <w:r w:rsidR="00E57B77" w:rsidRPr="00640626">
        <w:rPr>
          <w:lang w:val="fr-FR"/>
        </w:rPr>
        <w:t xml:space="preserve">, comme les services publics </w:t>
      </w:r>
      <w:r w:rsidR="00AD21B9" w:rsidRPr="00640626">
        <w:rPr>
          <w:lang w:val="fr-FR"/>
        </w:rPr>
        <w:t>compétents</w:t>
      </w:r>
      <w:r w:rsidR="00E57B77" w:rsidRPr="00640626">
        <w:rPr>
          <w:lang w:val="fr-FR"/>
        </w:rPr>
        <w:t>, les organisations de producteurs et d’exploitants aquacoles, les acteurs de</w:t>
      </w:r>
      <w:r w:rsidR="007053EE" w:rsidRPr="00640626">
        <w:rPr>
          <w:lang w:val="fr-FR"/>
        </w:rPr>
        <w:t xml:space="preserve"> la chaîne de valeur du poisson</w:t>
      </w:r>
      <w:r w:rsidR="00E57B77" w:rsidRPr="00640626">
        <w:rPr>
          <w:lang w:val="fr-FR"/>
        </w:rPr>
        <w:t>, les organisations de la société civile comme les syndicats de pêcheurs et d’aquaculteurs, les établissements financiers et de recherche-développement, les médias, etc.</w:t>
      </w:r>
      <w:r w:rsidR="00AD21B9" w:rsidRPr="00640626">
        <w:rPr>
          <w:lang w:val="fr-FR"/>
        </w:rPr>
        <w:t xml:space="preserve"> Les pouvoirs publics </w:t>
      </w:r>
      <w:r w:rsidRPr="00640626">
        <w:rPr>
          <w:lang w:val="fr-FR"/>
        </w:rPr>
        <w:t>pourront</w:t>
      </w:r>
      <w:r w:rsidR="00AD21B9" w:rsidRPr="00640626">
        <w:rPr>
          <w:lang w:val="fr-FR"/>
        </w:rPr>
        <w:t xml:space="preserve"> encourager et faciliter de telles </w:t>
      </w:r>
      <w:r w:rsidRPr="00640626">
        <w:rPr>
          <w:lang w:val="fr-FR"/>
        </w:rPr>
        <w:t>actions</w:t>
      </w:r>
      <w:r w:rsidR="00AD21B9" w:rsidRPr="00640626">
        <w:rPr>
          <w:lang w:val="fr-FR"/>
        </w:rPr>
        <w:t xml:space="preserve"> au travers de politiques appropriées, de projets de renforcement des capacités, de campagnes de communication ainsi que de mesures et de plans réglementaires à l’appui de</w:t>
      </w:r>
      <w:r w:rsidR="00997D0A" w:rsidRPr="00640626">
        <w:rPr>
          <w:lang w:val="fr-FR"/>
        </w:rPr>
        <w:t>s</w:t>
      </w:r>
      <w:r w:rsidR="00AD21B9" w:rsidRPr="00640626">
        <w:rPr>
          <w:lang w:val="fr-FR"/>
        </w:rPr>
        <w:t xml:space="preserve"> partenariats (</w:t>
      </w:r>
      <w:r w:rsidR="003B3043" w:rsidRPr="00640626">
        <w:rPr>
          <w:lang w:val="fr-FR"/>
        </w:rPr>
        <w:t>partenariats public-privé, projets communautaires) et de la responsabilité sociale (entrepreneuriat social, innovations sociales).</w:t>
      </w:r>
    </w:p>
    <w:p w:rsidR="001C3334" w:rsidRPr="00640626" w:rsidRDefault="001C3334" w:rsidP="001C3334">
      <w:pPr>
        <w:rPr>
          <w:lang w:val="fr-FR"/>
        </w:rPr>
      </w:pPr>
    </w:p>
    <w:p w:rsidR="001C3334" w:rsidRPr="00640626" w:rsidRDefault="00A863E2" w:rsidP="001C3334">
      <w:pPr>
        <w:pStyle w:val="Heading2"/>
        <w:numPr>
          <w:ilvl w:val="0"/>
          <w:numId w:val="0"/>
        </w:numPr>
        <w:jc w:val="left"/>
        <w:rPr>
          <w:lang w:val="fr-FR"/>
        </w:rPr>
      </w:pPr>
      <w:r w:rsidRPr="00640626">
        <w:rPr>
          <w:lang w:val="fr-FR"/>
        </w:rPr>
        <w:lastRenderedPageBreak/>
        <w:t xml:space="preserve">INITIATIVES </w:t>
      </w:r>
      <w:r w:rsidR="00BB2F87" w:rsidRPr="00640626">
        <w:rPr>
          <w:lang w:val="fr-FR"/>
        </w:rPr>
        <w:t>MENÉES PAR</w:t>
      </w:r>
      <w:r w:rsidRPr="00640626">
        <w:rPr>
          <w:lang w:val="fr-FR"/>
        </w:rPr>
        <w:t xml:space="preserve"> LA FAO </w:t>
      </w:r>
      <w:r w:rsidR="00BB2F87" w:rsidRPr="00640626">
        <w:rPr>
          <w:lang w:val="fr-FR"/>
        </w:rPr>
        <w:t xml:space="preserve">POUR REMÉDIER AUX PROBLÉMATIQUES LIÉES AU </w:t>
      </w:r>
      <w:r w:rsidRPr="00640626">
        <w:rPr>
          <w:lang w:val="fr-FR"/>
        </w:rPr>
        <w:t>TRAVAIL DÉCENT EN AQUACULTURE</w:t>
      </w:r>
    </w:p>
    <w:p w:rsidR="001C3334" w:rsidRPr="00640626" w:rsidRDefault="001C3334" w:rsidP="001C3334">
      <w:pPr>
        <w:rPr>
          <w:lang w:val="fr-FR"/>
        </w:rPr>
      </w:pPr>
    </w:p>
    <w:p w:rsidR="001C3334" w:rsidRPr="00640626" w:rsidRDefault="00B36154" w:rsidP="00082B55">
      <w:pPr>
        <w:pStyle w:val="NewPara"/>
        <w:jc w:val="both"/>
        <w:rPr>
          <w:lang w:val="fr-FR"/>
        </w:rPr>
      </w:pPr>
      <w:r w:rsidRPr="00640626">
        <w:rPr>
          <w:lang w:val="fr-FR"/>
        </w:rPr>
        <w:t xml:space="preserve">Il est impératif, </w:t>
      </w:r>
      <w:r w:rsidR="00BB2F87" w:rsidRPr="00640626">
        <w:rPr>
          <w:lang w:val="fr-FR"/>
        </w:rPr>
        <w:t>pour</w:t>
      </w:r>
      <w:r w:rsidRPr="00640626">
        <w:rPr>
          <w:lang w:val="fr-FR"/>
        </w:rPr>
        <w:t xml:space="preserve"> que le développement de l’aquaculture contribue à réduire la pauvreté, de promouvoir et de défendre une approche fo</w:t>
      </w:r>
      <w:r w:rsidR="00C6364A" w:rsidRPr="00640626">
        <w:rPr>
          <w:lang w:val="fr-FR"/>
        </w:rPr>
        <w:t xml:space="preserve">ndée sur les droits de l’homme et donc, prônant </w:t>
      </w:r>
      <w:r w:rsidRPr="00640626">
        <w:rPr>
          <w:lang w:val="fr-FR"/>
        </w:rPr>
        <w:t xml:space="preserve">le droit </w:t>
      </w:r>
      <w:r w:rsidR="00477541" w:rsidRPr="00640626">
        <w:rPr>
          <w:lang w:val="fr-FR"/>
        </w:rPr>
        <w:t xml:space="preserve">à un </w:t>
      </w:r>
      <w:r w:rsidRPr="00640626">
        <w:rPr>
          <w:lang w:val="fr-FR"/>
        </w:rPr>
        <w:t>travail décent.</w:t>
      </w:r>
      <w:r w:rsidR="001C3334" w:rsidRPr="00640626">
        <w:rPr>
          <w:rStyle w:val="FootnoteReference"/>
          <w:sz w:val="18"/>
          <w:szCs w:val="24"/>
          <w:lang w:val="fr-FR"/>
        </w:rPr>
        <w:footnoteReference w:id="11"/>
      </w:r>
      <w:r w:rsidR="001C3334" w:rsidRPr="00640626">
        <w:rPr>
          <w:lang w:val="fr-FR"/>
        </w:rPr>
        <w:t xml:space="preserve"> </w:t>
      </w:r>
      <w:r w:rsidR="00477541" w:rsidRPr="00640626">
        <w:rPr>
          <w:lang w:val="fr-FR"/>
        </w:rPr>
        <w:t>Il est</w:t>
      </w:r>
      <w:r w:rsidR="00D30EC7" w:rsidRPr="00640626">
        <w:rPr>
          <w:lang w:val="fr-FR"/>
        </w:rPr>
        <w:t xml:space="preserve"> </w:t>
      </w:r>
      <w:r w:rsidR="00FD1872" w:rsidRPr="00640626">
        <w:rPr>
          <w:lang w:val="fr-FR"/>
        </w:rPr>
        <w:t>donc absol</w:t>
      </w:r>
      <w:r w:rsidR="00C6364A" w:rsidRPr="00640626">
        <w:rPr>
          <w:lang w:val="fr-FR"/>
        </w:rPr>
        <w:t>ument</w:t>
      </w:r>
      <w:r w:rsidR="00FD1872" w:rsidRPr="00640626">
        <w:rPr>
          <w:lang w:val="fr-FR"/>
        </w:rPr>
        <w:t xml:space="preserve"> nécessaire</w:t>
      </w:r>
      <w:r w:rsidR="00D30EC7" w:rsidRPr="00640626">
        <w:rPr>
          <w:lang w:val="fr-FR"/>
        </w:rPr>
        <w:t xml:space="preserve"> </w:t>
      </w:r>
      <w:r w:rsidR="00477541" w:rsidRPr="00640626">
        <w:rPr>
          <w:lang w:val="fr-FR"/>
        </w:rPr>
        <w:t xml:space="preserve">que </w:t>
      </w:r>
      <w:r w:rsidR="00D30EC7" w:rsidRPr="00640626">
        <w:rPr>
          <w:lang w:val="fr-FR"/>
        </w:rPr>
        <w:t xml:space="preserve">des </w:t>
      </w:r>
      <w:r w:rsidR="00FD1872" w:rsidRPr="00640626">
        <w:rPr>
          <w:lang w:val="fr-FR"/>
        </w:rPr>
        <w:t>directives</w:t>
      </w:r>
      <w:r w:rsidR="00D30EC7" w:rsidRPr="00640626">
        <w:rPr>
          <w:lang w:val="fr-FR"/>
        </w:rPr>
        <w:t xml:space="preserve"> </w:t>
      </w:r>
      <w:r w:rsidR="00477541" w:rsidRPr="00640626">
        <w:rPr>
          <w:lang w:val="fr-FR"/>
        </w:rPr>
        <w:t xml:space="preserve">soient formulées </w:t>
      </w:r>
      <w:r w:rsidR="00D30EC7" w:rsidRPr="00640626">
        <w:rPr>
          <w:lang w:val="fr-FR"/>
        </w:rPr>
        <w:t xml:space="preserve">à l’intention des décideurs et des responsables de la mise en œuvre des politiques, y compris </w:t>
      </w:r>
      <w:r w:rsidR="00477541" w:rsidRPr="00640626">
        <w:rPr>
          <w:lang w:val="fr-FR"/>
        </w:rPr>
        <w:t xml:space="preserve">celles concernant </w:t>
      </w:r>
      <w:r w:rsidR="00D30EC7" w:rsidRPr="00640626">
        <w:rPr>
          <w:lang w:val="fr-FR"/>
        </w:rPr>
        <w:t xml:space="preserve">le secteur privé. La FAO, en étroite coopération avec des organisations comme l’OIT, étudie les problématiques </w:t>
      </w:r>
      <w:r w:rsidR="00FD1872" w:rsidRPr="00640626">
        <w:rPr>
          <w:lang w:val="fr-FR"/>
        </w:rPr>
        <w:t>liées à l’emploi</w:t>
      </w:r>
      <w:r w:rsidR="00D30EC7" w:rsidRPr="00640626">
        <w:rPr>
          <w:lang w:val="fr-FR"/>
        </w:rPr>
        <w:t xml:space="preserve"> décent dans les secteurs des pêches et de l’aquaculture au</w:t>
      </w:r>
      <w:r w:rsidR="00082B55" w:rsidRPr="00640626">
        <w:rPr>
          <w:lang w:val="fr-FR"/>
        </w:rPr>
        <w:t>x</w:t>
      </w:r>
      <w:r w:rsidR="00D30EC7" w:rsidRPr="00640626">
        <w:rPr>
          <w:lang w:val="fr-FR"/>
        </w:rPr>
        <w:t xml:space="preserve"> ni</w:t>
      </w:r>
      <w:r w:rsidR="00FD1872" w:rsidRPr="00640626">
        <w:rPr>
          <w:lang w:val="fr-FR"/>
        </w:rPr>
        <w:t>veau</w:t>
      </w:r>
      <w:r w:rsidR="00082B55" w:rsidRPr="00640626">
        <w:rPr>
          <w:lang w:val="fr-FR"/>
        </w:rPr>
        <w:t>x</w:t>
      </w:r>
      <w:r w:rsidR="00FD1872" w:rsidRPr="00640626">
        <w:rPr>
          <w:lang w:val="fr-FR"/>
        </w:rPr>
        <w:t xml:space="preserve"> mondial, régional et local</w:t>
      </w:r>
      <w:r w:rsidR="00D30EC7" w:rsidRPr="00640626">
        <w:rPr>
          <w:lang w:val="fr-FR"/>
        </w:rPr>
        <w:t xml:space="preserve"> en partenariat avec les gouvernements, l’industrie, la société civile, les universités ainsi que les communautés de donateurs intéressées. </w:t>
      </w:r>
      <w:r w:rsidR="00477541" w:rsidRPr="00640626">
        <w:rPr>
          <w:lang w:val="fr-FR"/>
        </w:rPr>
        <w:t xml:space="preserve">Ces travaux </w:t>
      </w:r>
      <w:r w:rsidR="00FD1872" w:rsidRPr="00640626">
        <w:rPr>
          <w:lang w:val="fr-FR"/>
        </w:rPr>
        <w:t xml:space="preserve">ont </w:t>
      </w:r>
      <w:r w:rsidR="00477541" w:rsidRPr="00640626">
        <w:rPr>
          <w:lang w:val="fr-FR"/>
        </w:rPr>
        <w:t xml:space="preserve">notamment permis de produire </w:t>
      </w:r>
      <w:r w:rsidR="00D30EC7" w:rsidRPr="00640626">
        <w:rPr>
          <w:lang w:val="fr-FR"/>
        </w:rPr>
        <w:t xml:space="preserve">les </w:t>
      </w:r>
      <w:r w:rsidR="00620544" w:rsidRPr="00640626">
        <w:rPr>
          <w:lang w:val="fr-FR"/>
        </w:rPr>
        <w:t>directive</w:t>
      </w:r>
      <w:r w:rsidR="00D30EC7" w:rsidRPr="00640626">
        <w:rPr>
          <w:lang w:val="fr-FR"/>
        </w:rPr>
        <w:t>s et de la FAO et de l’OIT</w:t>
      </w:r>
      <w:r w:rsidR="001C3334" w:rsidRPr="00640626">
        <w:rPr>
          <w:rStyle w:val="FootnoteReference"/>
          <w:sz w:val="18"/>
          <w:szCs w:val="24"/>
          <w:lang w:val="fr-FR"/>
        </w:rPr>
        <w:footnoteReference w:id="12"/>
      </w:r>
      <w:r w:rsidR="001C3334" w:rsidRPr="00640626">
        <w:rPr>
          <w:lang w:val="fr-FR"/>
        </w:rPr>
        <w:t xml:space="preserve"> </w:t>
      </w:r>
      <w:r w:rsidR="00D30EC7" w:rsidRPr="00640626">
        <w:rPr>
          <w:lang w:val="fr-FR"/>
        </w:rPr>
        <w:t xml:space="preserve">sur la façon de régler le problème du travail des enfants dans la pêche et l’aquaculture, qui </w:t>
      </w:r>
      <w:r w:rsidR="00477541" w:rsidRPr="00640626">
        <w:rPr>
          <w:lang w:val="fr-FR"/>
        </w:rPr>
        <w:t>font</w:t>
      </w:r>
      <w:r w:rsidR="00D30EC7" w:rsidRPr="00640626">
        <w:rPr>
          <w:lang w:val="fr-FR"/>
        </w:rPr>
        <w:t xml:space="preserve"> le point sur les pratiques actuelles en matière de travail des enfants et </w:t>
      </w:r>
      <w:r w:rsidR="00FD1872" w:rsidRPr="00640626">
        <w:rPr>
          <w:lang w:val="fr-FR"/>
        </w:rPr>
        <w:t xml:space="preserve">sur </w:t>
      </w:r>
      <w:r w:rsidR="00D30EC7" w:rsidRPr="00640626">
        <w:rPr>
          <w:lang w:val="fr-FR"/>
        </w:rPr>
        <w:t xml:space="preserve">les réponses que l’on pourrait y apporter. </w:t>
      </w:r>
      <w:r w:rsidR="00905D90" w:rsidRPr="00640626">
        <w:rPr>
          <w:lang w:val="fr-FR"/>
        </w:rPr>
        <w:t>La FAO a organisé plusieurs consultatio</w:t>
      </w:r>
      <w:r w:rsidR="00082B55" w:rsidRPr="00640626">
        <w:rPr>
          <w:lang w:val="fr-FR"/>
        </w:rPr>
        <w:t>ns, notamment celle intitulée «</w:t>
      </w:r>
      <w:r w:rsidR="00905D90" w:rsidRPr="00640626">
        <w:rPr>
          <w:lang w:val="fr-FR"/>
        </w:rPr>
        <w:t>Travailler pour une croissance bleue</w:t>
      </w:r>
      <w:r w:rsidR="004E52B2" w:rsidRPr="00640626">
        <w:rPr>
          <w:lang w:val="fr-FR"/>
        </w:rPr>
        <w:t>:</w:t>
      </w:r>
      <w:r w:rsidR="00905D90" w:rsidRPr="00640626">
        <w:rPr>
          <w:lang w:val="fr-FR"/>
        </w:rPr>
        <w:t xml:space="preserve"> pourquoi le travail décent dans la pêche</w:t>
      </w:r>
      <w:r w:rsidR="00082B55" w:rsidRPr="00640626">
        <w:rPr>
          <w:lang w:val="fr-FR"/>
        </w:rPr>
        <w:t xml:space="preserve"> et l’aquaculture est important</w:t>
      </w:r>
      <w:r w:rsidR="00905D90" w:rsidRPr="00640626">
        <w:rPr>
          <w:lang w:val="fr-FR"/>
        </w:rPr>
        <w:t>» (Comité des pêches,</w:t>
      </w:r>
      <w:r w:rsidR="004E52B2" w:rsidRPr="00640626">
        <w:rPr>
          <w:lang w:val="fr-FR"/>
        </w:rPr>
        <w:t xml:space="preserve"> </w:t>
      </w:r>
      <w:r w:rsidR="00082B55" w:rsidRPr="00640626">
        <w:rPr>
          <w:lang w:val="fr-FR"/>
        </w:rPr>
        <w:t>2014) et le «</w:t>
      </w:r>
      <w:r w:rsidR="00905D90" w:rsidRPr="00640626">
        <w:rPr>
          <w:lang w:val="fr-FR"/>
        </w:rPr>
        <w:t>Dialogue de Vigo</w:t>
      </w:r>
      <w:r w:rsidR="001C3334" w:rsidRPr="00640626">
        <w:rPr>
          <w:rStyle w:val="FootnoteReference"/>
          <w:sz w:val="18"/>
          <w:szCs w:val="24"/>
          <w:lang w:val="fr-FR"/>
        </w:rPr>
        <w:footnoteReference w:id="13"/>
      </w:r>
      <w:r w:rsidR="001C3334" w:rsidRPr="00640626">
        <w:rPr>
          <w:lang w:val="fr-FR"/>
        </w:rPr>
        <w:t xml:space="preserve"> </w:t>
      </w:r>
      <w:r w:rsidR="00905D90" w:rsidRPr="00640626">
        <w:rPr>
          <w:lang w:val="fr-FR"/>
        </w:rPr>
        <w:t>sur le travail décent</w:t>
      </w:r>
      <w:r w:rsidR="00082B55" w:rsidRPr="00640626">
        <w:rPr>
          <w:lang w:val="fr-FR"/>
        </w:rPr>
        <w:t xml:space="preserve"> dans la pêche et l’aquaculture</w:t>
      </w:r>
      <w:r w:rsidR="00905D90" w:rsidRPr="00640626">
        <w:rPr>
          <w:lang w:val="fr-FR"/>
        </w:rPr>
        <w:t xml:space="preserve">» </w:t>
      </w:r>
      <w:r w:rsidR="001C3334" w:rsidRPr="00640626">
        <w:rPr>
          <w:lang w:val="fr-FR"/>
        </w:rPr>
        <w:t>(Global Shrimp Congress, 2014).</w:t>
      </w:r>
      <w:r w:rsidRPr="00640626">
        <w:rPr>
          <w:lang w:val="fr-FR"/>
        </w:rPr>
        <w:t xml:space="preserve"> </w:t>
      </w:r>
    </w:p>
    <w:p w:rsidR="001C3334" w:rsidRPr="00640626" w:rsidRDefault="00E1560C" w:rsidP="00082B55">
      <w:pPr>
        <w:pStyle w:val="NewPara"/>
        <w:jc w:val="both"/>
        <w:rPr>
          <w:lang w:val="fr-FR"/>
        </w:rPr>
      </w:pPr>
      <w:r w:rsidRPr="00640626">
        <w:rPr>
          <w:lang w:val="fr-FR"/>
        </w:rPr>
        <w:t xml:space="preserve">Le CCPR </w:t>
      </w:r>
      <w:r w:rsidR="00477541" w:rsidRPr="00640626">
        <w:rPr>
          <w:lang w:val="fr-FR"/>
        </w:rPr>
        <w:t>souligne</w:t>
      </w:r>
      <w:r w:rsidRPr="00640626">
        <w:rPr>
          <w:lang w:val="fr-FR"/>
        </w:rPr>
        <w:t xml:space="preserve"> l’importance des droits des </w:t>
      </w:r>
      <w:r w:rsidR="00477541" w:rsidRPr="00640626">
        <w:rPr>
          <w:lang w:val="fr-FR"/>
        </w:rPr>
        <w:t>travailleurs de la pêche</w:t>
      </w:r>
      <w:r w:rsidRPr="00640626">
        <w:rPr>
          <w:lang w:val="fr-FR"/>
        </w:rPr>
        <w:t>, d’une participation effective à la prise de décis</w:t>
      </w:r>
      <w:r w:rsidR="00EF76A3" w:rsidRPr="00640626">
        <w:rPr>
          <w:lang w:val="fr-FR"/>
        </w:rPr>
        <w:t xml:space="preserve">ions et </w:t>
      </w:r>
      <w:r w:rsidRPr="00640626">
        <w:rPr>
          <w:lang w:val="fr-FR"/>
        </w:rPr>
        <w:t>de conditions de travail et de vie sûres, saines et équitables, conformément aux accords internationaux pertinents concernant les conditions de travail et de service.</w:t>
      </w:r>
      <w:r w:rsidR="001C3334" w:rsidRPr="00640626">
        <w:rPr>
          <w:rStyle w:val="FootnoteReference"/>
          <w:sz w:val="18"/>
          <w:szCs w:val="24"/>
          <w:lang w:val="fr-FR"/>
        </w:rPr>
        <w:footnoteReference w:id="14"/>
      </w:r>
      <w:r w:rsidR="001C3334" w:rsidRPr="00640626">
        <w:rPr>
          <w:lang w:val="fr-FR"/>
        </w:rPr>
        <w:t xml:space="preserve"> </w:t>
      </w:r>
      <w:r w:rsidRPr="00640626">
        <w:rPr>
          <w:lang w:val="fr-FR"/>
        </w:rPr>
        <w:t xml:space="preserve">Les </w:t>
      </w:r>
      <w:r w:rsidR="00620544" w:rsidRPr="00640626">
        <w:rPr>
          <w:lang w:val="fr-FR"/>
        </w:rPr>
        <w:t>directive</w:t>
      </w:r>
      <w:r w:rsidRPr="00640626">
        <w:rPr>
          <w:lang w:val="fr-FR"/>
        </w:rPr>
        <w:t>s techniques de la FAO</w:t>
      </w:r>
      <w:r w:rsidR="001C3334" w:rsidRPr="00640626">
        <w:rPr>
          <w:rStyle w:val="FootnoteReference"/>
          <w:sz w:val="18"/>
          <w:szCs w:val="24"/>
          <w:lang w:val="fr-FR"/>
        </w:rPr>
        <w:footnoteReference w:id="15"/>
      </w:r>
      <w:r w:rsidR="001C3334" w:rsidRPr="00640626">
        <w:rPr>
          <w:lang w:val="fr-FR"/>
        </w:rPr>
        <w:t xml:space="preserve"> </w:t>
      </w:r>
      <w:r w:rsidRPr="00640626">
        <w:rPr>
          <w:lang w:val="fr-FR"/>
        </w:rPr>
        <w:t xml:space="preserve">relatives à la certification en aquaculture exigent que celle-ci soit </w:t>
      </w:r>
      <w:r w:rsidR="00477541" w:rsidRPr="00640626">
        <w:rPr>
          <w:lang w:val="fr-FR"/>
        </w:rPr>
        <w:t>menée</w:t>
      </w:r>
      <w:r w:rsidRPr="00640626">
        <w:rPr>
          <w:lang w:val="fr-FR"/>
        </w:rPr>
        <w:t xml:space="preserve"> </w:t>
      </w:r>
      <w:r w:rsidR="00287752" w:rsidRPr="00640626">
        <w:rPr>
          <w:lang w:val="fr-FR"/>
        </w:rPr>
        <w:t>d</w:t>
      </w:r>
      <w:r w:rsidR="00477541" w:rsidRPr="00640626">
        <w:rPr>
          <w:lang w:val="fr-FR"/>
        </w:rPr>
        <w:t>’</w:t>
      </w:r>
      <w:r w:rsidR="00287752" w:rsidRPr="00640626">
        <w:rPr>
          <w:lang w:val="fr-FR"/>
        </w:rPr>
        <w:t>une</w:t>
      </w:r>
      <w:r w:rsidRPr="00640626">
        <w:rPr>
          <w:lang w:val="fr-FR"/>
        </w:rPr>
        <w:t xml:space="preserve"> manière socialement responsable, dans le cadre des dispositions légales et réglementaires nationales, eu égard aux conventions de l’OIT, sans mettre en danger les conditions de vie des ouvriers aquacoles ni des communautés locales.</w:t>
      </w:r>
    </w:p>
    <w:p w:rsidR="001C3334" w:rsidRPr="00640626" w:rsidRDefault="00855B86" w:rsidP="00082B55">
      <w:pPr>
        <w:pStyle w:val="NewPara"/>
        <w:numPr>
          <w:ilvl w:val="0"/>
          <w:numId w:val="0"/>
        </w:numPr>
        <w:jc w:val="both"/>
        <w:rPr>
          <w:lang w:val="fr-FR"/>
        </w:rPr>
      </w:pPr>
      <w:r w:rsidRPr="00640626">
        <w:rPr>
          <w:lang w:val="fr-FR"/>
        </w:rPr>
        <w:t>32.</w:t>
      </w:r>
      <w:r w:rsidRPr="00640626">
        <w:rPr>
          <w:lang w:val="fr-FR"/>
        </w:rPr>
        <w:tab/>
        <w:t xml:space="preserve">Il a été </w:t>
      </w:r>
      <w:r w:rsidR="00477541" w:rsidRPr="00640626">
        <w:rPr>
          <w:lang w:val="fr-FR"/>
        </w:rPr>
        <w:t>rappelé</w:t>
      </w:r>
      <w:r w:rsidRPr="00640626">
        <w:rPr>
          <w:lang w:val="fr-FR"/>
        </w:rPr>
        <w:t xml:space="preserve">, </w:t>
      </w:r>
      <w:r w:rsidR="00FD1872" w:rsidRPr="00640626">
        <w:rPr>
          <w:lang w:val="fr-FR"/>
        </w:rPr>
        <w:t>durant</w:t>
      </w:r>
      <w:r w:rsidRPr="00640626">
        <w:rPr>
          <w:lang w:val="fr-FR"/>
        </w:rPr>
        <w:t xml:space="preserve"> la Co</w:t>
      </w:r>
      <w:r w:rsidR="00477541" w:rsidRPr="00640626">
        <w:rPr>
          <w:lang w:val="fr-FR"/>
        </w:rPr>
        <w:t>nférence régionale sur l’aquacu</w:t>
      </w:r>
      <w:r w:rsidRPr="00640626">
        <w:rPr>
          <w:lang w:val="fr-FR"/>
        </w:rPr>
        <w:t>l</w:t>
      </w:r>
      <w:r w:rsidR="00477541" w:rsidRPr="00640626">
        <w:rPr>
          <w:lang w:val="fr-FR"/>
        </w:rPr>
        <w:t>t</w:t>
      </w:r>
      <w:r w:rsidRPr="00640626">
        <w:rPr>
          <w:lang w:val="fr-FR"/>
        </w:rPr>
        <w:t>ure tenue en 2014 par la Commission générale des pêches pour la Méditerranée</w:t>
      </w:r>
      <w:r w:rsidR="001C3334" w:rsidRPr="00640626">
        <w:rPr>
          <w:rStyle w:val="FootnoteReference"/>
          <w:sz w:val="18"/>
          <w:szCs w:val="24"/>
          <w:lang w:val="fr-FR"/>
        </w:rPr>
        <w:footnoteReference w:id="16"/>
      </w:r>
      <w:r w:rsidRPr="00640626">
        <w:rPr>
          <w:lang w:val="fr-FR"/>
        </w:rPr>
        <w:t xml:space="preserve">, que de bonnes conditions de travail font partie des priorités reconnues dans le secteur aquacole et </w:t>
      </w:r>
      <w:r w:rsidR="00EF76A3" w:rsidRPr="00640626">
        <w:rPr>
          <w:lang w:val="fr-FR"/>
        </w:rPr>
        <w:t xml:space="preserve">doivent </w:t>
      </w:r>
      <w:r w:rsidRPr="00640626">
        <w:rPr>
          <w:lang w:val="fr-FR"/>
        </w:rPr>
        <w:t xml:space="preserve">garantir un environnement de travail correct aux travailleurs aquacoles dans l’ensemble de </w:t>
      </w:r>
      <w:r w:rsidR="00FD1872" w:rsidRPr="00640626">
        <w:rPr>
          <w:lang w:val="fr-FR"/>
        </w:rPr>
        <w:t>cette</w:t>
      </w:r>
      <w:r w:rsidRPr="00640626">
        <w:rPr>
          <w:lang w:val="fr-FR"/>
        </w:rPr>
        <w:t xml:space="preserve"> région, et qu’il convient de faciliter la cohérence des politiques en matière d’aquaculture, en insistant sur la mise en place de normes du travail reconnues au niveau international.</w:t>
      </w:r>
    </w:p>
    <w:p w:rsidR="001C3334" w:rsidRPr="00640626" w:rsidRDefault="00EF76A3" w:rsidP="00EF76A3">
      <w:pPr>
        <w:pStyle w:val="NewPara"/>
        <w:numPr>
          <w:ilvl w:val="0"/>
          <w:numId w:val="0"/>
        </w:numPr>
        <w:jc w:val="both"/>
        <w:rPr>
          <w:lang w:val="fr-FR"/>
        </w:rPr>
      </w:pPr>
      <w:r w:rsidRPr="00640626">
        <w:rPr>
          <w:lang w:val="fr-FR"/>
        </w:rPr>
        <w:t>33.</w:t>
      </w:r>
      <w:r w:rsidRPr="00640626">
        <w:rPr>
          <w:lang w:val="fr-FR"/>
        </w:rPr>
        <w:tab/>
      </w:r>
      <w:r w:rsidR="000F5EB2" w:rsidRPr="00640626">
        <w:rPr>
          <w:lang w:val="fr-FR"/>
        </w:rPr>
        <w:t xml:space="preserve">Le travail décent fait partie des normes </w:t>
      </w:r>
      <w:r w:rsidR="00620544" w:rsidRPr="00640626">
        <w:rPr>
          <w:lang w:val="fr-FR"/>
        </w:rPr>
        <w:t>intégrées aux</w:t>
      </w:r>
      <w:r w:rsidR="000F5EB2" w:rsidRPr="00640626">
        <w:rPr>
          <w:lang w:val="fr-FR"/>
        </w:rPr>
        <w:t xml:space="preserve"> nouvelles </w:t>
      </w:r>
      <w:r w:rsidR="00620544" w:rsidRPr="00640626">
        <w:rPr>
          <w:lang w:val="fr-FR"/>
        </w:rPr>
        <w:t>directive</w:t>
      </w:r>
      <w:r w:rsidR="000F5EB2" w:rsidRPr="00640626">
        <w:rPr>
          <w:lang w:val="fr-FR"/>
        </w:rPr>
        <w:t>s de la FAO relatives à la gestion environnementale et sociale.</w:t>
      </w:r>
      <w:r w:rsidR="001C3334" w:rsidRPr="00640626">
        <w:rPr>
          <w:rStyle w:val="FootnoteReference"/>
          <w:sz w:val="18"/>
          <w:szCs w:val="24"/>
          <w:lang w:val="fr-FR"/>
        </w:rPr>
        <w:footnoteReference w:id="17"/>
      </w:r>
      <w:r w:rsidR="001C3334" w:rsidRPr="00640626">
        <w:rPr>
          <w:lang w:val="fr-FR"/>
        </w:rPr>
        <w:t xml:space="preserve"> </w:t>
      </w:r>
      <w:r w:rsidR="000F5EB2" w:rsidRPr="00640626">
        <w:rPr>
          <w:lang w:val="fr-FR"/>
        </w:rPr>
        <w:t xml:space="preserve">Ces </w:t>
      </w:r>
      <w:r w:rsidR="00620544" w:rsidRPr="00640626">
        <w:rPr>
          <w:lang w:val="fr-FR"/>
        </w:rPr>
        <w:t>directive</w:t>
      </w:r>
      <w:r w:rsidR="000F5EB2" w:rsidRPr="00640626">
        <w:rPr>
          <w:lang w:val="fr-FR"/>
        </w:rPr>
        <w:t xml:space="preserve">s guideront </w:t>
      </w:r>
      <w:r w:rsidR="00620544" w:rsidRPr="00640626">
        <w:rPr>
          <w:lang w:val="fr-FR"/>
        </w:rPr>
        <w:t xml:space="preserve">dorénavant </w:t>
      </w:r>
      <w:r w:rsidR="000F5EB2" w:rsidRPr="00640626">
        <w:rPr>
          <w:lang w:val="fr-FR"/>
        </w:rPr>
        <w:t>tous les bureaux de la FAO dans la gestion des risques environnementaux et sociaux liés aux stratégies, aux politiques et aux projets de terrain, et présideront à la formulation et à la mise en œuvre des projets et programmes futurs de l</w:t>
      </w:r>
      <w:r w:rsidR="00FD1872" w:rsidRPr="00640626">
        <w:rPr>
          <w:lang w:val="fr-FR"/>
        </w:rPr>
        <w:t>’Organisation</w:t>
      </w:r>
      <w:r w:rsidR="000F5EB2" w:rsidRPr="00640626">
        <w:rPr>
          <w:lang w:val="fr-FR"/>
        </w:rPr>
        <w:t xml:space="preserve">, y compris dans le secteur de l’aquaculture. La norme relative au travail décent traite des thématiques suivantes: </w:t>
      </w:r>
    </w:p>
    <w:p w:rsidR="001C3334" w:rsidRPr="00640626" w:rsidRDefault="00450795" w:rsidP="001C3334">
      <w:pPr>
        <w:pStyle w:val="BulletList"/>
        <w:rPr>
          <w:lang w:val="fr-FR"/>
        </w:rPr>
      </w:pPr>
      <w:r w:rsidRPr="00640626">
        <w:rPr>
          <w:lang w:val="fr-FR"/>
        </w:rPr>
        <w:t>création d’emploi</w:t>
      </w:r>
      <w:r w:rsidR="001C3334" w:rsidRPr="00640626">
        <w:rPr>
          <w:lang w:val="fr-FR"/>
        </w:rPr>
        <w:t>;</w:t>
      </w:r>
    </w:p>
    <w:p w:rsidR="001C3334" w:rsidRPr="00640626" w:rsidRDefault="000F5EB2" w:rsidP="001C3334">
      <w:pPr>
        <w:pStyle w:val="BulletList"/>
        <w:rPr>
          <w:lang w:val="fr-FR"/>
        </w:rPr>
      </w:pPr>
      <w:r w:rsidRPr="00640626">
        <w:rPr>
          <w:lang w:val="fr-FR"/>
        </w:rPr>
        <w:t>n</w:t>
      </w:r>
      <w:r w:rsidR="001C3334" w:rsidRPr="00640626">
        <w:rPr>
          <w:lang w:val="fr-FR"/>
        </w:rPr>
        <w:t xml:space="preserve">on-discrimination </w:t>
      </w:r>
      <w:r w:rsidRPr="00640626">
        <w:rPr>
          <w:lang w:val="fr-FR"/>
        </w:rPr>
        <w:t>et égalité des chances</w:t>
      </w:r>
      <w:r w:rsidR="001C3334" w:rsidRPr="00640626">
        <w:rPr>
          <w:lang w:val="fr-FR"/>
        </w:rPr>
        <w:t>;</w:t>
      </w:r>
    </w:p>
    <w:p w:rsidR="001C3334" w:rsidRPr="00640626" w:rsidRDefault="000F5EB2" w:rsidP="001C3334">
      <w:pPr>
        <w:pStyle w:val="BulletList"/>
        <w:rPr>
          <w:lang w:val="fr-FR"/>
        </w:rPr>
      </w:pPr>
      <w:r w:rsidRPr="00640626">
        <w:rPr>
          <w:lang w:val="fr-FR"/>
        </w:rPr>
        <w:t>sécurité et santé au travail</w:t>
      </w:r>
      <w:r w:rsidR="001C3334" w:rsidRPr="00640626">
        <w:rPr>
          <w:lang w:val="fr-FR"/>
        </w:rPr>
        <w:t xml:space="preserve">; </w:t>
      </w:r>
    </w:p>
    <w:p w:rsidR="001C3334" w:rsidRPr="00640626" w:rsidRDefault="000F5EB2" w:rsidP="001C3334">
      <w:pPr>
        <w:pStyle w:val="BulletList"/>
        <w:rPr>
          <w:lang w:val="fr-FR"/>
        </w:rPr>
      </w:pPr>
      <w:r w:rsidRPr="00640626">
        <w:rPr>
          <w:lang w:val="fr-FR"/>
        </w:rPr>
        <w:t>travail des enfants</w:t>
      </w:r>
      <w:r w:rsidR="001C3334" w:rsidRPr="00640626">
        <w:rPr>
          <w:lang w:val="fr-FR"/>
        </w:rPr>
        <w:t xml:space="preserve">; </w:t>
      </w:r>
    </w:p>
    <w:p w:rsidR="001C3334" w:rsidRPr="00640626" w:rsidRDefault="000F5EB2" w:rsidP="001C3334">
      <w:pPr>
        <w:pStyle w:val="BulletList"/>
        <w:rPr>
          <w:lang w:val="fr-FR"/>
        </w:rPr>
      </w:pPr>
      <w:r w:rsidRPr="00640626">
        <w:rPr>
          <w:lang w:val="fr-FR"/>
        </w:rPr>
        <w:t>travail forcé</w:t>
      </w:r>
      <w:r w:rsidR="001C3334" w:rsidRPr="00640626">
        <w:rPr>
          <w:lang w:val="fr-FR"/>
        </w:rPr>
        <w:t>;</w:t>
      </w:r>
    </w:p>
    <w:p w:rsidR="001C3334" w:rsidRPr="00640626" w:rsidRDefault="00244D97" w:rsidP="001C3334">
      <w:pPr>
        <w:pStyle w:val="BulletList"/>
        <w:rPr>
          <w:lang w:val="fr-FR"/>
        </w:rPr>
      </w:pPr>
      <w:r w:rsidRPr="00640626">
        <w:rPr>
          <w:lang w:val="fr-FR"/>
        </w:rPr>
        <w:lastRenderedPageBreak/>
        <w:t>organisations de travailleurs et de producteurs</w:t>
      </w:r>
      <w:r w:rsidR="001C3334" w:rsidRPr="00640626">
        <w:rPr>
          <w:lang w:val="fr-FR"/>
        </w:rPr>
        <w:t>.</w:t>
      </w:r>
    </w:p>
    <w:p w:rsidR="001C3334" w:rsidRPr="00640626" w:rsidRDefault="00EF76A3" w:rsidP="001C3334">
      <w:pPr>
        <w:pStyle w:val="NewPara"/>
        <w:numPr>
          <w:ilvl w:val="0"/>
          <w:numId w:val="0"/>
        </w:numPr>
        <w:jc w:val="both"/>
        <w:rPr>
          <w:lang w:val="fr-FR"/>
        </w:rPr>
      </w:pPr>
      <w:r w:rsidRPr="00640626">
        <w:rPr>
          <w:lang w:val="fr-FR"/>
        </w:rPr>
        <w:t>34.</w:t>
      </w:r>
      <w:r w:rsidRPr="00640626">
        <w:rPr>
          <w:lang w:val="fr-FR"/>
        </w:rPr>
        <w:tab/>
      </w:r>
      <w:r w:rsidR="00A71E55" w:rsidRPr="00640626">
        <w:rPr>
          <w:lang w:val="fr-FR"/>
        </w:rPr>
        <w:t xml:space="preserve">Outre qu’ils constituent des objectifs majeurs du point de vue du développement et de la réduction de la pauvreté en milieu rural, la </w:t>
      </w:r>
      <w:r w:rsidR="00450795" w:rsidRPr="00640626">
        <w:rPr>
          <w:lang w:val="fr-FR"/>
        </w:rPr>
        <w:t>création d’emploi</w:t>
      </w:r>
      <w:r w:rsidR="00A71E55" w:rsidRPr="00640626">
        <w:rPr>
          <w:lang w:val="fr-FR"/>
        </w:rPr>
        <w:t xml:space="preserve"> et le </w:t>
      </w:r>
      <w:r w:rsidR="00E47B73" w:rsidRPr="00640626">
        <w:rPr>
          <w:lang w:val="fr-FR"/>
        </w:rPr>
        <w:t>développement de l’entreprise</w:t>
      </w:r>
      <w:r w:rsidR="00D47DFB" w:rsidRPr="00640626">
        <w:rPr>
          <w:lang w:val="fr-FR"/>
        </w:rPr>
        <w:t xml:space="preserve"> son</w:t>
      </w:r>
      <w:r w:rsidR="00A71E55" w:rsidRPr="00640626">
        <w:rPr>
          <w:lang w:val="fr-FR"/>
        </w:rPr>
        <w:t xml:space="preserve">t également un moyen efficace de promouvoir le travail décent dans le secteur de l’aquaculture. </w:t>
      </w:r>
      <w:r w:rsidR="00D47DFB" w:rsidRPr="00640626">
        <w:rPr>
          <w:lang w:val="fr-FR"/>
        </w:rPr>
        <w:t xml:space="preserve">Afin de permettre l’établissement </w:t>
      </w:r>
      <w:r w:rsidR="00A71E55" w:rsidRPr="00640626">
        <w:rPr>
          <w:lang w:val="fr-FR"/>
        </w:rPr>
        <w:t xml:space="preserve">de politiques </w:t>
      </w:r>
      <w:r w:rsidR="00FD1872" w:rsidRPr="00640626">
        <w:rPr>
          <w:lang w:val="fr-FR"/>
        </w:rPr>
        <w:t>basées sur des données factuelles encourageant</w:t>
      </w:r>
      <w:r w:rsidR="00A71E55" w:rsidRPr="00640626">
        <w:rPr>
          <w:lang w:val="fr-FR"/>
        </w:rPr>
        <w:t xml:space="preserve"> le travail décent en milieu aquacole, la FAO travaille a</w:t>
      </w:r>
      <w:r w:rsidR="00FD1872" w:rsidRPr="00640626">
        <w:rPr>
          <w:lang w:val="fr-FR"/>
        </w:rPr>
        <w:t xml:space="preserve">ctuellement, notamment en Chine, </w:t>
      </w:r>
      <w:r w:rsidR="00A71E55" w:rsidRPr="00640626">
        <w:rPr>
          <w:lang w:val="fr-FR"/>
        </w:rPr>
        <w:t xml:space="preserve">sur des projets pilotes </w:t>
      </w:r>
      <w:r w:rsidR="00D47DFB" w:rsidRPr="00640626">
        <w:rPr>
          <w:lang w:val="fr-FR"/>
        </w:rPr>
        <w:t>visant à établir</w:t>
      </w:r>
      <w:r w:rsidR="00A71E55" w:rsidRPr="00640626">
        <w:rPr>
          <w:lang w:val="fr-FR"/>
        </w:rPr>
        <w:t xml:space="preserve"> des profils des ressources humaines engagées dans l’aquaculture. Plusieurs études de la FAO</w:t>
      </w:r>
      <w:r w:rsidR="001C3334" w:rsidRPr="00640626">
        <w:rPr>
          <w:rStyle w:val="FootnoteReference"/>
          <w:sz w:val="18"/>
          <w:szCs w:val="24"/>
          <w:lang w:val="fr-FR"/>
        </w:rPr>
        <w:footnoteReference w:id="18"/>
      </w:r>
      <w:r w:rsidR="001C3334" w:rsidRPr="00640626">
        <w:rPr>
          <w:lang w:val="fr-FR"/>
        </w:rPr>
        <w:t>,</w:t>
      </w:r>
      <w:r w:rsidR="001C3334" w:rsidRPr="00640626">
        <w:rPr>
          <w:rStyle w:val="FootnoteReference"/>
          <w:sz w:val="18"/>
          <w:szCs w:val="24"/>
          <w:lang w:val="fr-FR"/>
        </w:rPr>
        <w:footnoteReference w:id="19"/>
      </w:r>
      <w:r w:rsidR="004E52B2" w:rsidRPr="00640626">
        <w:rPr>
          <w:lang w:val="fr-FR"/>
        </w:rPr>
        <w:t xml:space="preserve"> </w:t>
      </w:r>
      <w:r w:rsidR="00A71E55" w:rsidRPr="00640626">
        <w:rPr>
          <w:lang w:val="fr-FR"/>
        </w:rPr>
        <w:t>confirment que les petites et moyennes entreprises aquacoles sont susceptibles, en Afrique par exemple</w:t>
      </w:r>
      <w:r w:rsidR="001C3334" w:rsidRPr="00640626">
        <w:rPr>
          <w:rStyle w:val="FootnoteReference"/>
          <w:sz w:val="18"/>
          <w:szCs w:val="24"/>
          <w:lang w:val="fr-FR"/>
        </w:rPr>
        <w:footnoteReference w:id="20"/>
      </w:r>
      <w:r w:rsidR="001C3334" w:rsidRPr="00640626">
        <w:rPr>
          <w:lang w:val="fr-FR"/>
        </w:rPr>
        <w:t xml:space="preserve">, </w:t>
      </w:r>
      <w:r w:rsidR="00A71E55" w:rsidRPr="00640626">
        <w:rPr>
          <w:lang w:val="fr-FR"/>
        </w:rPr>
        <w:t>d’offrir des perspectives d’emploi intéressantes pour les femmes, les hommes et, surtout, pour les jeunes d’un bout à l’autre de la chaîne de valeur</w:t>
      </w:r>
      <w:r w:rsidR="001C3334" w:rsidRPr="00640626">
        <w:rPr>
          <w:rStyle w:val="FootnoteReference"/>
          <w:sz w:val="18"/>
          <w:szCs w:val="24"/>
          <w:lang w:val="fr-FR"/>
        </w:rPr>
        <w:footnoteReference w:id="21"/>
      </w:r>
      <w:r w:rsidR="001C3334" w:rsidRPr="00640626">
        <w:rPr>
          <w:lang w:val="fr-FR"/>
        </w:rPr>
        <w:t xml:space="preserve">. </w:t>
      </w:r>
      <w:r w:rsidR="00A71E55" w:rsidRPr="00640626">
        <w:rPr>
          <w:lang w:val="fr-FR"/>
        </w:rPr>
        <w:t>Les jeunes</w:t>
      </w:r>
      <w:r w:rsidR="001C3334" w:rsidRPr="00640626">
        <w:rPr>
          <w:rStyle w:val="FootnoteReference"/>
          <w:sz w:val="18"/>
          <w:szCs w:val="24"/>
          <w:lang w:val="fr-FR"/>
        </w:rPr>
        <w:footnoteReference w:id="22"/>
      </w:r>
      <w:r w:rsidR="001C3334" w:rsidRPr="00640626">
        <w:rPr>
          <w:lang w:val="fr-FR"/>
        </w:rPr>
        <w:t xml:space="preserve"> </w:t>
      </w:r>
      <w:r w:rsidR="00A71E55" w:rsidRPr="00640626">
        <w:rPr>
          <w:lang w:val="fr-FR"/>
        </w:rPr>
        <w:t>sont explicitement ciblés par les politiques de</w:t>
      </w:r>
      <w:r w:rsidR="0033635F" w:rsidRPr="00640626">
        <w:rPr>
          <w:lang w:val="fr-FR"/>
        </w:rPr>
        <w:t xml:space="preserve"> développement des PME</w:t>
      </w:r>
      <w:r w:rsidR="001C3334" w:rsidRPr="00640626">
        <w:rPr>
          <w:rStyle w:val="FootnoteReference"/>
          <w:sz w:val="18"/>
          <w:szCs w:val="24"/>
          <w:lang w:val="fr-FR"/>
        </w:rPr>
        <w:footnoteReference w:id="23"/>
      </w:r>
      <w:r w:rsidR="0033635F" w:rsidRPr="00640626">
        <w:rPr>
          <w:lang w:val="fr-FR"/>
        </w:rPr>
        <w:t xml:space="preserve"> aquacoles</w:t>
      </w:r>
      <w:r w:rsidR="001C3334" w:rsidRPr="00640626">
        <w:rPr>
          <w:lang w:val="fr-FR"/>
        </w:rPr>
        <w:t xml:space="preserve">. </w:t>
      </w:r>
      <w:r w:rsidR="00074A41" w:rsidRPr="00640626">
        <w:rPr>
          <w:lang w:val="fr-FR"/>
        </w:rPr>
        <w:t>Enfin, la FAO élabore actuellement un module aquaculture pour les écoles pratiques d'agriculture et d'apprentissage à la vie</w:t>
      </w:r>
      <w:r w:rsidR="0033635F" w:rsidRPr="00640626">
        <w:rPr>
          <w:lang w:val="fr-FR"/>
        </w:rPr>
        <w:t xml:space="preserve"> pour les jeunes</w:t>
      </w:r>
      <w:r w:rsidR="001C3334" w:rsidRPr="00640626">
        <w:rPr>
          <w:rStyle w:val="FootnoteReference"/>
          <w:sz w:val="18"/>
          <w:szCs w:val="24"/>
          <w:lang w:val="fr-FR"/>
        </w:rPr>
        <w:footnoteReference w:id="24"/>
      </w:r>
      <w:r w:rsidR="0033635F" w:rsidRPr="00640626">
        <w:rPr>
          <w:lang w:val="fr-FR"/>
        </w:rPr>
        <w:t xml:space="preserve">, </w:t>
      </w:r>
      <w:r w:rsidR="00A71E55" w:rsidRPr="00640626">
        <w:rPr>
          <w:lang w:val="fr-FR"/>
        </w:rPr>
        <w:t>qui sera piloté et adapté en Afrique subsaharienne en 2014-2015.</w:t>
      </w:r>
    </w:p>
    <w:p w:rsidR="001C3334" w:rsidRPr="00640626" w:rsidRDefault="00EF76A3" w:rsidP="00EF76A3">
      <w:pPr>
        <w:pStyle w:val="NewPara"/>
        <w:numPr>
          <w:ilvl w:val="0"/>
          <w:numId w:val="0"/>
        </w:numPr>
        <w:jc w:val="both"/>
        <w:rPr>
          <w:lang w:val="fr-FR"/>
        </w:rPr>
      </w:pPr>
      <w:r w:rsidRPr="00640626">
        <w:rPr>
          <w:lang w:val="fr-FR"/>
        </w:rPr>
        <w:t>35.</w:t>
      </w:r>
      <w:r w:rsidRPr="00640626">
        <w:rPr>
          <w:lang w:val="fr-FR"/>
        </w:rPr>
        <w:tab/>
      </w:r>
      <w:r w:rsidR="00074A41" w:rsidRPr="00640626">
        <w:rPr>
          <w:lang w:val="fr-FR"/>
        </w:rPr>
        <w:t xml:space="preserve">En résumé, </w:t>
      </w:r>
      <w:r w:rsidR="0015098D" w:rsidRPr="00640626">
        <w:rPr>
          <w:lang w:val="fr-FR"/>
        </w:rPr>
        <w:t>les parties prenantes du secteur de l’</w:t>
      </w:r>
      <w:r w:rsidR="00CB38B6" w:rsidRPr="00640626">
        <w:rPr>
          <w:lang w:val="fr-FR"/>
        </w:rPr>
        <w:t>aquaculture sont confrontées, en matière de travail décent, à toute une série de pro</w:t>
      </w:r>
      <w:r w:rsidR="006E4EC7" w:rsidRPr="00640626">
        <w:rPr>
          <w:lang w:val="fr-FR"/>
        </w:rPr>
        <w:t xml:space="preserve">blématiques, lesquelles </w:t>
      </w:r>
      <w:r w:rsidR="00C6364A" w:rsidRPr="00640626">
        <w:rPr>
          <w:lang w:val="fr-FR"/>
        </w:rPr>
        <w:t>peuvent</w:t>
      </w:r>
      <w:r w:rsidR="006E4EC7" w:rsidRPr="00640626">
        <w:rPr>
          <w:lang w:val="fr-FR"/>
        </w:rPr>
        <w:t xml:space="preserve"> toutefois être surmontées par des mesures</w:t>
      </w:r>
      <w:r w:rsidR="00E4647D" w:rsidRPr="00640626">
        <w:rPr>
          <w:lang w:val="fr-FR"/>
        </w:rPr>
        <w:t xml:space="preserve"> </w:t>
      </w:r>
      <w:r w:rsidR="006E4EC7" w:rsidRPr="00640626">
        <w:rPr>
          <w:lang w:val="fr-FR"/>
        </w:rPr>
        <w:t>de divers</w:t>
      </w:r>
      <w:r w:rsidR="00C6364A" w:rsidRPr="00640626">
        <w:rPr>
          <w:lang w:val="fr-FR"/>
        </w:rPr>
        <w:t xml:space="preserve"> types</w:t>
      </w:r>
      <w:r w:rsidR="00CB38B6" w:rsidRPr="00640626">
        <w:rPr>
          <w:lang w:val="fr-FR"/>
        </w:rPr>
        <w:t xml:space="preserve">. La promotion de l’emploi décent dans les </w:t>
      </w:r>
      <w:r w:rsidR="006E4EC7" w:rsidRPr="00640626">
        <w:rPr>
          <w:lang w:val="fr-FR"/>
        </w:rPr>
        <w:t>infrastructures et les pratiques</w:t>
      </w:r>
      <w:r w:rsidR="00CB38B6" w:rsidRPr="00640626">
        <w:rPr>
          <w:lang w:val="fr-FR"/>
        </w:rPr>
        <w:t xml:space="preserve"> aquacoles </w:t>
      </w:r>
      <w:r w:rsidR="00FD1872" w:rsidRPr="00640626">
        <w:rPr>
          <w:lang w:val="fr-FR"/>
        </w:rPr>
        <w:t>de même que</w:t>
      </w:r>
      <w:r w:rsidR="00CB38B6" w:rsidRPr="00640626">
        <w:rPr>
          <w:lang w:val="fr-FR"/>
        </w:rPr>
        <w:t xml:space="preserve"> </w:t>
      </w:r>
      <w:r w:rsidR="006E4EC7" w:rsidRPr="00640626">
        <w:rPr>
          <w:lang w:val="fr-FR"/>
        </w:rPr>
        <w:t xml:space="preserve">la mise en œuvre de l’Agenda pour le travail décent dans le secteur de l’aquaculture </w:t>
      </w:r>
      <w:r w:rsidR="00E4647D" w:rsidRPr="00640626">
        <w:rPr>
          <w:lang w:val="fr-FR"/>
        </w:rPr>
        <w:t>s’inscrivent dans les efforts menés dans de nombreuses zones rurales pour améliorer les moyens d’exi</w:t>
      </w:r>
      <w:r w:rsidR="00852FF7" w:rsidRPr="00640626">
        <w:rPr>
          <w:lang w:val="fr-FR"/>
        </w:rPr>
        <w:t>s</w:t>
      </w:r>
      <w:r w:rsidR="00E4647D" w:rsidRPr="00640626">
        <w:rPr>
          <w:lang w:val="fr-FR"/>
        </w:rPr>
        <w:t xml:space="preserve">tence et dynamiser le développement communautaire. L’Objectif stratégique 3 de la FAO sur la réduction de la pauvreté rurale </w:t>
      </w:r>
      <w:r w:rsidR="00C72662" w:rsidRPr="00640626">
        <w:rPr>
          <w:lang w:val="fr-FR"/>
        </w:rPr>
        <w:t>doit se traduire par</w:t>
      </w:r>
      <w:r w:rsidR="00E4647D" w:rsidRPr="00640626">
        <w:rPr>
          <w:lang w:val="fr-FR"/>
        </w:rPr>
        <w:t xml:space="preserve"> </w:t>
      </w:r>
      <w:r w:rsidR="00D47DFB" w:rsidRPr="00640626">
        <w:rPr>
          <w:lang w:val="fr-FR"/>
        </w:rPr>
        <w:t xml:space="preserve">des </w:t>
      </w:r>
      <w:r w:rsidR="00E4647D" w:rsidRPr="00640626">
        <w:rPr>
          <w:lang w:val="fr-FR"/>
        </w:rPr>
        <w:t xml:space="preserve">mesures visant à promouvoir l’emploi rural décent dans tous les </w:t>
      </w:r>
      <w:r w:rsidR="00C72662" w:rsidRPr="00640626">
        <w:rPr>
          <w:lang w:val="fr-FR"/>
        </w:rPr>
        <w:t xml:space="preserve">secteurs de l’alimentation et de l’agriculture. Certes, la FAO et ses </w:t>
      </w:r>
      <w:r w:rsidR="00BE22EB" w:rsidRPr="00640626">
        <w:rPr>
          <w:lang w:val="fr-FR"/>
        </w:rPr>
        <w:t>m</w:t>
      </w:r>
      <w:r w:rsidR="00C72662" w:rsidRPr="00640626">
        <w:rPr>
          <w:lang w:val="fr-FR"/>
        </w:rPr>
        <w:t xml:space="preserve">embres mènent d’ores et déjà des activités favorisant l’emploi décent dans les domaines des pêches et de l’aquaculture, mais ces efforts doivent s’intensifier, et bénéficier de moyens supplémentaires. </w:t>
      </w:r>
      <w:r w:rsidR="00D731B6" w:rsidRPr="00640626">
        <w:rPr>
          <w:lang w:val="fr-FR"/>
        </w:rPr>
        <w:t>La stratégie en faveur de la croissance bleue mise en place par la FAO a pour</w:t>
      </w:r>
      <w:r w:rsidR="00D47DFB" w:rsidRPr="00640626">
        <w:rPr>
          <w:lang w:val="fr-FR"/>
        </w:rPr>
        <w:t xml:space="preserve"> objectif d’appuyer ces efforts</w:t>
      </w:r>
      <w:r w:rsidR="00D731B6" w:rsidRPr="00640626">
        <w:rPr>
          <w:lang w:val="fr-FR"/>
        </w:rPr>
        <w:t xml:space="preserve"> en collaboration avec des partenaires comme l’OIT, les gouvernements membres et les </w:t>
      </w:r>
      <w:r w:rsidR="00852FF7" w:rsidRPr="00640626">
        <w:rPr>
          <w:lang w:val="fr-FR"/>
        </w:rPr>
        <w:t>organisations intéressées du secteur privé et de la société civile</w:t>
      </w:r>
      <w:r w:rsidR="00E72880" w:rsidRPr="00640626">
        <w:rPr>
          <w:lang w:val="fr-FR"/>
        </w:rPr>
        <w:t xml:space="preserve">. Le développement de l’aquaculture apparaîtra, pour la société et les consommateurs, comme une démarche plus soutenable et </w:t>
      </w:r>
      <w:r w:rsidR="00D47DFB" w:rsidRPr="00640626">
        <w:rPr>
          <w:lang w:val="fr-FR"/>
        </w:rPr>
        <w:t xml:space="preserve">plus </w:t>
      </w:r>
      <w:r w:rsidR="00E72880" w:rsidRPr="00640626">
        <w:rPr>
          <w:lang w:val="fr-FR"/>
        </w:rPr>
        <w:t xml:space="preserve">équitable </w:t>
      </w:r>
      <w:r w:rsidR="00BE22EB" w:rsidRPr="00640626">
        <w:rPr>
          <w:lang w:val="fr-FR"/>
        </w:rPr>
        <w:t>là</w:t>
      </w:r>
      <w:r w:rsidR="00E72880" w:rsidRPr="00640626">
        <w:rPr>
          <w:lang w:val="fr-FR"/>
        </w:rPr>
        <w:t xml:space="preserve"> où les stratégies nationales et régionales mises en place à cette fin privilégieront </w:t>
      </w:r>
      <w:r w:rsidR="00BE22EB" w:rsidRPr="00640626">
        <w:rPr>
          <w:lang w:val="fr-FR"/>
        </w:rPr>
        <w:t>l’emploi décent et les normes internationales du travail.</w:t>
      </w:r>
    </w:p>
    <w:p w:rsidR="001C3334" w:rsidRPr="00640626" w:rsidRDefault="001C3334" w:rsidP="001C3334">
      <w:pPr>
        <w:pStyle w:val="NewPara"/>
        <w:numPr>
          <w:ilvl w:val="0"/>
          <w:numId w:val="0"/>
        </w:numPr>
        <w:jc w:val="both"/>
        <w:rPr>
          <w:lang w:val="fr-FR"/>
        </w:rPr>
      </w:pPr>
    </w:p>
    <w:p w:rsidR="001C3334" w:rsidRPr="00640626" w:rsidRDefault="001C3334" w:rsidP="001C3334">
      <w:pPr>
        <w:pStyle w:val="NewPara"/>
        <w:jc w:val="both"/>
        <w:rPr>
          <w:lang w:val="fr-FR"/>
        </w:rPr>
      </w:pPr>
      <w:r w:rsidRPr="00640626">
        <w:rPr>
          <w:lang w:val="fr-FR"/>
        </w:rPr>
        <w:br w:type="page"/>
      </w:r>
    </w:p>
    <w:p w:rsidR="001C3334" w:rsidRPr="00640626" w:rsidRDefault="001C3334" w:rsidP="001C3334">
      <w:pPr>
        <w:pStyle w:val="Heading2"/>
        <w:numPr>
          <w:ilvl w:val="0"/>
          <w:numId w:val="0"/>
        </w:numPr>
        <w:jc w:val="left"/>
        <w:rPr>
          <w:lang w:val="fr-FR"/>
        </w:rPr>
      </w:pPr>
      <w:r w:rsidRPr="00640626">
        <w:rPr>
          <w:lang w:val="fr-FR"/>
        </w:rPr>
        <w:lastRenderedPageBreak/>
        <w:t>Annex</w:t>
      </w:r>
      <w:r w:rsidR="0033635F" w:rsidRPr="00640626">
        <w:rPr>
          <w:lang w:val="fr-FR"/>
        </w:rPr>
        <w:t>e</w:t>
      </w:r>
      <w:r w:rsidRPr="00640626">
        <w:rPr>
          <w:lang w:val="fr-FR"/>
        </w:rPr>
        <w:t xml:space="preserve"> I</w:t>
      </w:r>
    </w:p>
    <w:p w:rsidR="001C3334" w:rsidRPr="00640626" w:rsidRDefault="001C3334" w:rsidP="001C3334">
      <w:pPr>
        <w:rPr>
          <w:b/>
          <w:lang w:val="fr-FR"/>
        </w:rPr>
      </w:pPr>
      <w:r w:rsidRPr="00640626">
        <w:rPr>
          <w:b/>
          <w:lang w:val="fr-FR"/>
        </w:rPr>
        <w:t>Table</w:t>
      </w:r>
      <w:r w:rsidR="00E47B73" w:rsidRPr="00640626">
        <w:rPr>
          <w:b/>
          <w:lang w:val="fr-FR"/>
        </w:rPr>
        <w:t>au</w:t>
      </w:r>
      <w:r w:rsidRPr="00640626">
        <w:rPr>
          <w:b/>
          <w:lang w:val="fr-FR"/>
        </w:rPr>
        <w:t xml:space="preserve"> 1: </w:t>
      </w:r>
      <w:r w:rsidR="00E47B73" w:rsidRPr="00640626">
        <w:rPr>
          <w:b/>
          <w:lang w:val="fr-FR"/>
        </w:rPr>
        <w:t xml:space="preserve">principaux enjeux liés au travail décent dans le secteur de l’aquaculture et exemples </w:t>
      </w:r>
      <w:r w:rsidR="00FD1872" w:rsidRPr="00640626">
        <w:rPr>
          <w:b/>
          <w:lang w:val="fr-FR"/>
        </w:rPr>
        <w:t>d’actions possibles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64"/>
        <w:gridCol w:w="4799"/>
      </w:tblGrid>
      <w:tr w:rsidR="00BE22EB" w:rsidRPr="00640626" w:rsidTr="00672B89">
        <w:trPr>
          <w:trHeight w:val="332"/>
        </w:trPr>
        <w:tc>
          <w:tcPr>
            <w:tcW w:w="4219" w:type="dxa"/>
            <w:gridSpan w:val="2"/>
            <w:shd w:val="pct25" w:color="auto" w:fill="auto"/>
          </w:tcPr>
          <w:p w:rsidR="001C3334" w:rsidRPr="00640626" w:rsidRDefault="00E47B73" w:rsidP="00A4004C">
            <w:pPr>
              <w:rPr>
                <w:lang w:val="fr-FR"/>
              </w:rPr>
            </w:pPr>
            <w:r w:rsidRPr="00640626">
              <w:rPr>
                <w:lang w:val="fr-FR"/>
              </w:rPr>
              <w:t>Principaux enjeux</w:t>
            </w:r>
          </w:p>
        </w:tc>
        <w:tc>
          <w:tcPr>
            <w:tcW w:w="4799" w:type="dxa"/>
            <w:shd w:val="pct25" w:color="auto" w:fill="auto"/>
          </w:tcPr>
          <w:p w:rsidR="001C3334" w:rsidRPr="00640626" w:rsidRDefault="00E47B73" w:rsidP="00FD1872">
            <w:pPr>
              <w:rPr>
                <w:lang w:val="fr-FR"/>
              </w:rPr>
            </w:pPr>
            <w:r w:rsidRPr="00640626">
              <w:rPr>
                <w:lang w:val="fr-FR"/>
              </w:rPr>
              <w:t xml:space="preserve">Exemples </w:t>
            </w:r>
            <w:r w:rsidR="00FD1872" w:rsidRPr="00640626">
              <w:rPr>
                <w:lang w:val="fr-FR"/>
              </w:rPr>
              <w:t>d’actions possibles</w:t>
            </w:r>
          </w:p>
        </w:tc>
      </w:tr>
      <w:tr w:rsidR="00BE22EB" w:rsidRPr="00640626" w:rsidTr="00A4004C">
        <w:tc>
          <w:tcPr>
            <w:tcW w:w="9018" w:type="dxa"/>
            <w:gridSpan w:val="3"/>
            <w:shd w:val="pct15" w:color="auto" w:fill="auto"/>
          </w:tcPr>
          <w:p w:rsidR="001C3334" w:rsidRPr="00640626" w:rsidRDefault="00E47B73" w:rsidP="00E47B73">
            <w:pPr>
              <w:rPr>
                <w:lang w:val="fr-FR"/>
              </w:rPr>
            </w:pPr>
            <w:r w:rsidRPr="00640626">
              <w:rPr>
                <w:lang w:val="fr-FR"/>
              </w:rPr>
              <w:t xml:space="preserve">Volet 1 – </w:t>
            </w:r>
            <w:r w:rsidR="00450795" w:rsidRPr="00640626">
              <w:rPr>
                <w:lang w:val="fr-FR"/>
              </w:rPr>
              <w:t>Création d’emploi</w:t>
            </w:r>
            <w:r w:rsidRPr="00640626">
              <w:rPr>
                <w:lang w:val="fr-FR"/>
              </w:rPr>
              <w:t xml:space="preserve"> et développement de l’entreprise</w:t>
            </w:r>
          </w:p>
        </w:tc>
      </w:tr>
      <w:tr w:rsidR="00BE22EB" w:rsidRPr="00640626" w:rsidTr="00A4004C">
        <w:tc>
          <w:tcPr>
            <w:tcW w:w="9018" w:type="dxa"/>
            <w:gridSpan w:val="3"/>
            <w:shd w:val="pct5" w:color="auto" w:fill="auto"/>
          </w:tcPr>
          <w:p w:rsidR="001C3334" w:rsidRPr="00640626" w:rsidRDefault="00E47B73" w:rsidP="00A4004C">
            <w:pPr>
              <w:rPr>
                <w:lang w:val="fr-FR"/>
              </w:rPr>
            </w:pPr>
            <w:r w:rsidRPr="00640626">
              <w:rPr>
                <w:lang w:val="fr-FR"/>
              </w:rPr>
              <w:t>Faiblesse des revenus et productivité insuffisante</w:t>
            </w:r>
            <w:r w:rsidR="00FD1872" w:rsidRPr="00640626">
              <w:rPr>
                <w:lang w:val="fr-FR"/>
              </w:rPr>
              <w:t xml:space="preserve"> de la </w:t>
            </w:r>
            <w:r w:rsidR="006F28C9" w:rsidRPr="00640626">
              <w:rPr>
                <w:lang w:val="fr-FR"/>
              </w:rPr>
              <w:t>main-d’œuvre</w:t>
            </w:r>
          </w:p>
        </w:tc>
      </w:tr>
      <w:tr w:rsidR="00BE22EB" w:rsidRPr="00640626" w:rsidTr="00672B89">
        <w:trPr>
          <w:trHeight w:val="823"/>
        </w:trPr>
        <w:tc>
          <w:tcPr>
            <w:tcW w:w="4219" w:type="dxa"/>
            <w:gridSpan w:val="2"/>
          </w:tcPr>
          <w:p w:rsidR="001C3334" w:rsidRPr="00640626" w:rsidRDefault="00FD1872" w:rsidP="00FD1872">
            <w:pPr>
              <w:rPr>
                <w:lang w:val="fr-FR"/>
              </w:rPr>
            </w:pPr>
            <w:r w:rsidRPr="00640626">
              <w:rPr>
                <w:lang w:val="fr-FR"/>
              </w:rPr>
              <w:t xml:space="preserve">Emploi informel, </w:t>
            </w:r>
            <w:r w:rsidR="00E47B73" w:rsidRPr="00640626">
              <w:rPr>
                <w:lang w:val="fr-FR"/>
              </w:rPr>
              <w:t>sous-emploi et emploi saisonnier</w:t>
            </w:r>
            <w:r w:rsidRPr="00640626">
              <w:rPr>
                <w:lang w:val="fr-FR"/>
              </w:rPr>
              <w:t xml:space="preserve"> fréquents</w:t>
            </w:r>
          </w:p>
        </w:tc>
        <w:tc>
          <w:tcPr>
            <w:tcW w:w="4799" w:type="dxa"/>
          </w:tcPr>
          <w:p w:rsidR="001C3334" w:rsidRPr="00640626" w:rsidRDefault="00E47B73" w:rsidP="00A4004C">
            <w:pPr>
              <w:rPr>
                <w:lang w:val="fr-FR"/>
              </w:rPr>
            </w:pPr>
            <w:r w:rsidRPr="00640626">
              <w:rPr>
                <w:lang w:val="fr-FR"/>
              </w:rPr>
              <w:t>É</w:t>
            </w:r>
            <w:r w:rsidR="00FD1872" w:rsidRPr="00640626">
              <w:rPr>
                <w:lang w:val="fr-FR"/>
              </w:rPr>
              <w:t>tudes sur d</w:t>
            </w:r>
            <w:r w:rsidRPr="00640626">
              <w:rPr>
                <w:lang w:val="fr-FR"/>
              </w:rPr>
              <w:t>es formes d’aquaculture susceptibles de créer de nouvelles possibilités d’emploi et d’améliorer les conditions de travail</w:t>
            </w:r>
          </w:p>
        </w:tc>
      </w:tr>
      <w:tr w:rsidR="00BE22EB" w:rsidRPr="00640626" w:rsidTr="00672B89">
        <w:trPr>
          <w:trHeight w:val="844"/>
        </w:trPr>
        <w:tc>
          <w:tcPr>
            <w:tcW w:w="4219" w:type="dxa"/>
            <w:gridSpan w:val="2"/>
          </w:tcPr>
          <w:p w:rsidR="001C3334" w:rsidRPr="00640626" w:rsidRDefault="001741CF" w:rsidP="001741CF">
            <w:pPr>
              <w:rPr>
                <w:lang w:val="fr-FR"/>
              </w:rPr>
            </w:pPr>
            <w:r w:rsidRPr="00640626">
              <w:rPr>
                <w:lang w:val="fr-FR"/>
              </w:rPr>
              <w:t>Petites exploitations reposant sur le travail familial non rémunéré (femmes et enfants)</w:t>
            </w:r>
          </w:p>
        </w:tc>
        <w:tc>
          <w:tcPr>
            <w:tcW w:w="4799" w:type="dxa"/>
          </w:tcPr>
          <w:p w:rsidR="001C3334" w:rsidRPr="00640626" w:rsidRDefault="001741CF" w:rsidP="00FD1872">
            <w:pPr>
              <w:rPr>
                <w:lang w:val="fr-FR"/>
              </w:rPr>
            </w:pPr>
            <w:r w:rsidRPr="00640626">
              <w:rPr>
                <w:lang w:val="fr-FR"/>
              </w:rPr>
              <w:t xml:space="preserve">Soutien aux producteurs </w:t>
            </w:r>
            <w:r w:rsidR="00FD1872" w:rsidRPr="00640626">
              <w:rPr>
                <w:lang w:val="fr-FR"/>
              </w:rPr>
              <w:t xml:space="preserve">artisanaux </w:t>
            </w:r>
            <w:r w:rsidRPr="00640626">
              <w:rPr>
                <w:lang w:val="fr-FR"/>
              </w:rPr>
              <w:t xml:space="preserve">(y compris aux femmes et aux jeunes), pour leur permettre d’être parties prenantes à des chaînes de valeur modernes et </w:t>
            </w:r>
            <w:r w:rsidR="00FD1872" w:rsidRPr="00640626">
              <w:rPr>
                <w:lang w:val="fr-FR"/>
              </w:rPr>
              <w:t>durables</w:t>
            </w:r>
          </w:p>
        </w:tc>
      </w:tr>
      <w:tr w:rsidR="00BE22EB" w:rsidRPr="00640626" w:rsidTr="00672B89">
        <w:trPr>
          <w:trHeight w:val="894"/>
        </w:trPr>
        <w:tc>
          <w:tcPr>
            <w:tcW w:w="4219" w:type="dxa"/>
            <w:gridSpan w:val="2"/>
          </w:tcPr>
          <w:p w:rsidR="001C3334" w:rsidRPr="00640626" w:rsidRDefault="001741CF" w:rsidP="00A4004C">
            <w:pPr>
              <w:rPr>
                <w:lang w:val="fr-FR"/>
              </w:rPr>
            </w:pPr>
            <w:r w:rsidRPr="00640626">
              <w:rPr>
                <w:lang w:val="fr-FR"/>
              </w:rPr>
              <w:t xml:space="preserve">Emplois disponibles à la fois non productifs et </w:t>
            </w:r>
            <w:r w:rsidR="00FD1872" w:rsidRPr="00640626">
              <w:rPr>
                <w:lang w:val="fr-FR"/>
              </w:rPr>
              <w:t>non</w:t>
            </w:r>
            <w:r w:rsidRPr="00640626">
              <w:rPr>
                <w:lang w:val="fr-FR"/>
              </w:rPr>
              <w:t xml:space="preserve"> rémunérateurs</w:t>
            </w:r>
            <w:r w:rsidR="001C3334" w:rsidRPr="00640626">
              <w:rPr>
                <w:lang w:val="fr-FR"/>
              </w:rPr>
              <w:t xml:space="preserve"> </w:t>
            </w:r>
          </w:p>
          <w:p w:rsidR="001C3334" w:rsidRPr="00640626" w:rsidRDefault="001741CF" w:rsidP="00A4004C">
            <w:pPr>
              <w:rPr>
                <w:lang w:val="fr-FR"/>
              </w:rPr>
            </w:pPr>
            <w:r w:rsidRPr="00640626">
              <w:rPr>
                <w:lang w:val="fr-FR"/>
              </w:rPr>
              <w:t>Faibles revenus</w:t>
            </w:r>
          </w:p>
          <w:p w:rsidR="001C3334" w:rsidRPr="00640626" w:rsidRDefault="001741CF" w:rsidP="00A4004C">
            <w:pPr>
              <w:rPr>
                <w:lang w:val="fr-FR"/>
              </w:rPr>
            </w:pPr>
            <w:r w:rsidRPr="00640626">
              <w:rPr>
                <w:lang w:val="fr-FR"/>
              </w:rPr>
              <w:t>Travailleurs de la pêche = travailleurs pauvres</w:t>
            </w:r>
          </w:p>
        </w:tc>
        <w:tc>
          <w:tcPr>
            <w:tcW w:w="4799" w:type="dxa"/>
          </w:tcPr>
          <w:p w:rsidR="001C3334" w:rsidRPr="00640626" w:rsidRDefault="001741CF" w:rsidP="001741CF">
            <w:pPr>
              <w:rPr>
                <w:lang w:val="fr-FR"/>
              </w:rPr>
            </w:pPr>
            <w:r w:rsidRPr="00640626">
              <w:rPr>
                <w:lang w:val="fr-FR"/>
              </w:rPr>
              <w:t>Épauler les aquaculteurs dans la recherche des moyens indispensables au développement d’entreprises productives et rentables</w:t>
            </w:r>
          </w:p>
        </w:tc>
      </w:tr>
      <w:tr w:rsidR="00BE22EB" w:rsidRPr="00640626" w:rsidTr="00672B89">
        <w:trPr>
          <w:trHeight w:val="449"/>
        </w:trPr>
        <w:tc>
          <w:tcPr>
            <w:tcW w:w="4219" w:type="dxa"/>
            <w:gridSpan w:val="2"/>
          </w:tcPr>
          <w:p w:rsidR="001C3334" w:rsidRPr="00640626" w:rsidRDefault="00BA789A" w:rsidP="00A4004C">
            <w:pPr>
              <w:rPr>
                <w:lang w:val="fr-FR"/>
              </w:rPr>
            </w:pPr>
            <w:r w:rsidRPr="00640626">
              <w:rPr>
                <w:lang w:val="fr-FR"/>
              </w:rPr>
              <w:t>Accès limité aux terres et aux plans d’eau</w:t>
            </w:r>
            <w:r w:rsidR="001C3334" w:rsidRPr="00640626">
              <w:rPr>
                <w:lang w:val="fr-FR"/>
              </w:rPr>
              <w:t xml:space="preserve"> </w:t>
            </w:r>
          </w:p>
        </w:tc>
        <w:tc>
          <w:tcPr>
            <w:tcW w:w="4799" w:type="dxa"/>
          </w:tcPr>
          <w:p w:rsidR="001C3334" w:rsidRPr="00640626" w:rsidRDefault="00FD1872" w:rsidP="00BA789A">
            <w:pPr>
              <w:rPr>
                <w:lang w:val="fr-FR"/>
              </w:rPr>
            </w:pPr>
            <w:r w:rsidRPr="00640626">
              <w:rPr>
                <w:lang w:val="fr-FR"/>
              </w:rPr>
              <w:t>Œuvrer pour des d</w:t>
            </w:r>
            <w:r w:rsidR="00BA789A" w:rsidRPr="00640626">
              <w:rPr>
                <w:lang w:val="fr-FR"/>
              </w:rPr>
              <w:t>roits d’accès aux terres et aux plans d’eau plus équitables pour les femmes</w:t>
            </w:r>
          </w:p>
        </w:tc>
      </w:tr>
      <w:tr w:rsidR="00BE22EB" w:rsidRPr="00640626" w:rsidTr="00672B89">
        <w:trPr>
          <w:trHeight w:val="714"/>
        </w:trPr>
        <w:tc>
          <w:tcPr>
            <w:tcW w:w="4219" w:type="dxa"/>
            <w:gridSpan w:val="2"/>
          </w:tcPr>
          <w:p w:rsidR="001C3334" w:rsidRPr="00640626" w:rsidRDefault="00BA789A" w:rsidP="00A4004C">
            <w:pPr>
              <w:rPr>
                <w:lang w:val="fr-FR"/>
              </w:rPr>
            </w:pPr>
            <w:r w:rsidRPr="00640626">
              <w:rPr>
                <w:lang w:val="fr-FR"/>
              </w:rPr>
              <w:t>Accès limité aux marchés et aux informations relatives à ces derniers</w:t>
            </w:r>
            <w:r w:rsidR="001C3334" w:rsidRPr="00640626">
              <w:rPr>
                <w:lang w:val="fr-FR"/>
              </w:rPr>
              <w:t xml:space="preserve"> </w:t>
            </w:r>
          </w:p>
          <w:p w:rsidR="001C3334" w:rsidRPr="00640626" w:rsidRDefault="00BA789A" w:rsidP="00A4004C">
            <w:pPr>
              <w:rPr>
                <w:lang w:val="fr-FR"/>
              </w:rPr>
            </w:pPr>
            <w:r w:rsidRPr="00640626">
              <w:rPr>
                <w:lang w:val="fr-FR"/>
              </w:rPr>
              <w:t>Faible pouvoir de négociation</w:t>
            </w:r>
          </w:p>
        </w:tc>
        <w:tc>
          <w:tcPr>
            <w:tcW w:w="4799" w:type="dxa"/>
          </w:tcPr>
          <w:p w:rsidR="001C3334" w:rsidRPr="00640626" w:rsidRDefault="0011267F" w:rsidP="00A4004C">
            <w:pPr>
              <w:rPr>
                <w:lang w:val="fr-FR"/>
              </w:rPr>
            </w:pPr>
            <w:r w:rsidRPr="00640626">
              <w:rPr>
                <w:lang w:val="fr-FR"/>
              </w:rPr>
              <w:t>Aide au développement de petites et moyennes entreprises, accès à de meilleures pratiques de gestion et à des mécanismes de crédit plus porteurs</w:t>
            </w:r>
            <w:r w:rsidR="001C3334" w:rsidRPr="00640626">
              <w:rPr>
                <w:lang w:val="fr-FR"/>
              </w:rPr>
              <w:t xml:space="preserve">, </w:t>
            </w:r>
            <w:r w:rsidRPr="00640626">
              <w:rPr>
                <w:lang w:val="fr-FR"/>
              </w:rPr>
              <w:t>constitution d’</w:t>
            </w:r>
            <w:r w:rsidR="0070789B" w:rsidRPr="00640626">
              <w:rPr>
                <w:lang w:val="fr-FR"/>
              </w:rPr>
              <w:t>organisations de</w:t>
            </w:r>
            <w:r w:rsidRPr="00640626">
              <w:rPr>
                <w:lang w:val="fr-FR"/>
              </w:rPr>
              <w:t xml:space="preserve"> travailleurs du </w:t>
            </w:r>
            <w:r w:rsidR="00F55287" w:rsidRPr="00640626">
              <w:rPr>
                <w:lang w:val="fr-FR"/>
              </w:rPr>
              <w:t>secteur des pêches</w:t>
            </w:r>
            <w:r w:rsidRPr="00640626">
              <w:rPr>
                <w:lang w:val="fr-FR"/>
              </w:rPr>
              <w:t xml:space="preserve"> </w:t>
            </w:r>
            <w:r w:rsidR="0070789B" w:rsidRPr="00640626">
              <w:rPr>
                <w:lang w:val="fr-FR"/>
              </w:rPr>
              <w:t>et d’</w:t>
            </w:r>
            <w:r w:rsidRPr="00640626">
              <w:rPr>
                <w:lang w:val="fr-FR"/>
              </w:rPr>
              <w:t>aquaculteurs</w:t>
            </w:r>
          </w:p>
        </w:tc>
      </w:tr>
      <w:tr w:rsidR="00BE22EB" w:rsidRPr="00640626" w:rsidTr="00672B89">
        <w:trPr>
          <w:trHeight w:val="602"/>
        </w:trPr>
        <w:tc>
          <w:tcPr>
            <w:tcW w:w="4219" w:type="dxa"/>
            <w:gridSpan w:val="2"/>
          </w:tcPr>
          <w:p w:rsidR="001C3334" w:rsidRPr="00640626" w:rsidRDefault="0011267F" w:rsidP="0070789B">
            <w:pPr>
              <w:rPr>
                <w:lang w:val="fr-FR"/>
              </w:rPr>
            </w:pPr>
            <w:r w:rsidRPr="00640626">
              <w:rPr>
                <w:lang w:val="fr-FR"/>
              </w:rPr>
              <w:t xml:space="preserve">Manque de compétences, </w:t>
            </w:r>
            <w:r w:rsidR="0070789B" w:rsidRPr="00640626">
              <w:rPr>
                <w:lang w:val="fr-FR"/>
              </w:rPr>
              <w:t xml:space="preserve">de </w:t>
            </w:r>
            <w:r w:rsidRPr="00640626">
              <w:rPr>
                <w:lang w:val="fr-FR"/>
              </w:rPr>
              <w:t>services financiers, insuffisan</w:t>
            </w:r>
            <w:r w:rsidR="0070789B" w:rsidRPr="00640626">
              <w:rPr>
                <w:lang w:val="fr-FR"/>
              </w:rPr>
              <w:t>ce technologique</w:t>
            </w:r>
            <w:r w:rsidRPr="00640626">
              <w:rPr>
                <w:lang w:val="fr-FR"/>
              </w:rPr>
              <w:t>, absence d’infrastructures</w:t>
            </w:r>
          </w:p>
        </w:tc>
        <w:tc>
          <w:tcPr>
            <w:tcW w:w="4799" w:type="dxa"/>
          </w:tcPr>
          <w:p w:rsidR="001C3334" w:rsidRPr="00640626" w:rsidRDefault="0011267F" w:rsidP="0070789B">
            <w:pPr>
              <w:rPr>
                <w:lang w:val="fr-FR"/>
              </w:rPr>
            </w:pPr>
            <w:r w:rsidRPr="00640626">
              <w:rPr>
                <w:lang w:val="fr-FR"/>
              </w:rPr>
              <w:t>R</w:t>
            </w:r>
            <w:r w:rsidR="0070789B" w:rsidRPr="00640626">
              <w:rPr>
                <w:lang w:val="fr-FR"/>
              </w:rPr>
              <w:t xml:space="preserve">ôle accru pour les </w:t>
            </w:r>
            <w:r w:rsidRPr="00640626">
              <w:rPr>
                <w:lang w:val="fr-FR"/>
              </w:rPr>
              <w:t xml:space="preserve">services de vulgarisation et </w:t>
            </w:r>
            <w:r w:rsidR="0070789B" w:rsidRPr="00640626">
              <w:rPr>
                <w:lang w:val="fr-FR"/>
              </w:rPr>
              <w:t>formation professionnelle améliorée pour les aquaculteurs</w:t>
            </w:r>
            <w:r w:rsidRPr="00640626">
              <w:rPr>
                <w:lang w:val="fr-FR"/>
              </w:rPr>
              <w:t xml:space="preserve"> </w:t>
            </w:r>
          </w:p>
        </w:tc>
      </w:tr>
      <w:tr w:rsidR="00BE22EB" w:rsidRPr="00640626" w:rsidTr="00A4004C">
        <w:trPr>
          <w:trHeight w:val="323"/>
        </w:trPr>
        <w:tc>
          <w:tcPr>
            <w:tcW w:w="9018" w:type="dxa"/>
            <w:gridSpan w:val="3"/>
            <w:shd w:val="pct5" w:color="auto" w:fill="auto"/>
          </w:tcPr>
          <w:p w:rsidR="001C3334" w:rsidRPr="00640626" w:rsidRDefault="0011267F" w:rsidP="00A4004C">
            <w:pPr>
              <w:rPr>
                <w:lang w:val="fr-FR"/>
              </w:rPr>
            </w:pPr>
            <w:r w:rsidRPr="00640626">
              <w:rPr>
                <w:lang w:val="fr-FR"/>
              </w:rPr>
              <w:t>Lacunes en matière de données et de politiques générales</w:t>
            </w:r>
          </w:p>
        </w:tc>
      </w:tr>
      <w:tr w:rsidR="00BE22EB" w:rsidRPr="00640626" w:rsidTr="00672B89">
        <w:trPr>
          <w:trHeight w:val="566"/>
        </w:trPr>
        <w:tc>
          <w:tcPr>
            <w:tcW w:w="4219" w:type="dxa"/>
            <w:gridSpan w:val="2"/>
          </w:tcPr>
          <w:p w:rsidR="001C3334" w:rsidRPr="00640626" w:rsidRDefault="0011267F" w:rsidP="00C354FC">
            <w:pPr>
              <w:rPr>
                <w:lang w:val="fr-FR"/>
              </w:rPr>
            </w:pPr>
            <w:r w:rsidRPr="00640626">
              <w:rPr>
                <w:lang w:val="fr-FR"/>
              </w:rPr>
              <w:t xml:space="preserve">Visibilité limitée des aquaculteurs </w:t>
            </w:r>
            <w:r w:rsidR="006F28C9" w:rsidRPr="00640626">
              <w:rPr>
                <w:lang w:val="fr-FR"/>
              </w:rPr>
              <w:t>artisanaux</w:t>
            </w:r>
            <w:r w:rsidR="0070789B" w:rsidRPr="00640626">
              <w:rPr>
                <w:lang w:val="fr-FR"/>
              </w:rPr>
              <w:t xml:space="preserve"> </w:t>
            </w:r>
            <w:r w:rsidRPr="00640626">
              <w:rPr>
                <w:lang w:val="fr-FR"/>
              </w:rPr>
              <w:t>et des activités de subsistance</w:t>
            </w:r>
            <w:r w:rsidR="001C3334" w:rsidRPr="00640626">
              <w:rPr>
                <w:lang w:val="fr-FR"/>
              </w:rPr>
              <w:t xml:space="preserve">. </w:t>
            </w:r>
            <w:r w:rsidRPr="00640626">
              <w:rPr>
                <w:lang w:val="fr-FR"/>
              </w:rPr>
              <w:t xml:space="preserve">Les statistiques relatives à l’aquaculture ne </w:t>
            </w:r>
            <w:r w:rsidR="0070789B" w:rsidRPr="00640626">
              <w:rPr>
                <w:lang w:val="fr-FR"/>
              </w:rPr>
              <w:t xml:space="preserve">font pas ressortir l’importance de l’aquaculture </w:t>
            </w:r>
            <w:r w:rsidR="006F28C9" w:rsidRPr="00640626">
              <w:rPr>
                <w:lang w:val="fr-FR"/>
              </w:rPr>
              <w:t>artisanale</w:t>
            </w:r>
            <w:r w:rsidR="0070789B" w:rsidRPr="00640626">
              <w:rPr>
                <w:lang w:val="fr-FR"/>
              </w:rPr>
              <w:t xml:space="preserve"> et sa </w:t>
            </w:r>
            <w:r w:rsidRPr="00640626">
              <w:rPr>
                <w:lang w:val="fr-FR"/>
              </w:rPr>
              <w:t>contribution aux différentes étapes de la chaîne de valeur.</w:t>
            </w:r>
            <w:r w:rsidR="004E52B2" w:rsidRPr="00640626">
              <w:rPr>
                <w:lang w:val="fr-FR"/>
              </w:rPr>
              <w:t xml:space="preserve"> </w:t>
            </w:r>
            <w:r w:rsidRPr="00640626">
              <w:rPr>
                <w:lang w:val="fr-FR"/>
              </w:rPr>
              <w:t xml:space="preserve">Elles ne prennent pas en compte </w:t>
            </w:r>
            <w:r w:rsidR="0070789B" w:rsidRPr="00640626">
              <w:rPr>
                <w:lang w:val="fr-FR"/>
              </w:rPr>
              <w:t xml:space="preserve">les activités </w:t>
            </w:r>
            <w:r w:rsidRPr="00640626">
              <w:rPr>
                <w:lang w:val="fr-FR"/>
              </w:rPr>
              <w:t>de subsistance</w:t>
            </w:r>
            <w:r w:rsidR="0070789B" w:rsidRPr="00640626">
              <w:rPr>
                <w:lang w:val="fr-FR"/>
              </w:rPr>
              <w:t xml:space="preserve"> et </w:t>
            </w:r>
            <w:r w:rsidRPr="00640626">
              <w:rPr>
                <w:lang w:val="fr-FR"/>
              </w:rPr>
              <w:t>le rôle des femmes, des jeunes et des enfants dans ce secteur d’activité.</w:t>
            </w:r>
          </w:p>
        </w:tc>
        <w:tc>
          <w:tcPr>
            <w:tcW w:w="4799" w:type="dxa"/>
          </w:tcPr>
          <w:p w:rsidR="001C3334" w:rsidRPr="00640626" w:rsidRDefault="0011267F" w:rsidP="00A4004C">
            <w:pPr>
              <w:rPr>
                <w:lang w:val="fr-FR"/>
              </w:rPr>
            </w:pPr>
            <w:r w:rsidRPr="00640626">
              <w:rPr>
                <w:lang w:val="fr-FR"/>
              </w:rPr>
              <w:t xml:space="preserve">Présentation de données ventilées </w:t>
            </w:r>
            <w:r w:rsidR="00E70399" w:rsidRPr="00640626">
              <w:rPr>
                <w:lang w:val="fr-FR"/>
              </w:rPr>
              <w:t xml:space="preserve">permettant </w:t>
            </w:r>
            <w:r w:rsidRPr="00640626">
              <w:rPr>
                <w:lang w:val="fr-FR"/>
              </w:rPr>
              <w:t xml:space="preserve">de mieux saisir et faire comprendre l'importance de l’aquaculture, </w:t>
            </w:r>
            <w:r w:rsidR="0070789B" w:rsidRPr="00640626">
              <w:rPr>
                <w:lang w:val="fr-FR"/>
              </w:rPr>
              <w:t>y compris</w:t>
            </w:r>
            <w:r w:rsidR="00E70399" w:rsidRPr="00640626">
              <w:rPr>
                <w:lang w:val="fr-FR"/>
              </w:rPr>
              <w:t xml:space="preserve"> </w:t>
            </w:r>
            <w:r w:rsidR="0070789B" w:rsidRPr="00640626">
              <w:rPr>
                <w:lang w:val="fr-FR"/>
              </w:rPr>
              <w:t>en termes</w:t>
            </w:r>
            <w:r w:rsidR="00E70399" w:rsidRPr="00640626">
              <w:rPr>
                <w:lang w:val="fr-FR"/>
              </w:rPr>
              <w:t xml:space="preserve"> </w:t>
            </w:r>
            <w:r w:rsidRPr="00640626">
              <w:rPr>
                <w:lang w:val="fr-FR"/>
              </w:rPr>
              <w:t>so</w:t>
            </w:r>
            <w:r w:rsidR="00E70399" w:rsidRPr="00640626">
              <w:rPr>
                <w:lang w:val="fr-FR"/>
              </w:rPr>
              <w:t>cioéconomique</w:t>
            </w:r>
            <w:r w:rsidR="0070789B" w:rsidRPr="00640626">
              <w:rPr>
                <w:lang w:val="fr-FR"/>
              </w:rPr>
              <w:t>s</w:t>
            </w:r>
          </w:p>
          <w:p w:rsidR="001C3334" w:rsidRPr="00640626" w:rsidRDefault="001C3334" w:rsidP="00A4004C">
            <w:pPr>
              <w:rPr>
                <w:lang w:val="fr-FR"/>
              </w:rPr>
            </w:pPr>
          </w:p>
        </w:tc>
      </w:tr>
      <w:tr w:rsidR="00BE22EB" w:rsidRPr="00640626" w:rsidTr="00672B89">
        <w:trPr>
          <w:trHeight w:val="2025"/>
        </w:trPr>
        <w:tc>
          <w:tcPr>
            <w:tcW w:w="4219" w:type="dxa"/>
            <w:gridSpan w:val="2"/>
          </w:tcPr>
          <w:p w:rsidR="001C3334" w:rsidRPr="00640626" w:rsidRDefault="0070789B" w:rsidP="00E70399">
            <w:pPr>
              <w:rPr>
                <w:lang w:val="fr-FR"/>
              </w:rPr>
            </w:pPr>
            <w:r w:rsidRPr="00640626">
              <w:rPr>
                <w:lang w:val="fr-FR"/>
              </w:rPr>
              <w:lastRenderedPageBreak/>
              <w:t>Les politiques et plans de gestion touchant aux pêches et à l’aquaculture ne comportent pas encore d’objectifs largement acceptés en matière d’emploi et de travail décent.</w:t>
            </w:r>
          </w:p>
        </w:tc>
        <w:tc>
          <w:tcPr>
            <w:tcW w:w="4799" w:type="dxa"/>
          </w:tcPr>
          <w:p w:rsidR="001C3334" w:rsidRPr="00640626" w:rsidRDefault="0070789B" w:rsidP="00A4004C">
            <w:pPr>
              <w:rPr>
                <w:lang w:val="fr-FR"/>
              </w:rPr>
            </w:pPr>
            <w:r w:rsidRPr="00640626">
              <w:rPr>
                <w:lang w:val="fr-FR"/>
              </w:rPr>
              <w:t xml:space="preserve">Diffuser largement les données reflétant l’influence des </w:t>
            </w:r>
            <w:r w:rsidR="00E70399" w:rsidRPr="00640626">
              <w:rPr>
                <w:lang w:val="fr-FR"/>
              </w:rPr>
              <w:t>entreprises aquacoles sur l’emploi, la réduction de la pauvreté et le développement économique à l’échelon local et régional</w:t>
            </w:r>
          </w:p>
          <w:p w:rsidR="001C3334" w:rsidRPr="00640626" w:rsidRDefault="00E70399" w:rsidP="00A4004C">
            <w:pPr>
              <w:rPr>
                <w:lang w:val="fr-FR"/>
              </w:rPr>
            </w:pPr>
            <w:r w:rsidRPr="00640626">
              <w:rPr>
                <w:lang w:val="fr-FR"/>
              </w:rPr>
              <w:t xml:space="preserve">Associer les parties prenantes du monde du travail à la planification et circonscrire les problématiques </w:t>
            </w:r>
            <w:r w:rsidR="0070789B" w:rsidRPr="00640626">
              <w:rPr>
                <w:lang w:val="fr-FR"/>
              </w:rPr>
              <w:t xml:space="preserve">liées à l’emploi </w:t>
            </w:r>
            <w:r w:rsidRPr="00640626">
              <w:rPr>
                <w:lang w:val="fr-FR"/>
              </w:rPr>
              <w:t>dans le domaine de l’aquaculture</w:t>
            </w:r>
            <w:r w:rsidR="001C3334" w:rsidRPr="00640626">
              <w:rPr>
                <w:lang w:val="fr-FR"/>
              </w:rPr>
              <w:t xml:space="preserve"> </w:t>
            </w:r>
          </w:p>
          <w:p w:rsidR="001C3334" w:rsidRPr="00640626" w:rsidRDefault="0070789B" w:rsidP="0070789B">
            <w:pPr>
              <w:rPr>
                <w:lang w:val="fr-FR"/>
              </w:rPr>
            </w:pPr>
            <w:r w:rsidRPr="00640626">
              <w:rPr>
                <w:lang w:val="fr-FR"/>
              </w:rPr>
              <w:t xml:space="preserve">Faire en sorte que </w:t>
            </w:r>
            <w:r w:rsidR="00E70399" w:rsidRPr="00640626">
              <w:rPr>
                <w:lang w:val="fr-FR"/>
              </w:rPr>
              <w:t xml:space="preserve">les politiques relatives au secteur de l’aquaculture </w:t>
            </w:r>
            <w:r w:rsidRPr="00640626">
              <w:rPr>
                <w:lang w:val="fr-FR"/>
              </w:rPr>
              <w:t xml:space="preserve">intègrent </w:t>
            </w:r>
            <w:r w:rsidR="00E70399" w:rsidRPr="00640626">
              <w:rPr>
                <w:lang w:val="fr-FR"/>
              </w:rPr>
              <w:t xml:space="preserve">la </w:t>
            </w:r>
            <w:r w:rsidR="00450795" w:rsidRPr="00640626">
              <w:rPr>
                <w:lang w:val="fr-FR"/>
              </w:rPr>
              <w:t>création d’emploi</w:t>
            </w:r>
            <w:r w:rsidR="00E70399" w:rsidRPr="00640626">
              <w:rPr>
                <w:lang w:val="fr-FR"/>
              </w:rPr>
              <w:t xml:space="preserve"> et le développement de l’entreprise, et </w:t>
            </w:r>
            <w:r w:rsidRPr="00640626">
              <w:rPr>
                <w:lang w:val="fr-FR"/>
              </w:rPr>
              <w:t xml:space="preserve">veiller à une </w:t>
            </w:r>
            <w:r w:rsidR="00E70399" w:rsidRPr="00640626">
              <w:rPr>
                <w:lang w:val="fr-FR"/>
              </w:rPr>
              <w:t xml:space="preserve">prise en compte cohérente de ces aspects </w:t>
            </w:r>
            <w:r w:rsidRPr="00640626">
              <w:rPr>
                <w:lang w:val="fr-FR"/>
              </w:rPr>
              <w:t xml:space="preserve">lors </w:t>
            </w:r>
            <w:r w:rsidR="00E70399" w:rsidRPr="00640626">
              <w:rPr>
                <w:lang w:val="fr-FR"/>
              </w:rPr>
              <w:t>de l’élaboration des politiques intersectorielles (emploi, protection sociale, etc.)</w:t>
            </w:r>
          </w:p>
        </w:tc>
      </w:tr>
      <w:tr w:rsidR="00BE22EB" w:rsidRPr="00640626" w:rsidTr="00A4004C">
        <w:tc>
          <w:tcPr>
            <w:tcW w:w="9018" w:type="dxa"/>
            <w:gridSpan w:val="3"/>
            <w:shd w:val="pct5" w:color="auto" w:fill="auto"/>
          </w:tcPr>
          <w:p w:rsidR="001C3334" w:rsidRPr="00640626" w:rsidRDefault="00E70399" w:rsidP="006C2C6B">
            <w:pPr>
              <w:rPr>
                <w:lang w:val="fr-FR"/>
              </w:rPr>
            </w:pPr>
            <w:r w:rsidRPr="00640626">
              <w:rPr>
                <w:lang w:val="fr-FR"/>
              </w:rPr>
              <w:t xml:space="preserve">Menaces pesant sur les moyens </w:t>
            </w:r>
            <w:r w:rsidR="006C2C6B" w:rsidRPr="00640626">
              <w:rPr>
                <w:lang w:val="fr-FR"/>
              </w:rPr>
              <w:t>d’existence</w:t>
            </w:r>
            <w:r w:rsidRPr="00640626">
              <w:rPr>
                <w:lang w:val="fr-FR"/>
              </w:rPr>
              <w:t xml:space="preserve"> durables</w:t>
            </w:r>
          </w:p>
        </w:tc>
      </w:tr>
      <w:tr w:rsidR="00BE22EB" w:rsidRPr="00640626" w:rsidTr="00672B89">
        <w:trPr>
          <w:trHeight w:val="1924"/>
        </w:trPr>
        <w:tc>
          <w:tcPr>
            <w:tcW w:w="4219" w:type="dxa"/>
            <w:gridSpan w:val="2"/>
          </w:tcPr>
          <w:p w:rsidR="001C3334" w:rsidRPr="00640626" w:rsidRDefault="00E70399" w:rsidP="00A4004C">
            <w:pPr>
              <w:rPr>
                <w:lang w:val="fr-FR"/>
              </w:rPr>
            </w:pPr>
            <w:r w:rsidRPr="00640626">
              <w:rPr>
                <w:lang w:val="fr-FR"/>
              </w:rPr>
              <w:t>Pollution, détérioration de l’environnement, changement climatique, maladies et catastrophes naturelles ou causées par l'homme</w:t>
            </w:r>
          </w:p>
          <w:p w:rsidR="001C3334" w:rsidRPr="00640626" w:rsidRDefault="001C3334" w:rsidP="00A4004C">
            <w:pPr>
              <w:rPr>
                <w:lang w:val="fr-FR"/>
              </w:rPr>
            </w:pPr>
          </w:p>
          <w:p w:rsidR="001C3334" w:rsidRPr="00640626" w:rsidRDefault="001C3334" w:rsidP="00A4004C">
            <w:pPr>
              <w:rPr>
                <w:lang w:val="fr-FR"/>
              </w:rPr>
            </w:pPr>
          </w:p>
        </w:tc>
        <w:tc>
          <w:tcPr>
            <w:tcW w:w="4799" w:type="dxa"/>
          </w:tcPr>
          <w:p w:rsidR="001C3334" w:rsidRPr="00640626" w:rsidRDefault="00E70399" w:rsidP="00A4004C">
            <w:pPr>
              <w:rPr>
                <w:lang w:val="fr-FR"/>
              </w:rPr>
            </w:pPr>
            <w:r w:rsidRPr="00640626">
              <w:rPr>
                <w:lang w:val="fr-FR"/>
              </w:rPr>
              <w:t>Identifier les vulnérabilités et développer des mécanismes de résistance et d’adaptation aux risques extérieurs; développer une capacité de réaction</w:t>
            </w:r>
          </w:p>
          <w:p w:rsidR="001C3334" w:rsidRPr="00640626" w:rsidRDefault="00E70399" w:rsidP="00F55287">
            <w:pPr>
              <w:rPr>
                <w:lang w:val="fr-FR"/>
              </w:rPr>
            </w:pPr>
            <w:r w:rsidRPr="00640626">
              <w:rPr>
                <w:lang w:val="fr-FR"/>
              </w:rPr>
              <w:t xml:space="preserve">Mener une réflexion sur la diversification des moyens d’existence </w:t>
            </w:r>
            <w:r w:rsidR="00F55287" w:rsidRPr="00640626">
              <w:rPr>
                <w:lang w:val="fr-FR"/>
              </w:rPr>
              <w:t>(</w:t>
            </w:r>
            <w:r w:rsidRPr="00640626">
              <w:rPr>
                <w:lang w:val="fr-FR"/>
              </w:rPr>
              <w:t xml:space="preserve">activités </w:t>
            </w:r>
            <w:r w:rsidR="00F55287" w:rsidRPr="00640626">
              <w:rPr>
                <w:lang w:val="fr-FR"/>
              </w:rPr>
              <w:t xml:space="preserve">rémunératrices </w:t>
            </w:r>
            <w:r w:rsidRPr="00640626">
              <w:rPr>
                <w:lang w:val="fr-FR"/>
              </w:rPr>
              <w:t>complémentaires et de substitution</w:t>
            </w:r>
            <w:r w:rsidR="0070789B" w:rsidRPr="00640626">
              <w:rPr>
                <w:lang w:val="fr-FR"/>
              </w:rPr>
              <w:t>)</w:t>
            </w:r>
            <w:r w:rsidR="00F55287" w:rsidRPr="00640626">
              <w:rPr>
                <w:lang w:val="fr-FR"/>
              </w:rPr>
              <w:t xml:space="preserve"> de manière à accroître la résilience aux chocs</w:t>
            </w:r>
          </w:p>
        </w:tc>
      </w:tr>
      <w:tr w:rsidR="00BE22EB" w:rsidRPr="00640626" w:rsidTr="00672B89">
        <w:trPr>
          <w:trHeight w:val="1685"/>
        </w:trPr>
        <w:tc>
          <w:tcPr>
            <w:tcW w:w="4219" w:type="dxa"/>
            <w:gridSpan w:val="2"/>
          </w:tcPr>
          <w:p w:rsidR="001C3334" w:rsidRPr="00640626" w:rsidRDefault="00F55287" w:rsidP="00A4004C">
            <w:pPr>
              <w:rPr>
                <w:lang w:val="fr-FR"/>
              </w:rPr>
            </w:pPr>
            <w:r w:rsidRPr="00640626">
              <w:rPr>
                <w:lang w:val="fr-FR"/>
              </w:rPr>
              <w:t>Accès restreint des jeunes aux ressources indispensables à la gestion d’exploitations aquacoles viables (propriété des terres, seuil économique d’exploitation et accès aux investissements initiaux nécessaires)</w:t>
            </w:r>
          </w:p>
          <w:p w:rsidR="001C3334" w:rsidRPr="00640626" w:rsidRDefault="001C3334" w:rsidP="00A4004C">
            <w:pPr>
              <w:rPr>
                <w:lang w:val="fr-FR"/>
              </w:rPr>
            </w:pPr>
          </w:p>
        </w:tc>
        <w:tc>
          <w:tcPr>
            <w:tcW w:w="4799" w:type="dxa"/>
          </w:tcPr>
          <w:p w:rsidR="001C3334" w:rsidRPr="00640626" w:rsidRDefault="00F55287" w:rsidP="00A4004C">
            <w:pPr>
              <w:rPr>
                <w:lang w:val="fr-FR"/>
              </w:rPr>
            </w:pPr>
            <w:r w:rsidRPr="00640626">
              <w:rPr>
                <w:lang w:val="fr-FR"/>
              </w:rPr>
              <w:t>Ouvrir l’accès à des écoles et établissements d'enseig</w:t>
            </w:r>
            <w:r w:rsidR="00C6364A" w:rsidRPr="00640626">
              <w:rPr>
                <w:lang w:val="fr-FR"/>
              </w:rPr>
              <w:t xml:space="preserve">nement permettant aux jeunes d'obtenir plus facilement </w:t>
            </w:r>
            <w:r w:rsidRPr="00640626">
              <w:rPr>
                <w:lang w:val="fr-FR"/>
              </w:rPr>
              <w:t xml:space="preserve">des emplois </w:t>
            </w:r>
            <w:r w:rsidR="0070789B" w:rsidRPr="00640626">
              <w:rPr>
                <w:lang w:val="fr-FR"/>
              </w:rPr>
              <w:t>rémunérateurs</w:t>
            </w:r>
            <w:r w:rsidRPr="00640626">
              <w:rPr>
                <w:lang w:val="fr-FR"/>
              </w:rPr>
              <w:t xml:space="preserve"> et décents</w:t>
            </w:r>
          </w:p>
          <w:p w:rsidR="001C3334" w:rsidRPr="00640626" w:rsidRDefault="00F55287" w:rsidP="00F55287">
            <w:pPr>
              <w:rPr>
                <w:lang w:val="fr-FR"/>
              </w:rPr>
            </w:pPr>
            <w:r w:rsidRPr="00640626">
              <w:rPr>
                <w:lang w:val="fr-FR"/>
              </w:rPr>
              <w:t>Introduction de mécanismes facilitateurs aidant les jeunes à prendre pied dans des projets aquacoles (création de groupes de production et action collective, par exemple)</w:t>
            </w:r>
          </w:p>
        </w:tc>
      </w:tr>
      <w:tr w:rsidR="00BE22EB" w:rsidRPr="00640626" w:rsidTr="00672B89">
        <w:trPr>
          <w:trHeight w:val="1163"/>
        </w:trPr>
        <w:tc>
          <w:tcPr>
            <w:tcW w:w="4219" w:type="dxa"/>
            <w:gridSpan w:val="2"/>
          </w:tcPr>
          <w:p w:rsidR="001C3334" w:rsidRPr="00640626" w:rsidRDefault="00C354FC" w:rsidP="00C354FC">
            <w:pPr>
              <w:rPr>
                <w:lang w:val="fr-FR"/>
              </w:rPr>
            </w:pPr>
            <w:r w:rsidRPr="00640626">
              <w:rPr>
                <w:lang w:val="fr-FR"/>
              </w:rPr>
              <w:t>L’i</w:t>
            </w:r>
            <w:r w:rsidR="0070789B" w:rsidRPr="00640626">
              <w:rPr>
                <w:lang w:val="fr-FR"/>
              </w:rPr>
              <w:t>ntroduction de critères</w:t>
            </w:r>
            <w:r w:rsidR="00F55287" w:rsidRPr="00640626">
              <w:rPr>
                <w:lang w:val="fr-FR"/>
              </w:rPr>
              <w:t xml:space="preserve"> plus stricts en matière de sécurité alimentaire et de traçabilité ainsi que d’autres exigences à caractère non tarifaire peuvent limiter la participation des petits producteurs aux filières internationales</w:t>
            </w:r>
            <w:r w:rsidR="0070789B" w:rsidRPr="00640626">
              <w:rPr>
                <w:lang w:val="fr-FR"/>
              </w:rPr>
              <w:t>.</w:t>
            </w:r>
          </w:p>
        </w:tc>
        <w:tc>
          <w:tcPr>
            <w:tcW w:w="4799" w:type="dxa"/>
          </w:tcPr>
          <w:p w:rsidR="001C3334" w:rsidRPr="00640626" w:rsidRDefault="00F55287" w:rsidP="00A4004C">
            <w:pPr>
              <w:rPr>
                <w:lang w:val="fr-FR"/>
              </w:rPr>
            </w:pPr>
            <w:r w:rsidRPr="00640626">
              <w:rPr>
                <w:lang w:val="fr-FR"/>
              </w:rPr>
              <w:t>Organiser des formations sur les réglementations environnementales et la qualité des produits, et sur les exigences en vigueur dans le monde commercial</w:t>
            </w:r>
          </w:p>
          <w:p w:rsidR="001C3334" w:rsidRPr="00640626" w:rsidRDefault="001C3334" w:rsidP="00A4004C">
            <w:pPr>
              <w:rPr>
                <w:lang w:val="fr-FR"/>
              </w:rPr>
            </w:pPr>
          </w:p>
        </w:tc>
      </w:tr>
      <w:tr w:rsidR="00BE22EB" w:rsidRPr="00640626" w:rsidTr="00A4004C">
        <w:tc>
          <w:tcPr>
            <w:tcW w:w="9018" w:type="dxa"/>
            <w:gridSpan w:val="3"/>
            <w:shd w:val="pct15" w:color="auto" w:fill="auto"/>
          </w:tcPr>
          <w:p w:rsidR="001C3334" w:rsidRPr="00640626" w:rsidRDefault="00F55287" w:rsidP="003A0F4A">
            <w:pPr>
              <w:keepNext/>
              <w:keepLines/>
              <w:rPr>
                <w:lang w:val="fr-FR"/>
              </w:rPr>
            </w:pPr>
            <w:r w:rsidRPr="00640626">
              <w:rPr>
                <w:lang w:val="fr-FR"/>
              </w:rPr>
              <w:lastRenderedPageBreak/>
              <w:t>Volet 2 – Protection sociale</w:t>
            </w:r>
          </w:p>
        </w:tc>
      </w:tr>
      <w:tr w:rsidR="00BE22EB" w:rsidRPr="00640626" w:rsidTr="00A4004C">
        <w:tc>
          <w:tcPr>
            <w:tcW w:w="9018" w:type="dxa"/>
            <w:gridSpan w:val="3"/>
            <w:shd w:val="pct5" w:color="auto" w:fill="auto"/>
          </w:tcPr>
          <w:p w:rsidR="001C3334" w:rsidRPr="00640626" w:rsidRDefault="0070789B" w:rsidP="003A0F4A">
            <w:pPr>
              <w:keepNext/>
              <w:keepLines/>
              <w:rPr>
                <w:lang w:val="fr-FR"/>
              </w:rPr>
            </w:pPr>
            <w:r w:rsidRPr="00640626">
              <w:rPr>
                <w:lang w:val="fr-FR"/>
              </w:rPr>
              <w:t>Absence de protection sociale</w:t>
            </w:r>
          </w:p>
        </w:tc>
      </w:tr>
      <w:tr w:rsidR="00BE22EB" w:rsidRPr="00640626" w:rsidTr="00672B89">
        <w:trPr>
          <w:trHeight w:val="1416"/>
        </w:trPr>
        <w:tc>
          <w:tcPr>
            <w:tcW w:w="4219" w:type="dxa"/>
            <w:gridSpan w:val="2"/>
          </w:tcPr>
          <w:p w:rsidR="00AA6FDA" w:rsidRPr="00640626" w:rsidRDefault="00F55287" w:rsidP="003A0F4A">
            <w:pPr>
              <w:keepNext/>
              <w:keepLines/>
              <w:rPr>
                <w:color w:val="00B0F0"/>
                <w:lang w:val="fr-FR"/>
              </w:rPr>
            </w:pPr>
            <w:r w:rsidRPr="00640626">
              <w:rPr>
                <w:lang w:val="fr-FR"/>
              </w:rPr>
              <w:t xml:space="preserve">L’accès à la protection sociale </w:t>
            </w:r>
            <w:r w:rsidR="00C6364A" w:rsidRPr="00640626">
              <w:rPr>
                <w:lang w:val="fr-FR"/>
              </w:rPr>
              <w:t>est limité ou insuffisant pour</w:t>
            </w:r>
            <w:r w:rsidRPr="00640626">
              <w:rPr>
                <w:lang w:val="fr-FR"/>
              </w:rPr>
              <w:t xml:space="preserve"> les travailleurs du secteur des pêches</w:t>
            </w:r>
            <w:r w:rsidR="004E52B2" w:rsidRPr="00640626">
              <w:rPr>
                <w:lang w:val="fr-FR"/>
              </w:rPr>
              <w:t xml:space="preserve"> </w:t>
            </w:r>
            <w:r w:rsidR="00AA6FDA" w:rsidRPr="00640626">
              <w:rPr>
                <w:lang w:val="fr-FR"/>
              </w:rPr>
              <w:t>(par exemple, en c</w:t>
            </w:r>
            <w:r w:rsidR="0070789B" w:rsidRPr="00640626">
              <w:rPr>
                <w:lang w:val="fr-FR"/>
              </w:rPr>
              <w:t xml:space="preserve">as de maladie ou d’accident) ainsi que </w:t>
            </w:r>
            <w:r w:rsidR="00C6364A" w:rsidRPr="00640626">
              <w:rPr>
                <w:lang w:val="fr-FR"/>
              </w:rPr>
              <w:t xml:space="preserve">pour </w:t>
            </w:r>
            <w:r w:rsidR="00C354FC" w:rsidRPr="00640626">
              <w:rPr>
                <w:lang w:val="fr-FR"/>
              </w:rPr>
              <w:t>leur famille ou leur communauté</w:t>
            </w:r>
          </w:p>
          <w:p w:rsidR="001C3334" w:rsidRPr="00640626" w:rsidRDefault="00AA6FDA" w:rsidP="003A0F4A">
            <w:pPr>
              <w:keepNext/>
              <w:keepLines/>
              <w:rPr>
                <w:lang w:val="fr-FR"/>
              </w:rPr>
            </w:pPr>
            <w:r w:rsidRPr="00640626">
              <w:rPr>
                <w:lang w:val="fr-FR"/>
              </w:rPr>
              <w:t xml:space="preserve">L’absence de prestations médicales et de sécurité sociale (y compris </w:t>
            </w:r>
            <w:r w:rsidR="0070789B" w:rsidRPr="00640626">
              <w:rPr>
                <w:lang w:val="fr-FR"/>
              </w:rPr>
              <w:t xml:space="preserve">de prestations de </w:t>
            </w:r>
            <w:r w:rsidRPr="00640626">
              <w:rPr>
                <w:lang w:val="fr-FR"/>
              </w:rPr>
              <w:t xml:space="preserve">maternité et </w:t>
            </w:r>
            <w:r w:rsidR="0070789B" w:rsidRPr="00640626">
              <w:rPr>
                <w:lang w:val="fr-FR"/>
              </w:rPr>
              <w:t>d’</w:t>
            </w:r>
            <w:r w:rsidRPr="00640626">
              <w:rPr>
                <w:lang w:val="fr-FR"/>
              </w:rPr>
              <w:t xml:space="preserve">assurance) peut </w:t>
            </w:r>
            <w:r w:rsidR="0070789B" w:rsidRPr="00640626">
              <w:rPr>
                <w:lang w:val="fr-FR"/>
              </w:rPr>
              <w:t xml:space="preserve">avoir des répercussions sur la </w:t>
            </w:r>
            <w:r w:rsidRPr="00640626">
              <w:rPr>
                <w:lang w:val="fr-FR"/>
              </w:rPr>
              <w:t xml:space="preserve">production </w:t>
            </w:r>
            <w:r w:rsidR="0070789B" w:rsidRPr="00640626">
              <w:rPr>
                <w:lang w:val="fr-FR"/>
              </w:rPr>
              <w:t xml:space="preserve">halieutique </w:t>
            </w:r>
            <w:r w:rsidRPr="00640626">
              <w:rPr>
                <w:lang w:val="fr-FR"/>
              </w:rPr>
              <w:t>et accentuer la vulnérabilité.</w:t>
            </w:r>
          </w:p>
          <w:p w:rsidR="001C3334" w:rsidRPr="00640626" w:rsidRDefault="00AA6FDA" w:rsidP="003A0F4A">
            <w:pPr>
              <w:keepNext/>
              <w:keepLines/>
              <w:rPr>
                <w:color w:val="00B0F0"/>
                <w:lang w:val="fr-FR"/>
              </w:rPr>
            </w:pPr>
            <w:r w:rsidRPr="00640626">
              <w:rPr>
                <w:lang w:val="fr-FR"/>
              </w:rPr>
              <w:t>Les exploitations aquacoles de moyenne et de grande taille employant du personnel salarié pourront parfois prendre en charge des prestations sociale</w:t>
            </w:r>
            <w:r w:rsidR="005938A5" w:rsidRPr="00640626">
              <w:rPr>
                <w:lang w:val="fr-FR"/>
              </w:rPr>
              <w:t>s supplémentaires (soins de santé et système d’assurance, par exemple).</w:t>
            </w:r>
            <w:r w:rsidR="004E52B2" w:rsidRPr="00640626">
              <w:rPr>
                <w:lang w:val="fr-FR"/>
              </w:rPr>
              <w:t xml:space="preserve"> </w:t>
            </w:r>
            <w:r w:rsidRPr="00640626">
              <w:rPr>
                <w:lang w:val="fr-FR"/>
              </w:rPr>
              <w:t xml:space="preserve"> </w:t>
            </w:r>
          </w:p>
        </w:tc>
        <w:tc>
          <w:tcPr>
            <w:tcW w:w="4799" w:type="dxa"/>
          </w:tcPr>
          <w:p w:rsidR="001C3334" w:rsidRPr="00640626" w:rsidRDefault="00AA6FDA" w:rsidP="003A0F4A">
            <w:pPr>
              <w:keepNext/>
              <w:keepLines/>
              <w:rPr>
                <w:color w:val="00B0F0"/>
                <w:lang w:val="fr-FR"/>
              </w:rPr>
            </w:pPr>
            <w:r w:rsidRPr="00640626">
              <w:rPr>
                <w:lang w:val="fr-FR"/>
              </w:rPr>
              <w:t>Instaurer</w:t>
            </w:r>
            <w:r w:rsidR="004E52B2" w:rsidRPr="00640626">
              <w:rPr>
                <w:lang w:val="fr-FR"/>
              </w:rPr>
              <w:t xml:space="preserve"> </w:t>
            </w:r>
            <w:r w:rsidRPr="00640626">
              <w:rPr>
                <w:lang w:val="fr-FR"/>
              </w:rPr>
              <w:t>des mesures de protection sociale pour tous, indépendamment de la situation en matière d’emploi, et élargir les systèmes de protection sociale aux travailleurs informels du secteur des pêches au travers, par exemple, de programmes de sécurité sociale non contributifs (</w:t>
            </w:r>
            <w:r w:rsidR="0070789B" w:rsidRPr="00640626">
              <w:rPr>
                <w:lang w:val="fr-FR"/>
              </w:rPr>
              <w:t xml:space="preserve">prestations de retraite, de maladie, de maternité, d’invalidité et </w:t>
            </w:r>
            <w:r w:rsidRPr="00640626">
              <w:rPr>
                <w:lang w:val="fr-FR"/>
              </w:rPr>
              <w:t>indemnités en cas d’accident du travail)</w:t>
            </w:r>
          </w:p>
          <w:p w:rsidR="001C3334" w:rsidRPr="00640626" w:rsidRDefault="00AA6FDA" w:rsidP="003A0F4A">
            <w:pPr>
              <w:keepNext/>
              <w:keepLines/>
              <w:rPr>
                <w:lang w:val="fr-FR"/>
              </w:rPr>
            </w:pPr>
            <w:r w:rsidRPr="00640626">
              <w:rPr>
                <w:lang w:val="fr-FR"/>
              </w:rPr>
              <w:t>Fournir un soutien aux communautés défavorisées de travailleurs du secteur des pêches (aides aux revenus, accès aux produits alimentaires, assurance chômage) afin de les aider à gérer le</w:t>
            </w:r>
            <w:r w:rsidR="00C02019" w:rsidRPr="00640626">
              <w:rPr>
                <w:lang w:val="fr-FR"/>
              </w:rPr>
              <w:t>s</w:t>
            </w:r>
            <w:r w:rsidRPr="00640626">
              <w:rPr>
                <w:lang w:val="fr-FR"/>
              </w:rPr>
              <w:t xml:space="preserve"> risque</w:t>
            </w:r>
            <w:r w:rsidR="00C02019" w:rsidRPr="00640626">
              <w:rPr>
                <w:lang w:val="fr-FR"/>
              </w:rPr>
              <w:t>s</w:t>
            </w:r>
            <w:r w:rsidRPr="00640626">
              <w:rPr>
                <w:lang w:val="fr-FR"/>
              </w:rPr>
              <w:t xml:space="preserve"> et à surmont</w:t>
            </w:r>
            <w:r w:rsidR="00C6364A" w:rsidRPr="00640626">
              <w:rPr>
                <w:lang w:val="fr-FR"/>
              </w:rPr>
              <w:t>er les contraintes immédiates, de</w:t>
            </w:r>
            <w:r w:rsidRPr="00640626">
              <w:rPr>
                <w:lang w:val="fr-FR"/>
              </w:rPr>
              <w:t xml:space="preserve"> stimuler leur productivité et </w:t>
            </w:r>
            <w:r w:rsidR="00C6364A" w:rsidRPr="00640626">
              <w:rPr>
                <w:lang w:val="fr-FR"/>
              </w:rPr>
              <w:t xml:space="preserve">de </w:t>
            </w:r>
            <w:r w:rsidRPr="00640626">
              <w:rPr>
                <w:lang w:val="fr-FR"/>
              </w:rPr>
              <w:t>renforcer leur capacité de résistance aux chocs </w:t>
            </w:r>
          </w:p>
          <w:p w:rsidR="001C3334" w:rsidRPr="00640626" w:rsidRDefault="005938A5" w:rsidP="003A0F4A">
            <w:pPr>
              <w:keepNext/>
              <w:keepLines/>
              <w:rPr>
                <w:lang w:val="fr-FR"/>
              </w:rPr>
            </w:pPr>
            <w:r w:rsidRPr="00640626">
              <w:rPr>
                <w:lang w:val="fr-FR"/>
              </w:rPr>
              <w:t>Faire en sorte que les travailleurs et leurs familles bénéficient de soins de santé primaires et d’une éducation de base (maintien des enfants à l’école, par exemple) </w:t>
            </w:r>
          </w:p>
        </w:tc>
      </w:tr>
      <w:tr w:rsidR="00BE22EB" w:rsidRPr="00640626" w:rsidTr="00A4004C">
        <w:tc>
          <w:tcPr>
            <w:tcW w:w="9018" w:type="dxa"/>
            <w:gridSpan w:val="3"/>
            <w:shd w:val="pct5" w:color="auto" w:fill="auto"/>
          </w:tcPr>
          <w:p w:rsidR="001C3334" w:rsidRPr="00640626" w:rsidRDefault="0075140E" w:rsidP="00A4004C">
            <w:pPr>
              <w:rPr>
                <w:lang w:val="fr-FR"/>
              </w:rPr>
            </w:pPr>
            <w:r w:rsidRPr="00640626">
              <w:rPr>
                <w:lang w:val="fr-FR"/>
              </w:rPr>
              <w:t>Dangerosité de l’emploi</w:t>
            </w:r>
          </w:p>
        </w:tc>
      </w:tr>
      <w:tr w:rsidR="00BE22EB" w:rsidRPr="00640626" w:rsidTr="00672B89">
        <w:trPr>
          <w:trHeight w:val="3815"/>
        </w:trPr>
        <w:tc>
          <w:tcPr>
            <w:tcW w:w="4219" w:type="dxa"/>
            <w:gridSpan w:val="2"/>
          </w:tcPr>
          <w:p w:rsidR="001C3334" w:rsidRPr="00640626" w:rsidRDefault="0075140E" w:rsidP="00672B89">
            <w:pPr>
              <w:rPr>
                <w:lang w:val="fr-FR"/>
              </w:rPr>
            </w:pPr>
            <w:r w:rsidRPr="00640626">
              <w:rPr>
                <w:lang w:val="fr-FR"/>
              </w:rPr>
              <w:t xml:space="preserve">Problèmes de sécurité et de santé au travail (SST) </w:t>
            </w:r>
            <w:r w:rsidR="00C02019" w:rsidRPr="00640626">
              <w:rPr>
                <w:lang w:val="fr-FR"/>
              </w:rPr>
              <w:t>variant</w:t>
            </w:r>
            <w:r w:rsidRPr="00640626">
              <w:rPr>
                <w:lang w:val="fr-FR"/>
              </w:rPr>
              <w:t xml:space="preserve"> suivant le type d’activité et les circonstances </w:t>
            </w:r>
          </w:p>
          <w:p w:rsidR="001C3334" w:rsidRPr="00640626" w:rsidRDefault="0075140E" w:rsidP="00672B89">
            <w:pPr>
              <w:rPr>
                <w:lang w:val="fr-FR"/>
              </w:rPr>
            </w:pPr>
            <w:r w:rsidRPr="00640626">
              <w:rPr>
                <w:lang w:val="fr-FR"/>
              </w:rPr>
              <w:t xml:space="preserve">Des situations dangereuses peuvent se présenter dans les écloseries, les infrastructures d’alevinage et les installations de production d’aliments ou au cours </w:t>
            </w:r>
            <w:r w:rsidR="00C82D9F" w:rsidRPr="00640626">
              <w:rPr>
                <w:lang w:val="fr-FR"/>
              </w:rPr>
              <w:t xml:space="preserve">des </w:t>
            </w:r>
            <w:r w:rsidRPr="00640626">
              <w:rPr>
                <w:lang w:val="fr-FR"/>
              </w:rPr>
              <w:t>prélèvements à des fins de reproduction (blessures, glissades/chutes, coupures, immersion/plongée, parasites/agents pathogènes, brûlures, irritations, allergies, inhalation, manutention du poisson). Elles seront fonction des équipements, des agents chimiques et des agents biologiques utilisés, ainsi que de la taille de l’exploitation et de l’environnement physique.</w:t>
            </w:r>
          </w:p>
        </w:tc>
        <w:tc>
          <w:tcPr>
            <w:tcW w:w="4799" w:type="dxa"/>
          </w:tcPr>
          <w:p w:rsidR="001C3334" w:rsidRPr="00640626" w:rsidRDefault="0075140E" w:rsidP="00672B89">
            <w:pPr>
              <w:rPr>
                <w:lang w:val="fr-FR"/>
              </w:rPr>
            </w:pPr>
            <w:r w:rsidRPr="00640626">
              <w:rPr>
                <w:lang w:val="fr-FR"/>
              </w:rPr>
              <w:t xml:space="preserve">Évaluations des risques sur le lieu de travail, de manière à recenser les dangers (pour les différents groupes d’âge/de sexe) et à identifier les mesures </w:t>
            </w:r>
            <w:r w:rsidR="00C6364A" w:rsidRPr="00640626">
              <w:rPr>
                <w:lang w:val="fr-FR"/>
              </w:rPr>
              <w:t>à prendre</w:t>
            </w:r>
            <w:r w:rsidRPr="00640626">
              <w:rPr>
                <w:lang w:val="fr-FR"/>
              </w:rPr>
              <w:t xml:space="preserve"> en matière de santé et d’hygiène</w:t>
            </w:r>
          </w:p>
          <w:p w:rsidR="001C3334" w:rsidRPr="00640626" w:rsidRDefault="0075140E" w:rsidP="00672B89">
            <w:pPr>
              <w:rPr>
                <w:lang w:val="fr-FR"/>
              </w:rPr>
            </w:pPr>
            <w:r w:rsidRPr="00640626">
              <w:rPr>
                <w:lang w:val="fr-FR"/>
              </w:rPr>
              <w:t>Documenter les conditions de travail et les paramètres SST</w:t>
            </w:r>
          </w:p>
          <w:p w:rsidR="001C3334" w:rsidRPr="00640626" w:rsidRDefault="0075140E" w:rsidP="00672B89">
            <w:pPr>
              <w:rPr>
                <w:lang w:val="fr-FR"/>
              </w:rPr>
            </w:pPr>
            <w:r w:rsidRPr="00640626">
              <w:rPr>
                <w:lang w:val="fr-FR"/>
              </w:rPr>
              <w:t xml:space="preserve">Faire le point sur les règlements et définitions SST en aquaculture, établir des listes des travaux dangereux, </w:t>
            </w:r>
            <w:r w:rsidR="00C02019" w:rsidRPr="00640626">
              <w:rPr>
                <w:lang w:val="fr-FR"/>
              </w:rPr>
              <w:t xml:space="preserve">et </w:t>
            </w:r>
            <w:r w:rsidRPr="00640626">
              <w:rPr>
                <w:lang w:val="fr-FR"/>
              </w:rPr>
              <w:t xml:space="preserve">introduire de meilleures pratiques de gestion notamment pour ce qui concerne la formation </w:t>
            </w:r>
            <w:r w:rsidR="005C2E50" w:rsidRPr="00640626">
              <w:rPr>
                <w:lang w:val="fr-FR"/>
              </w:rPr>
              <w:t>adéquate</w:t>
            </w:r>
            <w:r w:rsidRPr="00640626">
              <w:rPr>
                <w:lang w:val="fr-FR"/>
              </w:rPr>
              <w:t xml:space="preserve"> des travailleurs du secteur des pêches en matière de SST</w:t>
            </w:r>
            <w:r w:rsidR="001C3334" w:rsidRPr="00640626">
              <w:rPr>
                <w:lang w:val="fr-FR"/>
              </w:rPr>
              <w:t xml:space="preserve"> </w:t>
            </w:r>
          </w:p>
          <w:p w:rsidR="001C3334" w:rsidRPr="00640626" w:rsidRDefault="005C2E50" w:rsidP="00672B89">
            <w:pPr>
              <w:rPr>
                <w:lang w:val="fr-FR"/>
              </w:rPr>
            </w:pPr>
            <w:r w:rsidRPr="00640626">
              <w:rPr>
                <w:lang w:val="fr-FR"/>
              </w:rPr>
              <w:t>Introduire des technologies plus sûres</w:t>
            </w:r>
          </w:p>
          <w:p w:rsidR="001C3334" w:rsidRPr="00640626" w:rsidRDefault="005C2E50" w:rsidP="00672B89">
            <w:pPr>
              <w:rPr>
                <w:lang w:val="fr-FR"/>
              </w:rPr>
            </w:pPr>
            <w:r w:rsidRPr="00640626">
              <w:rPr>
                <w:lang w:val="fr-FR"/>
              </w:rPr>
              <w:t>Promouvoir des mesures sanitaires préventives comme le port d’équipements individuels de protection</w:t>
            </w:r>
          </w:p>
        </w:tc>
      </w:tr>
      <w:tr w:rsidR="00BE22EB" w:rsidRPr="00640626" w:rsidTr="00A4004C">
        <w:tc>
          <w:tcPr>
            <w:tcW w:w="9018" w:type="dxa"/>
            <w:gridSpan w:val="3"/>
            <w:shd w:val="pct15" w:color="auto" w:fill="auto"/>
          </w:tcPr>
          <w:p w:rsidR="001C3334" w:rsidRPr="00640626" w:rsidRDefault="005C2E50" w:rsidP="003A0F4A">
            <w:pPr>
              <w:keepNext/>
              <w:keepLines/>
              <w:rPr>
                <w:lang w:val="fr-FR"/>
              </w:rPr>
            </w:pPr>
            <w:r w:rsidRPr="00640626">
              <w:rPr>
                <w:lang w:val="fr-FR"/>
              </w:rPr>
              <w:lastRenderedPageBreak/>
              <w:t>Volet 3 – Normes et droits au travail</w:t>
            </w:r>
          </w:p>
        </w:tc>
      </w:tr>
      <w:tr w:rsidR="00BE22EB" w:rsidRPr="00640626" w:rsidTr="00A4004C">
        <w:tc>
          <w:tcPr>
            <w:tcW w:w="9018" w:type="dxa"/>
            <w:gridSpan w:val="3"/>
            <w:shd w:val="pct5" w:color="auto" w:fill="auto"/>
          </w:tcPr>
          <w:p w:rsidR="001C3334" w:rsidRPr="00640626" w:rsidRDefault="005C2E50" w:rsidP="003A0F4A">
            <w:pPr>
              <w:keepNext/>
              <w:keepLines/>
              <w:rPr>
                <w:lang w:val="fr-FR"/>
              </w:rPr>
            </w:pPr>
            <w:r w:rsidRPr="00640626">
              <w:rPr>
                <w:lang w:val="fr-FR"/>
              </w:rPr>
              <w:t>Réglementations du travail inefficaces</w:t>
            </w:r>
          </w:p>
        </w:tc>
      </w:tr>
      <w:tr w:rsidR="00BE22EB" w:rsidRPr="00640626" w:rsidTr="00672B89">
        <w:trPr>
          <w:trHeight w:val="496"/>
        </w:trPr>
        <w:tc>
          <w:tcPr>
            <w:tcW w:w="4219" w:type="dxa"/>
            <w:gridSpan w:val="2"/>
          </w:tcPr>
          <w:p w:rsidR="001C3334" w:rsidRPr="00640626" w:rsidRDefault="005C2E50" w:rsidP="003A0F4A">
            <w:pPr>
              <w:keepNext/>
              <w:keepLines/>
              <w:rPr>
                <w:lang w:val="fr-FR"/>
              </w:rPr>
            </w:pPr>
            <w:r w:rsidRPr="00640626">
              <w:rPr>
                <w:lang w:val="fr-FR"/>
              </w:rPr>
              <w:t xml:space="preserve">L’aquaculture est souvent sous-réglementée </w:t>
            </w:r>
            <w:r w:rsidR="003142D6" w:rsidRPr="00640626">
              <w:rPr>
                <w:lang w:val="fr-FR"/>
              </w:rPr>
              <w:t>car régie par des</w:t>
            </w:r>
            <w:r w:rsidRPr="00640626">
              <w:rPr>
                <w:lang w:val="fr-FR"/>
              </w:rPr>
              <w:t xml:space="preserve"> </w:t>
            </w:r>
            <w:r w:rsidR="001724A3" w:rsidRPr="00640626">
              <w:rPr>
                <w:lang w:val="fr-FR"/>
              </w:rPr>
              <w:t xml:space="preserve">législations </w:t>
            </w:r>
            <w:r w:rsidR="003142D6" w:rsidRPr="00640626">
              <w:rPr>
                <w:lang w:val="fr-FR"/>
              </w:rPr>
              <w:t xml:space="preserve">du travail </w:t>
            </w:r>
            <w:r w:rsidR="001724A3" w:rsidRPr="00640626">
              <w:rPr>
                <w:lang w:val="fr-FR"/>
              </w:rPr>
              <w:t xml:space="preserve">ne prévoyant pas de </w:t>
            </w:r>
            <w:r w:rsidRPr="00640626">
              <w:rPr>
                <w:lang w:val="fr-FR"/>
              </w:rPr>
              <w:t xml:space="preserve">couverture sociale, de protection et </w:t>
            </w:r>
            <w:r w:rsidR="001724A3" w:rsidRPr="00640626">
              <w:rPr>
                <w:lang w:val="fr-FR"/>
              </w:rPr>
              <w:t>d’</w:t>
            </w:r>
            <w:r w:rsidRPr="00640626">
              <w:rPr>
                <w:lang w:val="fr-FR"/>
              </w:rPr>
              <w:t>inspections</w:t>
            </w:r>
            <w:r w:rsidR="001724A3" w:rsidRPr="00640626">
              <w:rPr>
                <w:lang w:val="fr-FR"/>
              </w:rPr>
              <w:t xml:space="preserve"> pour les travailleurs aquacoles</w:t>
            </w:r>
            <w:r w:rsidRPr="00640626">
              <w:rPr>
                <w:lang w:val="fr-FR"/>
              </w:rPr>
              <w:t>.</w:t>
            </w:r>
          </w:p>
          <w:p w:rsidR="001C3334" w:rsidRPr="00640626" w:rsidRDefault="005C2E50" w:rsidP="003A0F4A">
            <w:pPr>
              <w:keepNext/>
              <w:keepLines/>
              <w:rPr>
                <w:lang w:val="fr-FR"/>
              </w:rPr>
            </w:pPr>
            <w:r w:rsidRPr="00640626">
              <w:rPr>
                <w:lang w:val="fr-FR"/>
              </w:rPr>
              <w:t>L</w:t>
            </w:r>
            <w:r w:rsidR="00C02019" w:rsidRPr="00640626">
              <w:rPr>
                <w:lang w:val="fr-FR"/>
              </w:rPr>
              <w:t>es travailleurs so</w:t>
            </w:r>
            <w:r w:rsidRPr="00640626">
              <w:rPr>
                <w:lang w:val="fr-FR"/>
              </w:rPr>
              <w:t>nt empêchés de faire valoir leurs droits et d’en jouir.</w:t>
            </w:r>
          </w:p>
          <w:p w:rsidR="001C3334" w:rsidRPr="00640626" w:rsidRDefault="005C2E50" w:rsidP="003A0F4A">
            <w:pPr>
              <w:keepNext/>
              <w:keepLines/>
              <w:rPr>
                <w:lang w:val="fr-FR"/>
              </w:rPr>
            </w:pPr>
            <w:r w:rsidRPr="00640626">
              <w:rPr>
                <w:lang w:val="fr-FR"/>
              </w:rPr>
              <w:t xml:space="preserve">Les femmes sont généralement plus vulnérables et </w:t>
            </w:r>
            <w:r w:rsidR="00C02019" w:rsidRPr="00640626">
              <w:rPr>
                <w:lang w:val="fr-FR"/>
              </w:rPr>
              <w:t>privées de</w:t>
            </w:r>
            <w:r w:rsidRPr="00640626">
              <w:rPr>
                <w:lang w:val="fr-FR"/>
              </w:rPr>
              <w:t xml:space="preserve"> protection.</w:t>
            </w:r>
          </w:p>
          <w:p w:rsidR="001C3334" w:rsidRPr="00640626" w:rsidRDefault="005C2E50" w:rsidP="003A0F4A">
            <w:pPr>
              <w:keepNext/>
              <w:keepLines/>
              <w:rPr>
                <w:lang w:val="fr-FR"/>
              </w:rPr>
            </w:pPr>
            <w:r w:rsidRPr="00640626">
              <w:rPr>
                <w:lang w:val="fr-FR"/>
              </w:rPr>
              <w:t xml:space="preserve">Le travail effectué dans le cadre d’un arrangement contractuel est souvent synonyme de statut professionnel inférieur, de travail occasionnel, d’emploi </w:t>
            </w:r>
            <w:r w:rsidR="00C02019" w:rsidRPr="00640626">
              <w:rPr>
                <w:lang w:val="fr-FR"/>
              </w:rPr>
              <w:t>peu</w:t>
            </w:r>
            <w:r w:rsidRPr="00640626">
              <w:rPr>
                <w:lang w:val="fr-FR"/>
              </w:rPr>
              <w:t xml:space="preserve"> stable et de bas salaire.</w:t>
            </w:r>
          </w:p>
        </w:tc>
        <w:tc>
          <w:tcPr>
            <w:tcW w:w="4799" w:type="dxa"/>
          </w:tcPr>
          <w:p w:rsidR="001C3334" w:rsidRPr="00640626" w:rsidRDefault="005C2E50" w:rsidP="003A0F4A">
            <w:pPr>
              <w:keepNext/>
              <w:keepLines/>
              <w:rPr>
                <w:lang w:val="fr-FR"/>
              </w:rPr>
            </w:pPr>
            <w:r w:rsidRPr="00640626">
              <w:rPr>
                <w:lang w:val="fr-FR"/>
              </w:rPr>
              <w:t>P</w:t>
            </w:r>
            <w:r w:rsidR="00C02019" w:rsidRPr="00640626">
              <w:rPr>
                <w:lang w:val="fr-FR"/>
              </w:rPr>
              <w:t>romouvoir l’application des</w:t>
            </w:r>
            <w:r w:rsidRPr="00640626">
              <w:rPr>
                <w:lang w:val="fr-FR"/>
              </w:rPr>
              <w:t xml:space="preserve"> normes internationales du travail en </w:t>
            </w:r>
            <w:r w:rsidR="00C02019" w:rsidRPr="00640626">
              <w:rPr>
                <w:lang w:val="fr-FR"/>
              </w:rPr>
              <w:t>adoptant</w:t>
            </w:r>
            <w:r w:rsidRPr="00640626">
              <w:rPr>
                <w:lang w:val="fr-FR"/>
              </w:rPr>
              <w:t xml:space="preserve"> des </w:t>
            </w:r>
            <w:r w:rsidR="00620544" w:rsidRPr="00640626">
              <w:rPr>
                <w:lang w:val="fr-FR"/>
              </w:rPr>
              <w:t>directive</w:t>
            </w:r>
            <w:r w:rsidRPr="00640626">
              <w:rPr>
                <w:lang w:val="fr-FR"/>
              </w:rPr>
              <w:t>s prônant des pratiques équitables en matière d’emploi dans l’</w:t>
            </w:r>
            <w:r w:rsidR="00C02019" w:rsidRPr="00640626">
              <w:rPr>
                <w:lang w:val="fr-FR"/>
              </w:rPr>
              <w:t>aquaculture (</w:t>
            </w:r>
            <w:r w:rsidRPr="00640626">
              <w:rPr>
                <w:lang w:val="fr-FR"/>
              </w:rPr>
              <w:t xml:space="preserve">droits fondamentaux des travailleurs, </w:t>
            </w:r>
            <w:r w:rsidR="00C02019" w:rsidRPr="00640626">
              <w:rPr>
                <w:lang w:val="fr-FR"/>
              </w:rPr>
              <w:t xml:space="preserve">salaires, </w:t>
            </w:r>
            <w:r w:rsidRPr="00640626">
              <w:rPr>
                <w:lang w:val="fr-FR"/>
              </w:rPr>
              <w:t>horaires et sécurité et santé au travail</w:t>
            </w:r>
            <w:r w:rsidR="00C02019" w:rsidRPr="00640626">
              <w:rPr>
                <w:lang w:val="fr-FR"/>
              </w:rPr>
              <w:t>)</w:t>
            </w:r>
          </w:p>
          <w:p w:rsidR="001C3334" w:rsidRPr="00640626" w:rsidRDefault="00C02019" w:rsidP="003A0F4A">
            <w:pPr>
              <w:keepNext/>
              <w:keepLines/>
              <w:spacing w:before="120"/>
              <w:rPr>
                <w:lang w:val="fr-FR"/>
              </w:rPr>
            </w:pPr>
            <w:r w:rsidRPr="00640626">
              <w:rPr>
                <w:lang w:val="fr-FR"/>
              </w:rPr>
              <w:t>N</w:t>
            </w:r>
            <w:r w:rsidR="005C2E50" w:rsidRPr="00640626">
              <w:rPr>
                <w:lang w:val="fr-FR"/>
              </w:rPr>
              <w:t>ormes de certification intégrant les critères du travail décent</w:t>
            </w:r>
            <w:r w:rsidR="001C3334" w:rsidRPr="00640626">
              <w:rPr>
                <w:lang w:val="fr-FR"/>
              </w:rPr>
              <w:t xml:space="preserve"> </w:t>
            </w:r>
          </w:p>
          <w:p w:rsidR="001C3334" w:rsidRPr="00640626" w:rsidRDefault="005C2E50" w:rsidP="003A0F4A">
            <w:pPr>
              <w:keepNext/>
              <w:keepLines/>
              <w:rPr>
                <w:lang w:val="fr-FR"/>
              </w:rPr>
            </w:pPr>
            <w:r w:rsidRPr="00640626">
              <w:rPr>
                <w:lang w:val="fr-FR"/>
              </w:rPr>
              <w:t>Intégrer les critères du travail décent dans les procédures de renouvellement des baux aquacoles.</w:t>
            </w:r>
          </w:p>
        </w:tc>
      </w:tr>
      <w:tr w:rsidR="00BE22EB" w:rsidRPr="00640626" w:rsidTr="00672B89">
        <w:trPr>
          <w:trHeight w:val="582"/>
        </w:trPr>
        <w:tc>
          <w:tcPr>
            <w:tcW w:w="4219" w:type="dxa"/>
            <w:gridSpan w:val="2"/>
          </w:tcPr>
          <w:p w:rsidR="001C3334" w:rsidRPr="00640626" w:rsidRDefault="001724A3" w:rsidP="00C02019">
            <w:pPr>
              <w:rPr>
                <w:lang w:val="fr-FR"/>
              </w:rPr>
            </w:pPr>
            <w:r w:rsidRPr="00640626">
              <w:rPr>
                <w:lang w:val="fr-FR"/>
              </w:rPr>
              <w:t xml:space="preserve">Lacunes fréquentes dans le suivi et </w:t>
            </w:r>
            <w:r w:rsidR="00C02019" w:rsidRPr="00640626">
              <w:rPr>
                <w:lang w:val="fr-FR"/>
              </w:rPr>
              <w:t>l’application</w:t>
            </w:r>
            <w:r w:rsidRPr="00640626">
              <w:rPr>
                <w:lang w:val="fr-FR"/>
              </w:rPr>
              <w:t xml:space="preserve"> des réglementations en vigueur</w:t>
            </w:r>
          </w:p>
        </w:tc>
        <w:tc>
          <w:tcPr>
            <w:tcW w:w="4799" w:type="dxa"/>
          </w:tcPr>
          <w:p w:rsidR="001C3334" w:rsidRPr="00640626" w:rsidRDefault="001724A3" w:rsidP="00C02019">
            <w:pPr>
              <w:rPr>
                <w:lang w:val="fr-FR"/>
              </w:rPr>
            </w:pPr>
            <w:r w:rsidRPr="00640626">
              <w:rPr>
                <w:lang w:val="fr-FR"/>
              </w:rPr>
              <w:t>Investir dans l</w:t>
            </w:r>
            <w:r w:rsidR="00C02019" w:rsidRPr="00640626">
              <w:rPr>
                <w:lang w:val="fr-FR"/>
              </w:rPr>
              <w:t xml:space="preserve">’application des textes réglementaires en matière d’emploi </w:t>
            </w:r>
          </w:p>
        </w:tc>
      </w:tr>
      <w:tr w:rsidR="00BE22EB" w:rsidRPr="00640626" w:rsidTr="00672B89">
        <w:trPr>
          <w:trHeight w:val="878"/>
        </w:trPr>
        <w:tc>
          <w:tcPr>
            <w:tcW w:w="4219" w:type="dxa"/>
            <w:gridSpan w:val="2"/>
          </w:tcPr>
          <w:p w:rsidR="001C3334" w:rsidRPr="00640626" w:rsidRDefault="001724A3" w:rsidP="00C354FC">
            <w:pPr>
              <w:rPr>
                <w:lang w:val="fr-FR"/>
              </w:rPr>
            </w:pPr>
            <w:r w:rsidRPr="00640626">
              <w:rPr>
                <w:lang w:val="fr-FR"/>
              </w:rPr>
              <w:t>Les services des pêches et de l’aquaculture d’une part,</w:t>
            </w:r>
            <w:r w:rsidR="004E52B2" w:rsidRPr="00640626">
              <w:rPr>
                <w:lang w:val="fr-FR"/>
              </w:rPr>
              <w:t xml:space="preserve"> </w:t>
            </w:r>
            <w:r w:rsidRPr="00640626">
              <w:rPr>
                <w:lang w:val="fr-FR"/>
              </w:rPr>
              <w:t xml:space="preserve">et les autorités compétentes en matière d’emploi d’autre part, travaillent souvent isolément. Les </w:t>
            </w:r>
            <w:r w:rsidR="00C02019" w:rsidRPr="00640626">
              <w:rPr>
                <w:lang w:val="fr-FR"/>
              </w:rPr>
              <w:t xml:space="preserve">autorités responsables du secteur </w:t>
            </w:r>
            <w:r w:rsidRPr="00640626">
              <w:rPr>
                <w:lang w:val="fr-FR"/>
              </w:rPr>
              <w:t>ne sont pas équipé</w:t>
            </w:r>
            <w:r w:rsidR="00C02019" w:rsidRPr="00640626">
              <w:rPr>
                <w:lang w:val="fr-FR"/>
              </w:rPr>
              <w:t>e</w:t>
            </w:r>
            <w:r w:rsidRPr="00640626">
              <w:rPr>
                <w:lang w:val="fr-FR"/>
              </w:rPr>
              <w:t xml:space="preserve">s pour traiter les questions </w:t>
            </w:r>
            <w:r w:rsidR="00C02019" w:rsidRPr="00640626">
              <w:rPr>
                <w:lang w:val="fr-FR"/>
              </w:rPr>
              <w:t>touchant à l’emploi</w:t>
            </w:r>
            <w:r w:rsidRPr="00640626">
              <w:rPr>
                <w:lang w:val="fr-FR"/>
              </w:rPr>
              <w:t>.</w:t>
            </w:r>
          </w:p>
        </w:tc>
        <w:tc>
          <w:tcPr>
            <w:tcW w:w="4799" w:type="dxa"/>
          </w:tcPr>
          <w:p w:rsidR="001C3334" w:rsidRPr="00640626" w:rsidDel="006D6068" w:rsidRDefault="001724A3" w:rsidP="00C02019">
            <w:pPr>
              <w:rPr>
                <w:lang w:val="fr-FR"/>
              </w:rPr>
            </w:pPr>
            <w:r w:rsidRPr="00640626">
              <w:rPr>
                <w:lang w:val="fr-FR"/>
              </w:rPr>
              <w:t>Donner aux organes officiels responsables du secteur de l’aquaculture des moyens supplémentaires pour leur permettre d</w:t>
            </w:r>
            <w:r w:rsidR="00C02019" w:rsidRPr="00640626">
              <w:rPr>
                <w:lang w:val="fr-FR"/>
              </w:rPr>
              <w:t xml:space="preserve">e traiter les problèmes d’emploi; faire en sorte qu’ils fonctionnent </w:t>
            </w:r>
            <w:r w:rsidRPr="00640626">
              <w:rPr>
                <w:lang w:val="fr-FR"/>
              </w:rPr>
              <w:t>en coordination avec les autorités compétentes en matière d’emploi</w:t>
            </w:r>
          </w:p>
        </w:tc>
      </w:tr>
      <w:tr w:rsidR="00BE22EB" w:rsidRPr="00640626" w:rsidTr="00A4004C">
        <w:tc>
          <w:tcPr>
            <w:tcW w:w="9018" w:type="dxa"/>
            <w:gridSpan w:val="3"/>
            <w:shd w:val="pct5" w:color="auto" w:fill="auto"/>
          </w:tcPr>
          <w:p w:rsidR="001C3334" w:rsidRPr="00640626" w:rsidRDefault="00B3096D" w:rsidP="00A4004C">
            <w:pPr>
              <w:rPr>
                <w:lang w:val="fr-FR"/>
              </w:rPr>
            </w:pPr>
            <w:r w:rsidRPr="00640626">
              <w:rPr>
                <w:lang w:val="fr-FR"/>
              </w:rPr>
              <w:t>Prévalence du</w:t>
            </w:r>
            <w:r w:rsidR="001724A3" w:rsidRPr="00640626">
              <w:rPr>
                <w:lang w:val="fr-FR"/>
              </w:rPr>
              <w:t xml:space="preserve"> travail des enfants</w:t>
            </w:r>
            <w:r w:rsidR="001C3334" w:rsidRPr="00640626">
              <w:rPr>
                <w:lang w:val="fr-FR"/>
              </w:rPr>
              <w:t xml:space="preserve"> </w:t>
            </w:r>
          </w:p>
        </w:tc>
      </w:tr>
      <w:tr w:rsidR="00BE22EB" w:rsidRPr="00640626" w:rsidTr="003A0F4A">
        <w:trPr>
          <w:trHeight w:val="637"/>
        </w:trPr>
        <w:tc>
          <w:tcPr>
            <w:tcW w:w="4155" w:type="dxa"/>
          </w:tcPr>
          <w:p w:rsidR="001C3334" w:rsidRPr="00640626" w:rsidRDefault="001724A3" w:rsidP="00A4004C">
            <w:pPr>
              <w:rPr>
                <w:lang w:val="fr-FR"/>
              </w:rPr>
            </w:pPr>
            <w:r w:rsidRPr="00640626">
              <w:rPr>
                <w:lang w:val="fr-FR"/>
              </w:rPr>
              <w:t xml:space="preserve">98 millions d’enfants travaillent dans l’agriculture, </w:t>
            </w:r>
            <w:r w:rsidR="00C02019" w:rsidRPr="00640626">
              <w:rPr>
                <w:lang w:val="fr-FR"/>
              </w:rPr>
              <w:t>et donc</w:t>
            </w:r>
            <w:r w:rsidRPr="00640626">
              <w:rPr>
                <w:lang w:val="fr-FR"/>
              </w:rPr>
              <w:t xml:space="preserve"> dans les domaines des pêches et de l’aquaculture, à un niveau essentiellement artisanal (OIT)</w:t>
            </w:r>
          </w:p>
          <w:p w:rsidR="001C3334" w:rsidRPr="00640626" w:rsidRDefault="001724A3" w:rsidP="00A4004C">
            <w:pPr>
              <w:rPr>
                <w:lang w:val="fr-FR"/>
              </w:rPr>
            </w:pPr>
            <w:r w:rsidRPr="00640626">
              <w:rPr>
                <w:lang w:val="fr-FR"/>
              </w:rPr>
              <w:t>Enfants plus exposés que les adultes en termes de sécurité et de risques sanitaires</w:t>
            </w:r>
          </w:p>
          <w:p w:rsidR="001C3334" w:rsidRPr="00640626" w:rsidRDefault="001724A3" w:rsidP="00A4004C">
            <w:pPr>
              <w:rPr>
                <w:lang w:val="fr-FR"/>
              </w:rPr>
            </w:pPr>
            <w:r w:rsidRPr="00640626">
              <w:rPr>
                <w:lang w:val="fr-FR"/>
              </w:rPr>
              <w:t>Sensibilisation médiocre ou nulle au travail des enfants et aux tâches à leur confier en fonction de leur âge</w:t>
            </w:r>
          </w:p>
          <w:p w:rsidR="001C3334" w:rsidRPr="00640626" w:rsidRDefault="001724A3" w:rsidP="00C6364A">
            <w:pPr>
              <w:rPr>
                <w:lang w:val="fr-FR"/>
              </w:rPr>
            </w:pPr>
            <w:r w:rsidRPr="00640626">
              <w:rPr>
                <w:lang w:val="fr-FR"/>
              </w:rPr>
              <w:t xml:space="preserve">L’aquaculture est </w:t>
            </w:r>
            <w:r w:rsidR="00C02019" w:rsidRPr="00640626">
              <w:rPr>
                <w:lang w:val="fr-FR"/>
              </w:rPr>
              <w:t xml:space="preserve">souvent </w:t>
            </w:r>
            <w:r w:rsidR="006F28C9" w:rsidRPr="00640626">
              <w:rPr>
                <w:lang w:val="fr-FR"/>
              </w:rPr>
              <w:t>négligée</w:t>
            </w:r>
            <w:r w:rsidR="00C02019" w:rsidRPr="00640626">
              <w:rPr>
                <w:lang w:val="fr-FR"/>
              </w:rPr>
              <w:t xml:space="preserve"> lors de la transposition des conventions internationales sur le travail des </w:t>
            </w:r>
            <w:r w:rsidR="006F28C9" w:rsidRPr="00640626">
              <w:rPr>
                <w:lang w:val="fr-FR"/>
              </w:rPr>
              <w:t>enfants</w:t>
            </w:r>
            <w:r w:rsidR="00C02019" w:rsidRPr="00640626">
              <w:rPr>
                <w:lang w:val="fr-FR"/>
              </w:rPr>
              <w:t xml:space="preserve"> (réglementation, mise en œuvre et mise à exécution) dans les législations nati</w:t>
            </w:r>
            <w:r w:rsidR="00460BBD" w:rsidRPr="00640626">
              <w:rPr>
                <w:lang w:val="fr-FR"/>
              </w:rPr>
              <w:t>onales. Ainsi</w:t>
            </w:r>
            <w:r w:rsidR="00B03D21" w:rsidRPr="00640626">
              <w:rPr>
                <w:lang w:val="fr-FR"/>
              </w:rPr>
              <w:t xml:space="preserve">, il est peu question des enfants dans les listes des travaux dangereux. </w:t>
            </w:r>
          </w:p>
        </w:tc>
        <w:tc>
          <w:tcPr>
            <w:tcW w:w="4863" w:type="dxa"/>
            <w:gridSpan w:val="2"/>
          </w:tcPr>
          <w:p w:rsidR="001C3334" w:rsidRPr="00640626" w:rsidRDefault="001724A3" w:rsidP="003A0F4A">
            <w:pPr>
              <w:spacing w:after="160"/>
              <w:rPr>
                <w:lang w:val="fr-FR"/>
              </w:rPr>
            </w:pPr>
            <w:r w:rsidRPr="00640626">
              <w:rPr>
                <w:lang w:val="fr-FR"/>
              </w:rPr>
              <w:t xml:space="preserve">Application des </w:t>
            </w:r>
            <w:r w:rsidR="00620544" w:rsidRPr="00640626">
              <w:rPr>
                <w:lang w:val="fr-FR"/>
              </w:rPr>
              <w:t>directive</w:t>
            </w:r>
            <w:r w:rsidRPr="00640626">
              <w:rPr>
                <w:lang w:val="fr-FR"/>
              </w:rPr>
              <w:t>s et de la FAO et de l’OIT sur la façon de régler le problème du travail des enfants dans la pêche et l’aquaculture</w:t>
            </w:r>
          </w:p>
          <w:p w:rsidR="001C3334" w:rsidRPr="00640626" w:rsidRDefault="001724A3" w:rsidP="003A0F4A">
            <w:pPr>
              <w:spacing w:after="160"/>
              <w:rPr>
                <w:lang w:val="fr-FR"/>
              </w:rPr>
            </w:pPr>
            <w:r w:rsidRPr="00640626">
              <w:rPr>
                <w:lang w:val="fr-FR"/>
              </w:rPr>
              <w:t>Formulation de plans d’action nationaux sur le travail des enfants dans l’aquaculture, avec établissement de mesures visant à développer les capacités en la matière</w:t>
            </w:r>
            <w:r w:rsidR="001C3334" w:rsidRPr="00640626">
              <w:rPr>
                <w:lang w:val="fr-FR"/>
              </w:rPr>
              <w:t xml:space="preserve"> </w:t>
            </w:r>
          </w:p>
          <w:p w:rsidR="00B03D21" w:rsidRPr="00640626" w:rsidRDefault="001724A3" w:rsidP="003A0F4A">
            <w:pPr>
              <w:spacing w:after="160"/>
              <w:rPr>
                <w:lang w:val="fr-FR"/>
              </w:rPr>
            </w:pPr>
            <w:r w:rsidRPr="00640626">
              <w:rPr>
                <w:lang w:val="fr-FR"/>
              </w:rPr>
              <w:t xml:space="preserve">Collecte de données ventilées par sexe et par groupe d’âge sur le travail des enfants en aquaculture et dans le secteur des pêches </w:t>
            </w:r>
          </w:p>
          <w:p w:rsidR="00B03D21" w:rsidRPr="00640626" w:rsidRDefault="00B03D21" w:rsidP="003A0F4A">
            <w:pPr>
              <w:spacing w:after="160"/>
              <w:rPr>
                <w:lang w:val="fr-FR"/>
              </w:rPr>
            </w:pPr>
            <w:r w:rsidRPr="00640626">
              <w:rPr>
                <w:lang w:val="fr-FR"/>
              </w:rPr>
              <w:t>Prise en compte du travail des enfants dans les politiques et programmes relatifs à l’aquaculture</w:t>
            </w:r>
          </w:p>
          <w:p w:rsidR="001C3334" w:rsidRPr="00640626" w:rsidRDefault="001724A3" w:rsidP="003A0F4A">
            <w:pPr>
              <w:spacing w:after="160"/>
              <w:rPr>
                <w:lang w:val="fr-FR"/>
              </w:rPr>
            </w:pPr>
            <w:r w:rsidRPr="00640626">
              <w:rPr>
                <w:lang w:val="fr-FR"/>
              </w:rPr>
              <w:t>Établissement de listes des travaux présentant un danger pour les enfants</w:t>
            </w:r>
            <w:r w:rsidR="001C3334" w:rsidRPr="00640626">
              <w:rPr>
                <w:lang w:val="fr-FR"/>
              </w:rPr>
              <w:t xml:space="preserve"> </w:t>
            </w:r>
          </w:p>
          <w:p w:rsidR="001C3334" w:rsidRPr="00640626" w:rsidRDefault="001724A3" w:rsidP="003A0F4A">
            <w:pPr>
              <w:spacing w:after="160"/>
              <w:rPr>
                <w:lang w:val="fr-FR"/>
              </w:rPr>
            </w:pPr>
            <w:r w:rsidRPr="00640626">
              <w:rPr>
                <w:lang w:val="fr-FR"/>
              </w:rPr>
              <w:t xml:space="preserve">Prévention et élimination du travail des enfants au travers de la lutte contre ses causes profondes (pauvreté, manque d’instruction) et </w:t>
            </w:r>
            <w:r w:rsidR="00B03D21" w:rsidRPr="00640626">
              <w:rPr>
                <w:lang w:val="fr-FR"/>
              </w:rPr>
              <w:t>proposition</w:t>
            </w:r>
            <w:r w:rsidRPr="00640626">
              <w:rPr>
                <w:lang w:val="fr-FR"/>
              </w:rPr>
              <w:t xml:space="preserve"> d’autres moyens d’existence aux ménages démunis</w:t>
            </w:r>
          </w:p>
        </w:tc>
      </w:tr>
      <w:tr w:rsidR="00BE22EB" w:rsidRPr="00640626" w:rsidTr="00A4004C">
        <w:tc>
          <w:tcPr>
            <w:tcW w:w="9018" w:type="dxa"/>
            <w:gridSpan w:val="3"/>
            <w:shd w:val="pct5" w:color="auto" w:fill="auto"/>
          </w:tcPr>
          <w:p w:rsidR="001C3334" w:rsidRPr="00640626" w:rsidRDefault="001724A3" w:rsidP="00A4004C">
            <w:pPr>
              <w:rPr>
                <w:lang w:val="fr-FR"/>
              </w:rPr>
            </w:pPr>
            <w:r w:rsidRPr="00640626">
              <w:rPr>
                <w:lang w:val="fr-FR"/>
              </w:rPr>
              <w:lastRenderedPageBreak/>
              <w:t>Travailleurs migrants vulnérables</w:t>
            </w:r>
            <w:r w:rsidR="001C3334" w:rsidRPr="00640626">
              <w:rPr>
                <w:lang w:val="fr-FR"/>
              </w:rPr>
              <w:t xml:space="preserve"> </w:t>
            </w:r>
          </w:p>
        </w:tc>
      </w:tr>
      <w:tr w:rsidR="00BE22EB" w:rsidRPr="00640626" w:rsidTr="00A4004C">
        <w:trPr>
          <w:trHeight w:val="2530"/>
        </w:trPr>
        <w:tc>
          <w:tcPr>
            <w:tcW w:w="4155" w:type="dxa"/>
          </w:tcPr>
          <w:p w:rsidR="001C3334" w:rsidRPr="00640626" w:rsidRDefault="00C6364A" w:rsidP="00A4004C">
            <w:pPr>
              <w:rPr>
                <w:lang w:val="fr-FR"/>
              </w:rPr>
            </w:pPr>
            <w:r w:rsidRPr="00640626">
              <w:rPr>
                <w:lang w:val="fr-FR"/>
              </w:rPr>
              <w:t>L</w:t>
            </w:r>
            <w:r w:rsidR="00B03D21" w:rsidRPr="00640626">
              <w:rPr>
                <w:lang w:val="fr-FR"/>
              </w:rPr>
              <w:t xml:space="preserve">e secteur des pêches </w:t>
            </w:r>
            <w:r w:rsidRPr="00640626">
              <w:rPr>
                <w:lang w:val="fr-FR"/>
              </w:rPr>
              <w:t xml:space="preserve">peut offrir </w:t>
            </w:r>
            <w:r w:rsidR="00B03D21" w:rsidRPr="00640626">
              <w:rPr>
                <w:lang w:val="fr-FR"/>
              </w:rPr>
              <w:t>des opportunités d’emploi plus intéressantes et des salaires plus élevés aux travailleurs migra</w:t>
            </w:r>
            <w:r w:rsidRPr="00640626">
              <w:rPr>
                <w:lang w:val="fr-FR"/>
              </w:rPr>
              <w:t xml:space="preserve">nts, mais </w:t>
            </w:r>
            <w:r w:rsidR="00B03D21" w:rsidRPr="00640626">
              <w:rPr>
                <w:lang w:val="fr-FR"/>
              </w:rPr>
              <w:t>ceux-ci</w:t>
            </w:r>
            <w:r w:rsidRPr="00640626">
              <w:rPr>
                <w:lang w:val="fr-FR"/>
              </w:rPr>
              <w:t xml:space="preserve"> sont néanmoins </w:t>
            </w:r>
            <w:r w:rsidR="00B03D21" w:rsidRPr="00640626">
              <w:rPr>
                <w:lang w:val="fr-FR"/>
              </w:rPr>
              <w:t>exposés à des déficits de travail décent et à l’emploi vulnérable.</w:t>
            </w:r>
          </w:p>
          <w:p w:rsidR="001C3334" w:rsidRPr="00640626" w:rsidRDefault="00F36108" w:rsidP="00B03D21">
            <w:pPr>
              <w:rPr>
                <w:lang w:val="fr-FR"/>
              </w:rPr>
            </w:pPr>
            <w:r w:rsidRPr="00640626">
              <w:rPr>
                <w:lang w:val="fr-FR"/>
              </w:rPr>
              <w:t>Les travailleurs migrants employés dans le secteur des pêches peuvent être particulièrement vulnérables à l’exploitation, au travail forcé et à la traite d’</w:t>
            </w:r>
            <w:r w:rsidR="00287752" w:rsidRPr="00640626">
              <w:rPr>
                <w:lang w:val="fr-FR"/>
              </w:rPr>
              <w:t>êtres</w:t>
            </w:r>
            <w:r w:rsidRPr="00640626">
              <w:rPr>
                <w:lang w:val="fr-FR"/>
              </w:rPr>
              <w:t xml:space="preserve"> humains ainsi qu’aux risques </w:t>
            </w:r>
            <w:r w:rsidR="00B03D21" w:rsidRPr="00640626">
              <w:rPr>
                <w:lang w:val="fr-FR"/>
              </w:rPr>
              <w:t>SST</w:t>
            </w:r>
            <w:r w:rsidRPr="00640626">
              <w:rPr>
                <w:lang w:val="fr-FR"/>
              </w:rPr>
              <w:t>, et n’avoir qu’un accès limité à l’assistance juridique et à la justice.</w:t>
            </w:r>
            <w:r w:rsidR="004E52B2" w:rsidRPr="00640626">
              <w:rPr>
                <w:lang w:val="fr-FR"/>
              </w:rPr>
              <w:t xml:space="preserve"> </w:t>
            </w:r>
          </w:p>
        </w:tc>
        <w:tc>
          <w:tcPr>
            <w:tcW w:w="4863" w:type="dxa"/>
            <w:gridSpan w:val="2"/>
          </w:tcPr>
          <w:p w:rsidR="001C3334" w:rsidRPr="00640626" w:rsidRDefault="00F36108" w:rsidP="00A4004C">
            <w:pPr>
              <w:rPr>
                <w:lang w:val="fr-FR"/>
              </w:rPr>
            </w:pPr>
            <w:r w:rsidRPr="00640626">
              <w:rPr>
                <w:lang w:val="fr-FR"/>
              </w:rPr>
              <w:t>Études sur le recours aux tr</w:t>
            </w:r>
            <w:r w:rsidR="00B03D21" w:rsidRPr="00640626">
              <w:rPr>
                <w:lang w:val="fr-FR"/>
              </w:rPr>
              <w:t xml:space="preserve">availleurs locaux/migrants et </w:t>
            </w:r>
            <w:r w:rsidRPr="00640626">
              <w:rPr>
                <w:lang w:val="fr-FR"/>
              </w:rPr>
              <w:t>la d</w:t>
            </w:r>
            <w:r w:rsidR="00B03D21" w:rsidRPr="00640626">
              <w:rPr>
                <w:lang w:val="fr-FR"/>
              </w:rPr>
              <w:t xml:space="preserve">épendance à l’égard de ceux-ci; études </w:t>
            </w:r>
            <w:r w:rsidRPr="00640626">
              <w:rPr>
                <w:lang w:val="fr-FR"/>
              </w:rPr>
              <w:t xml:space="preserve">sur les problèmes que les économies potentielles découlant de l’utilisation de cette main-d’œuvre vulnérable peuvent poser au secteur légitime en termes de compétitivité </w:t>
            </w:r>
          </w:p>
          <w:p w:rsidR="001C3334" w:rsidRPr="00640626" w:rsidRDefault="00F36108" w:rsidP="00904DC8">
            <w:pPr>
              <w:rPr>
                <w:lang w:val="fr-FR"/>
              </w:rPr>
            </w:pPr>
            <w:r w:rsidRPr="00640626">
              <w:rPr>
                <w:lang w:val="fr-FR"/>
              </w:rPr>
              <w:t>Amélioration des</w:t>
            </w:r>
            <w:r w:rsidR="00904DC8" w:rsidRPr="00640626">
              <w:rPr>
                <w:lang w:val="fr-FR"/>
              </w:rPr>
              <w:t xml:space="preserve"> conditions de travail et d</w:t>
            </w:r>
            <w:r w:rsidRPr="00640626">
              <w:rPr>
                <w:lang w:val="fr-FR"/>
              </w:rPr>
              <w:t>e recrutement de</w:t>
            </w:r>
            <w:r w:rsidR="00904DC8" w:rsidRPr="00640626">
              <w:rPr>
                <w:lang w:val="fr-FR"/>
              </w:rPr>
              <w:t>s</w:t>
            </w:r>
            <w:r w:rsidRPr="00640626">
              <w:rPr>
                <w:lang w:val="fr-FR"/>
              </w:rPr>
              <w:t xml:space="preserve"> travailleurs </w:t>
            </w:r>
            <w:r w:rsidR="00904DC8" w:rsidRPr="00640626">
              <w:rPr>
                <w:lang w:val="fr-FR"/>
              </w:rPr>
              <w:t xml:space="preserve">migrants: arrangements écrits, </w:t>
            </w:r>
            <w:r w:rsidRPr="00640626">
              <w:rPr>
                <w:lang w:val="fr-FR"/>
              </w:rPr>
              <w:t xml:space="preserve">salaires réguliers, aide juridique, sécurité sociale, rapatriement, </w:t>
            </w:r>
            <w:r w:rsidR="00904DC8" w:rsidRPr="00640626">
              <w:rPr>
                <w:lang w:val="fr-FR"/>
              </w:rPr>
              <w:t>formation</w:t>
            </w:r>
            <w:r w:rsidRPr="00640626">
              <w:rPr>
                <w:lang w:val="fr-FR"/>
              </w:rPr>
              <w:t xml:space="preserve"> </w:t>
            </w:r>
            <w:r w:rsidR="00904DC8" w:rsidRPr="00640626">
              <w:rPr>
                <w:lang w:val="fr-FR"/>
              </w:rPr>
              <w:t xml:space="preserve">et </w:t>
            </w:r>
            <w:r w:rsidRPr="00640626">
              <w:rPr>
                <w:lang w:val="fr-FR"/>
              </w:rPr>
              <w:t>droit de s’organiser</w:t>
            </w:r>
          </w:p>
        </w:tc>
      </w:tr>
      <w:tr w:rsidR="00BE22EB" w:rsidRPr="00640626" w:rsidTr="00A4004C">
        <w:tc>
          <w:tcPr>
            <w:tcW w:w="9018" w:type="dxa"/>
            <w:gridSpan w:val="3"/>
            <w:shd w:val="pct15" w:color="auto" w:fill="auto"/>
          </w:tcPr>
          <w:p w:rsidR="001C3334" w:rsidRPr="00640626" w:rsidRDefault="009748B0" w:rsidP="009748B0">
            <w:pPr>
              <w:rPr>
                <w:lang w:val="fr-FR"/>
              </w:rPr>
            </w:pPr>
            <w:r w:rsidRPr="00640626">
              <w:rPr>
                <w:lang w:val="fr-FR"/>
              </w:rPr>
              <w:t>Volet 4 – Gouvernance et dialogue social</w:t>
            </w:r>
          </w:p>
        </w:tc>
      </w:tr>
      <w:tr w:rsidR="00BE22EB" w:rsidRPr="00640626" w:rsidTr="00A4004C">
        <w:tc>
          <w:tcPr>
            <w:tcW w:w="9018" w:type="dxa"/>
            <w:gridSpan w:val="3"/>
            <w:shd w:val="pct5" w:color="auto" w:fill="auto"/>
          </w:tcPr>
          <w:p w:rsidR="001C3334" w:rsidRPr="00640626" w:rsidRDefault="009748B0" w:rsidP="00A4004C">
            <w:pPr>
              <w:rPr>
                <w:lang w:val="fr-FR"/>
              </w:rPr>
            </w:pPr>
            <w:r w:rsidRPr="00640626">
              <w:rPr>
                <w:lang w:val="fr-FR"/>
              </w:rPr>
              <w:t>Faibles niveaux d’organisation et de participation</w:t>
            </w:r>
          </w:p>
        </w:tc>
      </w:tr>
      <w:tr w:rsidR="00BE22EB" w:rsidRPr="00640626" w:rsidTr="00A4004C">
        <w:trPr>
          <w:trHeight w:val="1119"/>
        </w:trPr>
        <w:tc>
          <w:tcPr>
            <w:tcW w:w="4155" w:type="dxa"/>
          </w:tcPr>
          <w:p w:rsidR="001C3334" w:rsidRPr="00640626" w:rsidRDefault="00B03D21" w:rsidP="00672B89">
            <w:pPr>
              <w:rPr>
                <w:lang w:val="fr-FR"/>
              </w:rPr>
            </w:pPr>
            <w:r w:rsidRPr="00640626">
              <w:rPr>
                <w:lang w:val="fr-FR"/>
              </w:rPr>
              <w:t>Très faibles niveaux de r</w:t>
            </w:r>
            <w:r w:rsidR="009748B0" w:rsidRPr="00640626">
              <w:rPr>
                <w:lang w:val="fr-FR"/>
              </w:rPr>
              <w:t xml:space="preserve">eprésentation et </w:t>
            </w:r>
            <w:r w:rsidRPr="00640626">
              <w:rPr>
                <w:lang w:val="fr-FR"/>
              </w:rPr>
              <w:t>d’</w:t>
            </w:r>
            <w:r w:rsidR="009748B0" w:rsidRPr="00640626">
              <w:rPr>
                <w:lang w:val="fr-FR"/>
              </w:rPr>
              <w:t xml:space="preserve">organisation des travailleurs </w:t>
            </w:r>
            <w:r w:rsidRPr="00640626">
              <w:rPr>
                <w:lang w:val="fr-FR"/>
              </w:rPr>
              <w:t>du secteur des pêches</w:t>
            </w:r>
            <w:r w:rsidR="009748B0" w:rsidRPr="00640626">
              <w:rPr>
                <w:lang w:val="fr-FR"/>
              </w:rPr>
              <w:t xml:space="preserve"> en raison du caractère informel des conventions de travail, de la petite taille des exploitations ainsi que de la faiblesse des moyens et du soutien juridique nécessaires pour s’organiser</w:t>
            </w:r>
          </w:p>
          <w:p w:rsidR="001C3334" w:rsidRPr="00640626" w:rsidRDefault="009748B0" w:rsidP="00672B89">
            <w:pPr>
              <w:rPr>
                <w:lang w:val="fr-FR"/>
              </w:rPr>
            </w:pPr>
            <w:r w:rsidRPr="00640626">
              <w:rPr>
                <w:lang w:val="fr-FR"/>
              </w:rPr>
              <w:t>Petits producteurs confrontés à des intermédiaires pouvant influer fortement sur les chaînes de valeur (prix, accès au marché)</w:t>
            </w:r>
          </w:p>
          <w:p w:rsidR="001C3334" w:rsidRPr="00640626" w:rsidRDefault="009748B0" w:rsidP="00672B89">
            <w:pPr>
              <w:rPr>
                <w:lang w:val="fr-FR"/>
              </w:rPr>
            </w:pPr>
            <w:r w:rsidRPr="00640626">
              <w:rPr>
                <w:lang w:val="fr-FR"/>
              </w:rPr>
              <w:t xml:space="preserve">Organisations constituées au niveau communautaire trop faibles pour peser sur les organes de prise de décisions </w:t>
            </w:r>
          </w:p>
          <w:p w:rsidR="001C3334" w:rsidRPr="00640626" w:rsidRDefault="009748B0" w:rsidP="00672B89">
            <w:pPr>
              <w:rPr>
                <w:lang w:val="fr-FR"/>
              </w:rPr>
            </w:pPr>
            <w:r w:rsidRPr="00640626">
              <w:rPr>
                <w:lang w:val="fr-FR"/>
              </w:rPr>
              <w:t>Accès restreint ou inexistant des travailleurs du secteur des pêches aux processus décisionnels en raison d’une mauvaise organisation</w:t>
            </w:r>
          </w:p>
        </w:tc>
        <w:tc>
          <w:tcPr>
            <w:tcW w:w="4863" w:type="dxa"/>
            <w:gridSpan w:val="2"/>
          </w:tcPr>
          <w:p w:rsidR="009748B0" w:rsidRPr="00640626" w:rsidRDefault="00B03D21" w:rsidP="00672B89">
            <w:pPr>
              <w:rPr>
                <w:lang w:val="fr-FR"/>
              </w:rPr>
            </w:pPr>
            <w:r w:rsidRPr="00640626">
              <w:rPr>
                <w:lang w:val="fr-FR"/>
              </w:rPr>
              <w:t>Reconnaissance, pour les travailleurs des exploitations aquacoles, des droits à l’organisation, à la négociation collective ainsi qu’à la participation à la planification, au développement et à la gestion aquacoles</w:t>
            </w:r>
          </w:p>
          <w:p w:rsidR="009748B0" w:rsidRPr="00640626" w:rsidRDefault="009748B0" w:rsidP="00672B89">
            <w:pPr>
              <w:rPr>
                <w:lang w:val="fr-FR"/>
              </w:rPr>
            </w:pPr>
            <w:r w:rsidRPr="00640626">
              <w:rPr>
                <w:lang w:val="fr-FR"/>
              </w:rPr>
              <w:t xml:space="preserve">Soutien aux organisations professionnelles et aux coopératives locales, de manière à aider les </w:t>
            </w:r>
            <w:r w:rsidR="00B03D21" w:rsidRPr="00640626">
              <w:rPr>
                <w:lang w:val="fr-FR"/>
              </w:rPr>
              <w:t>aquaculteurs artisanaux</w:t>
            </w:r>
            <w:r w:rsidRPr="00640626">
              <w:rPr>
                <w:lang w:val="fr-FR"/>
              </w:rPr>
              <w:t xml:space="preserve"> à intégrer les chaînes de valeur</w:t>
            </w:r>
          </w:p>
          <w:p w:rsidR="001C3334" w:rsidRPr="00640626" w:rsidRDefault="009748B0" w:rsidP="00672B89">
            <w:pPr>
              <w:rPr>
                <w:lang w:val="fr-FR"/>
              </w:rPr>
            </w:pPr>
            <w:r w:rsidRPr="00640626">
              <w:rPr>
                <w:lang w:val="fr-FR"/>
              </w:rPr>
              <w:t>Aide aux coopératives aquacoles dans les négociations avec les intermédiaires commerciaux</w:t>
            </w:r>
          </w:p>
          <w:p w:rsidR="001C3334" w:rsidRPr="00640626" w:rsidRDefault="00287752" w:rsidP="00672B89">
            <w:pPr>
              <w:rPr>
                <w:lang w:val="fr-FR"/>
              </w:rPr>
            </w:pPr>
            <w:r w:rsidRPr="00640626">
              <w:rPr>
                <w:lang w:val="fr-FR"/>
              </w:rPr>
              <w:t xml:space="preserve">Octroi aux </w:t>
            </w:r>
            <w:r w:rsidR="009748B0" w:rsidRPr="00640626">
              <w:rPr>
                <w:lang w:val="fr-FR"/>
              </w:rPr>
              <w:t>organisations d’</w:t>
            </w:r>
            <w:r w:rsidRPr="00640626">
              <w:rPr>
                <w:lang w:val="fr-FR"/>
              </w:rPr>
              <w:t xml:space="preserve">aquaculteurs de l’autorité </w:t>
            </w:r>
            <w:r w:rsidR="00B03D21" w:rsidRPr="00640626">
              <w:rPr>
                <w:lang w:val="fr-FR"/>
              </w:rPr>
              <w:t>voulue</w:t>
            </w:r>
            <w:r w:rsidRPr="00640626">
              <w:rPr>
                <w:lang w:val="fr-FR"/>
              </w:rPr>
              <w:t xml:space="preserve"> pour </w:t>
            </w:r>
            <w:r w:rsidR="009748B0" w:rsidRPr="00640626">
              <w:rPr>
                <w:lang w:val="fr-FR"/>
              </w:rPr>
              <w:t>participer activement au dialogue sur les politiques ainsi qu’aux mécanismes de gouvernance de l’aquaculture</w:t>
            </w:r>
          </w:p>
          <w:p w:rsidR="001C3334" w:rsidRPr="00640626" w:rsidRDefault="00287752" w:rsidP="00672B89">
            <w:pPr>
              <w:rPr>
                <w:lang w:val="fr-FR"/>
              </w:rPr>
            </w:pPr>
            <w:r w:rsidRPr="00640626">
              <w:rPr>
                <w:lang w:val="fr-FR"/>
              </w:rPr>
              <w:t>Renforcement de la collaboration entre associations d’aquaculteurs, notamment au travers de la mise en place de réseaux et de plates-formes permettant d’échanger des informations et facilitant la participation à l’établissement des politiques et à la prise de décision</w:t>
            </w:r>
          </w:p>
        </w:tc>
      </w:tr>
    </w:tbl>
    <w:p w:rsidR="001C3334" w:rsidRPr="00640626" w:rsidRDefault="001C3334" w:rsidP="001C3334">
      <w:pPr>
        <w:rPr>
          <w:lang w:val="fr-FR"/>
        </w:rPr>
      </w:pPr>
    </w:p>
    <w:p w:rsidR="001C3334" w:rsidRPr="00640626" w:rsidRDefault="001C3334" w:rsidP="001C3334">
      <w:pPr>
        <w:rPr>
          <w:lang w:val="fr-FR"/>
        </w:rPr>
      </w:pPr>
    </w:p>
    <w:p w:rsidR="001C3334" w:rsidRPr="00640626" w:rsidRDefault="001C3334" w:rsidP="001C3334">
      <w:pPr>
        <w:rPr>
          <w:lang w:val="fr-FR"/>
        </w:rPr>
      </w:pPr>
    </w:p>
    <w:p w:rsidR="001C3334" w:rsidRPr="00640626" w:rsidRDefault="001C3334" w:rsidP="001C3334">
      <w:pPr>
        <w:rPr>
          <w:lang w:val="fr-FR"/>
        </w:rPr>
      </w:pPr>
    </w:p>
    <w:p w:rsidR="0022317E" w:rsidRPr="00640626" w:rsidRDefault="0022317E" w:rsidP="001C3334">
      <w:pPr>
        <w:rPr>
          <w:lang w:val="fr-FR"/>
        </w:rPr>
      </w:pPr>
    </w:p>
    <w:sectPr w:rsidR="0022317E" w:rsidRPr="00640626" w:rsidSect="001C3334">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D3E" w:rsidRDefault="00A25D3E" w:rsidP="001C3334">
      <w:pPr>
        <w:spacing w:after="0"/>
      </w:pPr>
      <w:r>
        <w:separator/>
      </w:r>
    </w:p>
  </w:endnote>
  <w:endnote w:type="continuationSeparator" w:id="0">
    <w:p w:rsidR="00A25D3E" w:rsidRDefault="00A25D3E" w:rsidP="001C33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A6" w:rsidRDefault="005E61A6">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A6" w:rsidRDefault="005E61A6">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5E61A6" w:rsidTr="00A4004C">
      <w:tc>
        <w:tcPr>
          <w:tcW w:w="9071" w:type="dxa"/>
        </w:tcPr>
        <w:p w:rsidR="005E61A6" w:rsidRDefault="005E61A6" w:rsidP="00A4004C">
          <w:pPr>
            <w:pStyle w:val="Note"/>
            <w:textboxTightWrap w:val="allLines"/>
            <w:rPr>
              <w:lang w:val="en-US"/>
            </w:rPr>
          </w:pPr>
          <w:r w:rsidRPr="00055F0C">
            <w:rPr>
              <w:lang w:val="en-US"/>
            </w:rPr>
            <w:t xml:space="preserve">Le </w:t>
          </w:r>
          <w:proofErr w:type="spellStart"/>
          <w:r w:rsidRPr="00055F0C">
            <w:rPr>
              <w:lang w:val="en-US"/>
            </w:rPr>
            <w:t>tirage</w:t>
          </w:r>
          <w:proofErr w:type="spellEnd"/>
          <w:r w:rsidRPr="00055F0C">
            <w:rPr>
              <w:lang w:val="en-US"/>
            </w:rPr>
            <w:t xml:space="preserve"> du </w:t>
          </w:r>
          <w:proofErr w:type="spellStart"/>
          <w:r w:rsidRPr="00055F0C">
            <w:rPr>
              <w:lang w:val="en-US"/>
            </w:rPr>
            <w:t>présent</w:t>
          </w:r>
          <w:proofErr w:type="spellEnd"/>
          <w:r w:rsidRPr="00055F0C">
            <w:rPr>
              <w:lang w:val="en-US"/>
            </w:rPr>
            <w:t xml:space="preserve"> document </w:t>
          </w:r>
          <w:proofErr w:type="spellStart"/>
          <w:r w:rsidRPr="00055F0C">
            <w:rPr>
              <w:lang w:val="en-US"/>
            </w:rPr>
            <w:t>est</w:t>
          </w:r>
          <w:proofErr w:type="spellEnd"/>
          <w:r w:rsidRPr="00055F0C">
            <w:rPr>
              <w:lang w:val="en-US"/>
            </w:rPr>
            <w:t xml:space="preserve"> </w:t>
          </w:r>
          <w:proofErr w:type="spellStart"/>
          <w:r w:rsidRPr="00055F0C">
            <w:rPr>
              <w:lang w:val="en-US"/>
            </w:rPr>
            <w:t>limité</w:t>
          </w:r>
          <w:proofErr w:type="spellEnd"/>
          <w:r w:rsidRPr="00055F0C">
            <w:rPr>
              <w:lang w:val="en-US"/>
            </w:rPr>
            <w:t xml:space="preserve"> pour </w:t>
          </w:r>
          <w:proofErr w:type="spellStart"/>
          <w:r w:rsidRPr="00055F0C">
            <w:rPr>
              <w:lang w:val="en-US"/>
            </w:rPr>
            <w:t>réduire</w:t>
          </w:r>
          <w:proofErr w:type="spellEnd"/>
          <w:r w:rsidRPr="00055F0C">
            <w:rPr>
              <w:lang w:val="en-US"/>
            </w:rPr>
            <w:t xml:space="preserve"> au maximum </w:t>
          </w:r>
          <w:proofErr w:type="spellStart"/>
          <w:r w:rsidRPr="00055F0C">
            <w:rPr>
              <w:lang w:val="en-US"/>
            </w:rPr>
            <w:t>l'impact</w:t>
          </w:r>
          <w:proofErr w:type="spellEnd"/>
          <w:r w:rsidRPr="00055F0C">
            <w:rPr>
              <w:lang w:val="en-US"/>
            </w:rPr>
            <w:t xml:space="preserve"> des </w:t>
          </w:r>
          <w:proofErr w:type="spellStart"/>
          <w:r w:rsidRPr="00055F0C">
            <w:rPr>
              <w:lang w:val="en-US"/>
            </w:rPr>
            <w:t>méthodes</w:t>
          </w:r>
          <w:proofErr w:type="spellEnd"/>
          <w:r w:rsidRPr="00055F0C">
            <w:rPr>
              <w:lang w:val="en-US"/>
            </w:rPr>
            <w:t xml:space="preserve"> de travail de la FAO sur </w:t>
          </w:r>
          <w:proofErr w:type="spellStart"/>
          <w:r w:rsidRPr="00055F0C">
            <w:rPr>
              <w:lang w:val="en-US"/>
            </w:rPr>
            <w:t>l'environnement</w:t>
          </w:r>
          <w:proofErr w:type="spellEnd"/>
          <w:r w:rsidRPr="00055F0C">
            <w:rPr>
              <w:lang w:val="en-US"/>
            </w:rPr>
            <w:t xml:space="preserve"> et </w:t>
          </w:r>
          <w:proofErr w:type="spellStart"/>
          <w:r w:rsidRPr="00055F0C">
            <w:rPr>
              <w:lang w:val="en-US"/>
            </w:rPr>
            <w:t>contribuer</w:t>
          </w:r>
          <w:proofErr w:type="spellEnd"/>
          <w:r w:rsidRPr="00055F0C">
            <w:rPr>
              <w:lang w:val="en-US"/>
            </w:rPr>
            <w:t xml:space="preserve"> à la </w:t>
          </w:r>
          <w:proofErr w:type="spellStart"/>
          <w:r w:rsidRPr="00055F0C">
            <w:rPr>
              <w:lang w:val="en-US"/>
            </w:rPr>
            <w:t>neutralité</w:t>
          </w:r>
          <w:proofErr w:type="spellEnd"/>
          <w:r w:rsidRPr="00055F0C">
            <w:rPr>
              <w:lang w:val="en-US"/>
            </w:rPr>
            <w:t xml:space="preserve"> </w:t>
          </w:r>
          <w:proofErr w:type="spellStart"/>
          <w:r w:rsidRPr="00055F0C">
            <w:rPr>
              <w:lang w:val="en-US"/>
            </w:rPr>
            <w:t>climatique</w:t>
          </w:r>
          <w:proofErr w:type="spellEnd"/>
          <w:r w:rsidRPr="00055F0C">
            <w:rPr>
              <w:lang w:val="en-US"/>
            </w:rPr>
            <w:t xml:space="preserve">. Les </w:t>
          </w:r>
          <w:proofErr w:type="spellStart"/>
          <w:r w:rsidRPr="00055F0C">
            <w:rPr>
              <w:lang w:val="en-US"/>
            </w:rPr>
            <w:t>délégués</w:t>
          </w:r>
          <w:proofErr w:type="spellEnd"/>
          <w:r w:rsidRPr="00055F0C">
            <w:rPr>
              <w:lang w:val="en-US"/>
            </w:rPr>
            <w:t xml:space="preserve"> et </w:t>
          </w:r>
          <w:proofErr w:type="spellStart"/>
          <w:r w:rsidRPr="00055F0C">
            <w:rPr>
              <w:lang w:val="en-US"/>
            </w:rPr>
            <w:t>observateurs</w:t>
          </w:r>
          <w:proofErr w:type="spellEnd"/>
          <w:r w:rsidRPr="00055F0C">
            <w:rPr>
              <w:lang w:val="en-US"/>
            </w:rPr>
            <w:t xml:space="preserve"> </w:t>
          </w:r>
          <w:proofErr w:type="spellStart"/>
          <w:r w:rsidRPr="00055F0C">
            <w:rPr>
              <w:lang w:val="en-US"/>
            </w:rPr>
            <w:t>sont</w:t>
          </w:r>
          <w:proofErr w:type="spellEnd"/>
          <w:r w:rsidRPr="00055F0C">
            <w:rPr>
              <w:lang w:val="en-US"/>
            </w:rPr>
            <w:t xml:space="preserve"> </w:t>
          </w:r>
          <w:proofErr w:type="spellStart"/>
          <w:r w:rsidRPr="00055F0C">
            <w:rPr>
              <w:lang w:val="en-US"/>
            </w:rPr>
            <w:t>priés</w:t>
          </w:r>
          <w:proofErr w:type="spellEnd"/>
          <w:r w:rsidRPr="00055F0C">
            <w:rPr>
              <w:lang w:val="en-US"/>
            </w:rPr>
            <w:t xml:space="preserve"> </w:t>
          </w:r>
          <w:proofErr w:type="spellStart"/>
          <w:r w:rsidRPr="00055F0C">
            <w:rPr>
              <w:lang w:val="en-US"/>
            </w:rPr>
            <w:t>d'apporter</w:t>
          </w:r>
          <w:proofErr w:type="spellEnd"/>
          <w:r w:rsidRPr="00055F0C">
            <w:rPr>
              <w:lang w:val="en-US"/>
            </w:rPr>
            <w:t xml:space="preserve"> </w:t>
          </w:r>
          <w:proofErr w:type="spellStart"/>
          <w:r w:rsidRPr="00055F0C">
            <w:rPr>
              <w:lang w:val="en-US"/>
            </w:rPr>
            <w:t>leur</w:t>
          </w:r>
          <w:proofErr w:type="spellEnd"/>
          <w:r w:rsidRPr="00055F0C">
            <w:rPr>
              <w:lang w:val="en-US"/>
            </w:rPr>
            <w:t xml:space="preserve"> </w:t>
          </w:r>
          <w:proofErr w:type="spellStart"/>
          <w:r w:rsidRPr="00055F0C">
            <w:rPr>
              <w:lang w:val="en-US"/>
            </w:rPr>
            <w:t>exemplaire</w:t>
          </w:r>
          <w:proofErr w:type="spellEnd"/>
          <w:r w:rsidRPr="00055F0C">
            <w:rPr>
              <w:lang w:val="en-US"/>
            </w:rPr>
            <w:t xml:space="preserve"> personnel </w:t>
          </w:r>
          <w:proofErr w:type="spellStart"/>
          <w:r w:rsidRPr="00055F0C">
            <w:rPr>
              <w:lang w:val="en-US"/>
            </w:rPr>
            <w:t>en</w:t>
          </w:r>
          <w:proofErr w:type="spellEnd"/>
          <w:r w:rsidRPr="00055F0C">
            <w:rPr>
              <w:lang w:val="en-US"/>
            </w:rPr>
            <w:t xml:space="preserve"> séance et de ne pas demander de copies </w:t>
          </w:r>
          <w:proofErr w:type="spellStart"/>
          <w:r w:rsidRPr="00055F0C">
            <w:rPr>
              <w:lang w:val="en-US"/>
            </w:rPr>
            <w:t>supplémentaires</w:t>
          </w:r>
          <w:proofErr w:type="spellEnd"/>
          <w:r w:rsidRPr="00055F0C">
            <w:rPr>
              <w:lang w:val="en-US"/>
            </w:rPr>
            <w:t xml:space="preserve">. La </w:t>
          </w:r>
          <w:proofErr w:type="spellStart"/>
          <w:r w:rsidRPr="00055F0C">
            <w:rPr>
              <w:lang w:val="en-US"/>
            </w:rPr>
            <w:t>plupart</w:t>
          </w:r>
          <w:proofErr w:type="spellEnd"/>
          <w:r w:rsidRPr="00055F0C">
            <w:rPr>
              <w:lang w:val="en-US"/>
            </w:rPr>
            <w:t xml:space="preserve"> des documents de </w:t>
          </w:r>
          <w:proofErr w:type="spellStart"/>
          <w:r w:rsidRPr="00055F0C">
            <w:rPr>
              <w:lang w:val="en-US"/>
            </w:rPr>
            <w:t>réunion</w:t>
          </w:r>
          <w:proofErr w:type="spellEnd"/>
          <w:r w:rsidRPr="00055F0C">
            <w:rPr>
              <w:lang w:val="en-US"/>
            </w:rPr>
            <w:t xml:space="preserve"> </w:t>
          </w:r>
          <w:r w:rsidR="004E52B2">
            <w:rPr>
              <w:lang w:val="en-US"/>
            </w:rPr>
            <w:t xml:space="preserve">de la FAO </w:t>
          </w:r>
          <w:proofErr w:type="spellStart"/>
          <w:r w:rsidR="004E52B2">
            <w:rPr>
              <w:lang w:val="en-US"/>
            </w:rPr>
            <w:t>sont</w:t>
          </w:r>
          <w:proofErr w:type="spellEnd"/>
          <w:r w:rsidR="004E52B2">
            <w:rPr>
              <w:lang w:val="en-US"/>
            </w:rPr>
            <w:t xml:space="preserve"> </w:t>
          </w:r>
          <w:proofErr w:type="spellStart"/>
          <w:r w:rsidR="004E52B2">
            <w:rPr>
              <w:lang w:val="en-US"/>
            </w:rPr>
            <w:t>disponibles</w:t>
          </w:r>
          <w:proofErr w:type="spellEnd"/>
          <w:r w:rsidR="004E52B2">
            <w:rPr>
              <w:lang w:val="en-US"/>
            </w:rPr>
            <w:t xml:space="preserve"> sur i</w:t>
          </w:r>
          <w:r w:rsidRPr="00055F0C">
            <w:rPr>
              <w:lang w:val="en-US"/>
            </w:rPr>
            <w:t xml:space="preserve">nternet, à </w:t>
          </w:r>
          <w:proofErr w:type="spellStart"/>
          <w:r w:rsidRPr="00055F0C">
            <w:rPr>
              <w:lang w:val="en-US"/>
            </w:rPr>
            <w:t>l'adresse</w:t>
          </w:r>
          <w:proofErr w:type="spellEnd"/>
          <w:r w:rsidRPr="00055F0C">
            <w:rPr>
              <w:lang w:val="en-US"/>
            </w:rPr>
            <w:t xml:space="preserve"> www.fao.org</w:t>
          </w:r>
          <w:r w:rsidR="004E52B2">
            <w:rPr>
              <w:lang w:val="en-US"/>
            </w:rPr>
            <w:t>.</w:t>
          </w:r>
        </w:p>
      </w:tc>
    </w:tr>
  </w:tbl>
  <w:p w:rsidR="005E61A6" w:rsidRPr="009C0B0C" w:rsidRDefault="004E52B2" w:rsidP="00A4004C">
    <w:pPr>
      <w:rPr>
        <w:lang w:val="en-US"/>
      </w:rPr>
    </w:pPr>
    <w:bookmarkStart w:id="10" w:name="FooterInformationBookmark"/>
    <w:r>
      <w:rPr>
        <w:lang w:val="en-US"/>
      </w:rPr>
      <w:t>MO258/f</w:t>
    </w:r>
    <w:r w:rsidR="005E61A6">
      <w:rPr>
        <w:lang w:val="en-US"/>
      </w:rPr>
      <w:t xml:space="preserve"> </w:t>
    </w:r>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D3E" w:rsidRDefault="00A25D3E" w:rsidP="001C3334">
      <w:pPr>
        <w:spacing w:after="0"/>
      </w:pPr>
      <w:r>
        <w:separator/>
      </w:r>
    </w:p>
  </w:footnote>
  <w:footnote w:type="continuationSeparator" w:id="0">
    <w:p w:rsidR="00A25D3E" w:rsidRDefault="00A25D3E" w:rsidP="001C3334">
      <w:pPr>
        <w:spacing w:after="0"/>
      </w:pPr>
      <w:r>
        <w:continuationSeparator/>
      </w:r>
    </w:p>
  </w:footnote>
  <w:footnote w:id="1">
    <w:p w:rsidR="005E61A6" w:rsidRPr="00640626" w:rsidRDefault="005E61A6" w:rsidP="001C3334">
      <w:pPr>
        <w:autoSpaceDE w:val="0"/>
        <w:autoSpaceDN w:val="0"/>
        <w:adjustRightInd w:val="0"/>
        <w:spacing w:after="0"/>
        <w:rPr>
          <w:rFonts w:cs="Times New Roman"/>
          <w:sz w:val="18"/>
          <w:szCs w:val="18"/>
          <w:lang w:val="fr-FR"/>
        </w:rPr>
      </w:pPr>
      <w:r w:rsidRPr="00640626">
        <w:rPr>
          <w:rStyle w:val="FootnoteReference"/>
          <w:sz w:val="18"/>
          <w:szCs w:val="18"/>
          <w:lang w:val="fr-FR"/>
        </w:rPr>
        <w:footnoteRef/>
      </w:r>
      <w:r w:rsidRPr="00640626">
        <w:rPr>
          <w:szCs w:val="18"/>
          <w:lang w:val="fr-FR"/>
        </w:rPr>
        <w:t xml:space="preserve"> </w:t>
      </w:r>
      <w:r w:rsidRPr="00640626">
        <w:rPr>
          <w:rFonts w:cs="Times New Roman"/>
          <w:sz w:val="18"/>
          <w:szCs w:val="18"/>
          <w:lang w:val="fr-FR"/>
        </w:rPr>
        <w:t xml:space="preserve">FAO. 2014. La situation mondiale des pêches et de l’aquaculture 2014: </w:t>
      </w:r>
      <w:hyperlink r:id="rId1" w:history="1">
        <w:r w:rsidRPr="00640626">
          <w:rPr>
            <w:sz w:val="18"/>
            <w:szCs w:val="18"/>
            <w:lang w:val="fr-FR"/>
          </w:rPr>
          <w:t>http://www.fao.org/3/a-i3720f.pdf</w:t>
        </w:r>
      </w:hyperlink>
    </w:p>
  </w:footnote>
  <w:footnote w:id="2">
    <w:p w:rsidR="005E61A6" w:rsidRPr="00640626" w:rsidRDefault="005E61A6" w:rsidP="001C3334">
      <w:pPr>
        <w:shd w:val="clear" w:color="auto" w:fill="FFFFFF"/>
        <w:spacing w:after="0"/>
        <w:rPr>
          <w:lang w:val="fr-FR"/>
        </w:rPr>
      </w:pPr>
      <w:r w:rsidRPr="00640626">
        <w:rPr>
          <w:rStyle w:val="FootnoteReference"/>
          <w:rFonts w:cs="Times New Roman"/>
          <w:sz w:val="18"/>
          <w:szCs w:val="18"/>
          <w:lang w:val="fr-FR"/>
        </w:rPr>
        <w:footnoteRef/>
      </w:r>
      <w:r w:rsidRPr="00640626">
        <w:rPr>
          <w:rFonts w:cs="Times New Roman"/>
          <w:sz w:val="18"/>
          <w:szCs w:val="18"/>
          <w:lang w:val="fr-FR"/>
        </w:rPr>
        <w:t xml:space="preserve"> HLPE, 2014. La durabilité de la pêche et de l’aquaculture au service de la sécurité alimentaire et de la nutrition. </w:t>
      </w:r>
      <w:hyperlink r:id="rId2" w:history="1">
        <w:r w:rsidRPr="00640626">
          <w:rPr>
            <w:rStyle w:val="Hyperlink"/>
            <w:rFonts w:cs="Times New Roman"/>
            <w:sz w:val="18"/>
            <w:szCs w:val="18"/>
            <w:lang w:val="fr-FR"/>
          </w:rPr>
          <w:t>http://www.fao.org/3/a-i3844f.pdf</w:t>
        </w:r>
      </w:hyperlink>
    </w:p>
  </w:footnote>
  <w:footnote w:id="3">
    <w:p w:rsidR="005E61A6" w:rsidRPr="00640626" w:rsidRDefault="005E61A6" w:rsidP="001C3334">
      <w:pPr>
        <w:contextualSpacing/>
        <w:rPr>
          <w:lang w:val="fr-FR"/>
        </w:rPr>
      </w:pPr>
      <w:r w:rsidRPr="00640626">
        <w:rPr>
          <w:rStyle w:val="FootnoteReference"/>
          <w:rFonts w:cs="Times New Roman"/>
          <w:sz w:val="18"/>
          <w:szCs w:val="18"/>
          <w:lang w:val="fr-FR"/>
        </w:rPr>
        <w:footnoteRef/>
      </w:r>
      <w:r w:rsidRPr="00640626">
        <w:rPr>
          <w:rFonts w:cs="Times New Roman"/>
          <w:sz w:val="18"/>
          <w:szCs w:val="18"/>
          <w:lang w:val="fr-FR"/>
        </w:rPr>
        <w:t xml:space="preserve"> Déficit de t</w:t>
      </w:r>
      <w:r w:rsidR="006F28C9" w:rsidRPr="00640626">
        <w:rPr>
          <w:rFonts w:cs="Times New Roman"/>
          <w:sz w:val="18"/>
          <w:szCs w:val="18"/>
          <w:lang w:val="fr-FR"/>
        </w:rPr>
        <w:t>ravail décent</w:t>
      </w:r>
      <w:r w:rsidRPr="00640626">
        <w:rPr>
          <w:rFonts w:cs="Times New Roman"/>
          <w:sz w:val="18"/>
          <w:szCs w:val="18"/>
          <w:lang w:val="fr-FR"/>
        </w:rPr>
        <w:t>: insuffisance de possibilités d’emploi, déni des droits des travailleurs, protection sociale déficiente et/ou absence de dialogue social. OIT, 2001. Réduire le déficit de travail décent.</w:t>
      </w:r>
    </w:p>
  </w:footnote>
  <w:footnote w:id="4">
    <w:p w:rsidR="005E61A6" w:rsidRPr="00640626" w:rsidRDefault="005E61A6" w:rsidP="001C3334">
      <w:pPr>
        <w:spacing w:after="0"/>
        <w:rPr>
          <w:lang w:val="fr-FR"/>
        </w:rPr>
      </w:pPr>
      <w:r w:rsidRPr="00640626">
        <w:rPr>
          <w:rStyle w:val="FootnoteReference"/>
          <w:rFonts w:cs="Times New Roman"/>
          <w:sz w:val="18"/>
          <w:szCs w:val="18"/>
          <w:lang w:val="fr-FR"/>
        </w:rPr>
        <w:footnoteRef/>
      </w:r>
      <w:r w:rsidRPr="00640626">
        <w:rPr>
          <w:rFonts w:cs="Times New Roman"/>
          <w:sz w:val="18"/>
          <w:szCs w:val="18"/>
          <w:lang w:val="fr-FR"/>
        </w:rPr>
        <w:t xml:space="preserve"> CFS 2014. La situation mondiale des pêches et de l’aquaculture 2014.</w:t>
      </w:r>
      <w:r w:rsidR="004E52B2" w:rsidRPr="00640626">
        <w:rPr>
          <w:rFonts w:cs="Times New Roman"/>
          <w:sz w:val="18"/>
          <w:szCs w:val="18"/>
          <w:lang w:val="fr-FR"/>
        </w:rPr>
        <w:t xml:space="preserve"> </w:t>
      </w:r>
      <w:hyperlink r:id="rId3" w:history="1">
        <w:r w:rsidRPr="00640626">
          <w:rPr>
            <w:rStyle w:val="Hyperlink"/>
            <w:rFonts w:cs="Times New Roman"/>
            <w:color w:val="auto"/>
            <w:sz w:val="18"/>
            <w:szCs w:val="18"/>
            <w:u w:val="none"/>
            <w:lang w:val="fr-FR"/>
          </w:rPr>
          <w:t>http://www.fao.org/fileadmin/templates/cfs/Docs1314/CFS41/CFS41_Final_Report_FR.pdf</w:t>
        </w:r>
      </w:hyperlink>
    </w:p>
  </w:footnote>
  <w:footnote w:id="5">
    <w:p w:rsidR="005E61A6" w:rsidRPr="00640626" w:rsidRDefault="005E61A6" w:rsidP="001C3334">
      <w:pPr>
        <w:pStyle w:val="FootnoteText"/>
        <w:rPr>
          <w:lang w:val="fr-FR"/>
        </w:rPr>
      </w:pPr>
      <w:r w:rsidRPr="00640626">
        <w:rPr>
          <w:rStyle w:val="FootnoteReference"/>
          <w:rFonts w:cs="Times New Roman"/>
          <w:sz w:val="18"/>
          <w:szCs w:val="18"/>
          <w:lang w:val="fr-FR"/>
        </w:rPr>
        <w:footnoteRef/>
      </w:r>
      <w:r w:rsidRPr="00640626">
        <w:rPr>
          <w:rFonts w:cs="Times New Roman"/>
          <w:sz w:val="18"/>
          <w:szCs w:val="18"/>
          <w:lang w:val="fr-FR"/>
        </w:rPr>
        <w:t xml:space="preserve"> En 2014, </w:t>
      </w:r>
      <w:r w:rsidR="00E81D90" w:rsidRPr="00640626">
        <w:rPr>
          <w:rFonts w:cs="Times New Roman"/>
          <w:sz w:val="18"/>
          <w:szCs w:val="18"/>
          <w:lang w:val="fr-FR"/>
        </w:rPr>
        <w:t>le Comité</w:t>
      </w:r>
      <w:r w:rsidRPr="00640626">
        <w:rPr>
          <w:rFonts w:cs="Times New Roman"/>
          <w:sz w:val="18"/>
          <w:szCs w:val="18"/>
          <w:lang w:val="fr-FR"/>
        </w:rPr>
        <w:t xml:space="preserve"> des pêches a examiné les questions de la pêche INN, de la sécurité en mer et des conditions de travail. </w:t>
      </w:r>
      <w:r w:rsidR="00E81D90" w:rsidRPr="00640626">
        <w:rPr>
          <w:rFonts w:cs="Times New Roman"/>
          <w:sz w:val="18"/>
          <w:szCs w:val="18"/>
          <w:lang w:val="fr-FR"/>
        </w:rPr>
        <w:t>Il</w:t>
      </w:r>
      <w:r w:rsidRPr="00640626">
        <w:rPr>
          <w:rFonts w:cs="Times New Roman"/>
          <w:sz w:val="18"/>
          <w:szCs w:val="18"/>
          <w:lang w:val="fr-FR"/>
        </w:rPr>
        <w:t xml:space="preserve"> a également entériné les directives d'application volontaire visant à assurer la durabilité de la pêche artisanale relatives aux questions sociales, à l’emploi et au travail décent.</w:t>
      </w:r>
    </w:p>
  </w:footnote>
  <w:footnote w:id="6">
    <w:p w:rsidR="005E61A6" w:rsidRPr="00640626" w:rsidRDefault="005E61A6" w:rsidP="001C3334">
      <w:pPr>
        <w:pStyle w:val="FootnoteText"/>
        <w:rPr>
          <w:lang w:val="fr-FR"/>
        </w:rPr>
      </w:pPr>
      <w:r w:rsidRPr="00640626">
        <w:rPr>
          <w:rStyle w:val="FootnoteReference"/>
          <w:sz w:val="18"/>
          <w:szCs w:val="18"/>
          <w:lang w:val="fr-FR"/>
        </w:rPr>
        <w:footnoteRef/>
      </w:r>
      <w:r w:rsidRPr="00640626">
        <w:rPr>
          <w:lang w:val="fr-FR"/>
        </w:rPr>
        <w:t xml:space="preserve"> </w:t>
      </w:r>
      <w:r w:rsidR="004E52B2" w:rsidRPr="00640626">
        <w:rPr>
          <w:rFonts w:cs="Times New Roman"/>
          <w:sz w:val="18"/>
          <w:szCs w:val="18"/>
          <w:lang w:val="fr-FR"/>
        </w:rPr>
        <w:t>Code de Conduite pour une pêche r</w:t>
      </w:r>
      <w:r w:rsidRPr="00640626">
        <w:rPr>
          <w:rFonts w:cs="Times New Roman"/>
          <w:sz w:val="18"/>
          <w:szCs w:val="18"/>
          <w:lang w:val="fr-FR"/>
        </w:rPr>
        <w:t>esponsable</w:t>
      </w:r>
      <w:r w:rsidRPr="00640626">
        <w:rPr>
          <w:sz w:val="22"/>
          <w:szCs w:val="22"/>
          <w:lang w:val="fr-FR"/>
        </w:rPr>
        <w:t xml:space="preserve"> </w:t>
      </w:r>
      <w:hyperlink r:id="rId4" w:history="1">
        <w:r w:rsidRPr="00640626">
          <w:rPr>
            <w:sz w:val="18"/>
            <w:szCs w:val="18"/>
            <w:lang w:val="fr-FR"/>
          </w:rPr>
          <w:t>http://www.fao.org/docrep/005/V9878F/V9878F00.HTM</w:t>
        </w:r>
      </w:hyperlink>
    </w:p>
  </w:footnote>
  <w:footnote w:id="7">
    <w:p w:rsidR="005E61A6" w:rsidRPr="00640626" w:rsidRDefault="005E61A6" w:rsidP="001C3334">
      <w:pPr>
        <w:autoSpaceDE w:val="0"/>
        <w:autoSpaceDN w:val="0"/>
        <w:adjustRightInd w:val="0"/>
        <w:spacing w:after="0"/>
        <w:rPr>
          <w:lang w:val="fr-FR"/>
        </w:rPr>
      </w:pPr>
      <w:r w:rsidRPr="00640626">
        <w:rPr>
          <w:rStyle w:val="FootnoteReference"/>
          <w:sz w:val="18"/>
          <w:szCs w:val="18"/>
          <w:lang w:val="fr-FR"/>
        </w:rPr>
        <w:footnoteRef/>
      </w:r>
      <w:r w:rsidRPr="00640626">
        <w:rPr>
          <w:szCs w:val="18"/>
          <w:lang w:val="fr-FR"/>
        </w:rPr>
        <w:t xml:space="preserve"> </w:t>
      </w:r>
      <w:r w:rsidRPr="00640626">
        <w:rPr>
          <w:rFonts w:cs="Times New Roman"/>
          <w:sz w:val="18"/>
          <w:szCs w:val="18"/>
          <w:lang w:val="fr-FR"/>
        </w:rPr>
        <w:t>http://www.fao.org/3/a-av092f.pdf</w:t>
      </w:r>
    </w:p>
  </w:footnote>
  <w:footnote w:id="8">
    <w:p w:rsidR="005E61A6" w:rsidRPr="00640626" w:rsidRDefault="005E61A6" w:rsidP="00F15433">
      <w:pPr>
        <w:spacing w:after="0"/>
        <w:contextualSpacing/>
        <w:jc w:val="both"/>
        <w:rPr>
          <w:rFonts w:cs="Times New Roman"/>
          <w:sz w:val="18"/>
          <w:szCs w:val="18"/>
          <w:lang w:val="fr-FR"/>
        </w:rPr>
      </w:pPr>
      <w:r w:rsidRPr="00640626">
        <w:rPr>
          <w:rStyle w:val="FootnoteReference"/>
          <w:rFonts w:cs="Times New Roman"/>
          <w:sz w:val="18"/>
          <w:szCs w:val="18"/>
          <w:lang w:val="fr-FR"/>
        </w:rPr>
        <w:footnoteRef/>
      </w:r>
      <w:r w:rsidRPr="00640626">
        <w:rPr>
          <w:rFonts w:cs="Times New Roman"/>
          <w:sz w:val="18"/>
          <w:szCs w:val="18"/>
          <w:lang w:val="fr-FR"/>
        </w:rPr>
        <w:t xml:space="preserve"> La Déclaration de 1998 de l'OIT relative aux principes et droits fondamentaux au travail stipule que l’ensemble des membres ont l’obligation de promouvoir et de réaliser de bonne foi les principes concernant les droits fondamentaux qui sont l'objet d</w:t>
      </w:r>
      <w:r w:rsidR="00082B55" w:rsidRPr="00640626">
        <w:rPr>
          <w:rFonts w:cs="Times New Roman"/>
          <w:sz w:val="18"/>
          <w:szCs w:val="18"/>
          <w:lang w:val="fr-FR"/>
        </w:rPr>
        <w:t xml:space="preserve">esdites conventions, à savoir: </w:t>
      </w:r>
      <w:r w:rsidRPr="00640626">
        <w:rPr>
          <w:rFonts w:cs="Times New Roman"/>
          <w:sz w:val="18"/>
          <w:szCs w:val="18"/>
          <w:lang w:val="fr-FR"/>
        </w:rPr>
        <w:t>a) la liberté d'association et la reconnaissance effective du droit de négociation collective; b) l'élimination de toute forme de travail forcé ou obligatoire; c) l'abolition effective du travail des enfants; d)</w:t>
      </w:r>
      <w:r w:rsidR="00082B55" w:rsidRPr="00640626">
        <w:rPr>
          <w:rFonts w:cs="Times New Roman"/>
          <w:sz w:val="18"/>
          <w:szCs w:val="18"/>
          <w:lang w:val="fr-FR"/>
        </w:rPr>
        <w:t> </w:t>
      </w:r>
      <w:r w:rsidRPr="00640626">
        <w:rPr>
          <w:rFonts w:cs="Times New Roman"/>
          <w:sz w:val="18"/>
          <w:szCs w:val="18"/>
          <w:lang w:val="fr-FR"/>
        </w:rPr>
        <w:t>l'élimination de la discrimination en matière d'emploi et de profession.</w:t>
      </w:r>
    </w:p>
  </w:footnote>
  <w:footnote w:id="9">
    <w:p w:rsidR="005E61A6" w:rsidRPr="00640626" w:rsidRDefault="005E61A6" w:rsidP="001C3334">
      <w:pPr>
        <w:pStyle w:val="FootnoteText"/>
        <w:rPr>
          <w:lang w:val="fr-FR"/>
        </w:rPr>
      </w:pPr>
      <w:r w:rsidRPr="00640626">
        <w:rPr>
          <w:rStyle w:val="FootnoteReference"/>
          <w:sz w:val="18"/>
          <w:szCs w:val="18"/>
          <w:lang w:val="fr-FR"/>
        </w:rPr>
        <w:footnoteRef/>
      </w:r>
      <w:r w:rsidRPr="00640626">
        <w:rPr>
          <w:lang w:val="fr-FR"/>
        </w:rPr>
        <w:t xml:space="preserve"> OIT. 2007. Outils pour l’intégration de l’emploi et du travail décent. </w:t>
      </w:r>
      <w:hyperlink r:id="rId5" w:history="1">
        <w:r w:rsidRPr="00640626">
          <w:rPr>
            <w:lang w:val="fr-FR"/>
          </w:rPr>
          <w:t>http://www.ilo.org/pardev/partnerships-and-relations/ceb-toolkit/WCMS_172610/lang--en/index.htm</w:t>
        </w:r>
      </w:hyperlink>
    </w:p>
  </w:footnote>
  <w:footnote w:id="10">
    <w:p w:rsidR="005E61A6" w:rsidRPr="00640626" w:rsidRDefault="005E61A6" w:rsidP="001C3334">
      <w:pPr>
        <w:pStyle w:val="FootnoteText"/>
        <w:rPr>
          <w:lang w:val="fr-FR"/>
        </w:rPr>
      </w:pPr>
      <w:r w:rsidRPr="00640626">
        <w:rPr>
          <w:smallCaps/>
          <w:vertAlign w:val="superscript"/>
          <w:lang w:val="fr-FR"/>
        </w:rPr>
        <w:footnoteRef/>
      </w:r>
      <w:r w:rsidRPr="00640626">
        <w:rPr>
          <w:lang w:val="fr-FR"/>
        </w:rPr>
        <w:t xml:space="preserve"> Kokanova</w:t>
      </w:r>
      <w:r w:rsidR="004E52B2" w:rsidRPr="00640626">
        <w:rPr>
          <w:lang w:val="fr-FR"/>
        </w:rPr>
        <w:t xml:space="preserve"> </w:t>
      </w:r>
      <w:r w:rsidRPr="00640626">
        <w:rPr>
          <w:lang w:val="fr-FR"/>
        </w:rPr>
        <w:t>et al. 2015. Decent work in fisheries and aquaculture. Étude de cadrage.</w:t>
      </w:r>
      <w:r w:rsidR="004E52B2" w:rsidRPr="00640626">
        <w:rPr>
          <w:lang w:val="fr-FR"/>
        </w:rPr>
        <w:t xml:space="preserve"> </w:t>
      </w:r>
      <w:r w:rsidRPr="00640626">
        <w:rPr>
          <w:lang w:val="fr-FR"/>
        </w:rPr>
        <w:t>FAO FI/ESP SO3 OO2 Team. Ces questions ont été identifiées au travers d’un processus consultatif et d’une vaste étude documentaire.</w:t>
      </w:r>
    </w:p>
  </w:footnote>
  <w:footnote w:id="11">
    <w:p w:rsidR="005E61A6" w:rsidRPr="00640626" w:rsidRDefault="005E61A6" w:rsidP="001C3334">
      <w:pPr>
        <w:pStyle w:val="FootnoteText"/>
        <w:rPr>
          <w:sz w:val="18"/>
          <w:szCs w:val="18"/>
          <w:lang w:val="fr-FR"/>
        </w:rPr>
      </w:pPr>
      <w:r w:rsidRPr="00640626">
        <w:rPr>
          <w:rStyle w:val="FootnoteReference"/>
          <w:sz w:val="18"/>
          <w:szCs w:val="18"/>
          <w:lang w:val="fr-FR"/>
        </w:rPr>
        <w:footnoteRef/>
      </w:r>
      <w:r w:rsidRPr="00640626">
        <w:rPr>
          <w:lang w:val="fr-FR"/>
        </w:rPr>
        <w:t xml:space="preserve"> </w:t>
      </w:r>
      <w:r w:rsidRPr="00640626">
        <w:rPr>
          <w:sz w:val="18"/>
          <w:szCs w:val="18"/>
          <w:lang w:val="fr-FR"/>
        </w:rPr>
        <w:t xml:space="preserve">Déclaration </w:t>
      </w:r>
      <w:r w:rsidR="00FD1872" w:rsidRPr="00640626">
        <w:rPr>
          <w:sz w:val="18"/>
          <w:szCs w:val="18"/>
          <w:lang w:val="fr-FR"/>
        </w:rPr>
        <w:t>universelle</w:t>
      </w:r>
      <w:r w:rsidRPr="00640626">
        <w:rPr>
          <w:sz w:val="18"/>
          <w:szCs w:val="18"/>
          <w:lang w:val="fr-FR"/>
        </w:rPr>
        <w:t xml:space="preserve"> des droits de l’homme. Articles 23 et 24.</w:t>
      </w:r>
    </w:p>
  </w:footnote>
  <w:footnote w:id="12">
    <w:p w:rsidR="005E61A6" w:rsidRPr="00640626" w:rsidRDefault="005E61A6" w:rsidP="001C3334">
      <w:pPr>
        <w:pStyle w:val="FootnoteText"/>
        <w:rPr>
          <w:sz w:val="18"/>
          <w:szCs w:val="18"/>
          <w:lang w:val="fr-FR"/>
        </w:rPr>
      </w:pPr>
      <w:r w:rsidRPr="00640626">
        <w:rPr>
          <w:smallCaps/>
          <w:sz w:val="18"/>
          <w:szCs w:val="18"/>
          <w:lang w:val="fr-FR"/>
        </w:rPr>
        <w:footnoteRef/>
      </w:r>
      <w:r w:rsidRPr="00640626">
        <w:rPr>
          <w:sz w:val="18"/>
          <w:szCs w:val="18"/>
          <w:lang w:val="fr-FR"/>
        </w:rPr>
        <w:t xml:space="preserve"> FAO-ILO Guidance on Addressing Child Labour in Fisheries and Aquaculture: http://www.fao.org/docrep/018/i3318e/i3318e.pdf</w:t>
      </w:r>
    </w:p>
  </w:footnote>
  <w:footnote w:id="13">
    <w:p w:rsidR="005E61A6" w:rsidRPr="00640626" w:rsidRDefault="005E61A6" w:rsidP="001C3334">
      <w:pPr>
        <w:spacing w:after="0"/>
        <w:rPr>
          <w:lang w:val="fr-FR"/>
        </w:rPr>
      </w:pPr>
      <w:r w:rsidRPr="00640626">
        <w:rPr>
          <w:smallCaps/>
          <w:sz w:val="18"/>
          <w:szCs w:val="18"/>
          <w:lang w:val="fr-FR"/>
        </w:rPr>
        <w:footnoteRef/>
      </w:r>
      <w:r w:rsidRPr="00640626">
        <w:rPr>
          <w:sz w:val="18"/>
          <w:szCs w:val="18"/>
          <w:lang w:val="fr-FR"/>
        </w:rPr>
        <w:t xml:space="preserve"> </w:t>
      </w:r>
      <w:hyperlink r:id="rId6" w:history="1">
        <w:r w:rsidRPr="00640626">
          <w:rPr>
            <w:sz w:val="18"/>
            <w:szCs w:val="18"/>
            <w:lang w:val="fr-FR"/>
          </w:rPr>
          <w:t>http://issuu.com/eurofish/docs/eurofish_magazine_6_14/19?e=0</w:t>
        </w:r>
      </w:hyperlink>
    </w:p>
  </w:footnote>
  <w:footnote w:id="14">
    <w:p w:rsidR="005E61A6" w:rsidRPr="00640626" w:rsidRDefault="005E61A6" w:rsidP="001C3334">
      <w:pPr>
        <w:pStyle w:val="FootnoteText"/>
        <w:rPr>
          <w:sz w:val="18"/>
          <w:szCs w:val="18"/>
          <w:lang w:val="fr-FR"/>
        </w:rPr>
      </w:pPr>
      <w:r w:rsidRPr="00640626">
        <w:rPr>
          <w:rStyle w:val="FootnoteReference"/>
          <w:sz w:val="18"/>
          <w:szCs w:val="18"/>
          <w:lang w:val="fr-FR"/>
        </w:rPr>
        <w:footnoteRef/>
      </w:r>
      <w:r w:rsidRPr="00640626">
        <w:rPr>
          <w:lang w:val="fr-FR"/>
        </w:rPr>
        <w:t xml:space="preserve"> </w:t>
      </w:r>
      <w:r w:rsidRPr="00640626">
        <w:rPr>
          <w:sz w:val="18"/>
          <w:szCs w:val="18"/>
          <w:lang w:val="fr-FR"/>
        </w:rPr>
        <w:t>Code de conduite de la FAO pour</w:t>
      </w:r>
      <w:r w:rsidR="00FD1872" w:rsidRPr="00640626">
        <w:rPr>
          <w:sz w:val="18"/>
          <w:szCs w:val="18"/>
          <w:lang w:val="fr-FR"/>
        </w:rPr>
        <w:t xml:space="preserve"> une pêche responsa</w:t>
      </w:r>
      <w:r w:rsidRPr="00640626">
        <w:rPr>
          <w:sz w:val="18"/>
          <w:szCs w:val="18"/>
          <w:lang w:val="fr-FR"/>
        </w:rPr>
        <w:t xml:space="preserve">ble. Dispositions 6.13, 6.17, 6.18, 8.1.5, </w:t>
      </w:r>
      <w:r w:rsidR="00640626" w:rsidRPr="00640626">
        <w:rPr>
          <w:sz w:val="18"/>
          <w:szCs w:val="18"/>
          <w:lang w:val="fr-FR"/>
        </w:rPr>
        <w:t>8.3.2.</w:t>
      </w:r>
    </w:p>
  </w:footnote>
  <w:footnote w:id="15">
    <w:p w:rsidR="005E61A6" w:rsidRPr="00640626" w:rsidRDefault="005E61A6" w:rsidP="001C3334">
      <w:pPr>
        <w:pStyle w:val="FootnoteText"/>
        <w:rPr>
          <w:sz w:val="18"/>
          <w:szCs w:val="18"/>
          <w:lang w:val="fr-FR"/>
        </w:rPr>
      </w:pPr>
      <w:r w:rsidRPr="00640626">
        <w:rPr>
          <w:rStyle w:val="FootnoteReference"/>
          <w:sz w:val="18"/>
          <w:szCs w:val="18"/>
          <w:lang w:val="fr-FR"/>
        </w:rPr>
        <w:footnoteRef/>
      </w:r>
      <w:r w:rsidR="00C6364A" w:rsidRPr="00640626">
        <w:rPr>
          <w:sz w:val="18"/>
          <w:szCs w:val="18"/>
          <w:lang w:val="fr-FR"/>
        </w:rPr>
        <w:t xml:space="preserve"> </w:t>
      </w:r>
      <w:r w:rsidRPr="00640626">
        <w:rPr>
          <w:sz w:val="18"/>
          <w:szCs w:val="18"/>
          <w:lang w:val="fr-FR"/>
        </w:rPr>
        <w:t>Directives techniques relatives à la certification en aquaculture.</w:t>
      </w:r>
      <w:r w:rsidR="004E52B2" w:rsidRPr="00640626">
        <w:rPr>
          <w:sz w:val="18"/>
          <w:szCs w:val="18"/>
          <w:lang w:val="fr-FR"/>
        </w:rPr>
        <w:t xml:space="preserve"> </w:t>
      </w:r>
      <w:r w:rsidRPr="00640626">
        <w:rPr>
          <w:sz w:val="18"/>
          <w:szCs w:val="18"/>
          <w:lang w:val="fr-FR"/>
        </w:rPr>
        <w:t xml:space="preserve"> http://www.fao.org/docrep/015/i2296t/i2296t00.htm</w:t>
      </w:r>
    </w:p>
  </w:footnote>
  <w:footnote w:id="16">
    <w:p w:rsidR="005E61A6" w:rsidRPr="00640626" w:rsidRDefault="005E61A6" w:rsidP="001C3334">
      <w:pPr>
        <w:tabs>
          <w:tab w:val="left" w:pos="270"/>
          <w:tab w:val="left" w:pos="540"/>
        </w:tabs>
        <w:spacing w:after="0"/>
        <w:rPr>
          <w:sz w:val="18"/>
          <w:szCs w:val="18"/>
          <w:lang w:val="fr-FR"/>
        </w:rPr>
      </w:pPr>
      <w:r w:rsidRPr="00640626">
        <w:rPr>
          <w:rStyle w:val="FootnoteReference"/>
          <w:sz w:val="18"/>
          <w:szCs w:val="18"/>
          <w:lang w:val="fr-FR"/>
        </w:rPr>
        <w:footnoteRef/>
      </w:r>
      <w:r w:rsidR="00C6364A" w:rsidRPr="00640626">
        <w:rPr>
          <w:sz w:val="18"/>
          <w:szCs w:val="18"/>
          <w:lang w:val="fr-FR"/>
        </w:rPr>
        <w:t xml:space="preserve"> </w:t>
      </w:r>
      <w:r w:rsidRPr="00640626">
        <w:rPr>
          <w:sz w:val="18"/>
          <w:szCs w:val="18"/>
          <w:lang w:val="fr-FR"/>
        </w:rPr>
        <w:t xml:space="preserve">GFCM 2014 Blue Growth in the Mediterranean and the Black Sea: developing sustainable aquaculture for food security. </w:t>
      </w:r>
      <w:hyperlink r:id="rId7" w:history="1">
        <w:r w:rsidRPr="00640626">
          <w:rPr>
            <w:sz w:val="18"/>
            <w:szCs w:val="18"/>
            <w:lang w:val="fr-FR"/>
          </w:rPr>
          <w:t>http://www.aquaculture2014.org/conference-conclusions/</w:t>
        </w:r>
      </w:hyperlink>
    </w:p>
  </w:footnote>
  <w:footnote w:id="17">
    <w:p w:rsidR="005E61A6" w:rsidRPr="00640626" w:rsidRDefault="005E61A6" w:rsidP="001C3334">
      <w:pPr>
        <w:spacing w:after="0"/>
        <w:rPr>
          <w:sz w:val="18"/>
          <w:szCs w:val="18"/>
          <w:lang w:val="fr-FR"/>
        </w:rPr>
      </w:pPr>
      <w:r w:rsidRPr="00640626">
        <w:rPr>
          <w:rStyle w:val="FootnoteReference"/>
          <w:sz w:val="18"/>
          <w:szCs w:val="18"/>
          <w:lang w:val="fr-FR"/>
        </w:rPr>
        <w:footnoteRef/>
      </w:r>
      <w:r w:rsidRPr="00640626">
        <w:rPr>
          <w:sz w:val="18"/>
          <w:szCs w:val="18"/>
          <w:lang w:val="fr-FR"/>
        </w:rPr>
        <w:t xml:space="preserve"> Environmental and Social Management Guidelines. FAO 2015. </w:t>
      </w:r>
      <w:hyperlink r:id="rId8" w:history="1">
        <w:r w:rsidRPr="00640626">
          <w:rPr>
            <w:sz w:val="18"/>
            <w:szCs w:val="18"/>
            <w:lang w:val="fr-FR"/>
          </w:rPr>
          <w:t>http://www.fao.org/3/a-i4413e.pdf</w:t>
        </w:r>
      </w:hyperlink>
    </w:p>
  </w:footnote>
  <w:footnote w:id="18">
    <w:p w:rsidR="005E61A6" w:rsidRPr="00640626" w:rsidRDefault="005E61A6" w:rsidP="001C3334">
      <w:pPr>
        <w:autoSpaceDE w:val="0"/>
        <w:autoSpaceDN w:val="0"/>
        <w:adjustRightInd w:val="0"/>
        <w:spacing w:after="0"/>
        <w:rPr>
          <w:sz w:val="18"/>
          <w:szCs w:val="18"/>
          <w:lang w:val="fr-FR"/>
        </w:rPr>
      </w:pPr>
      <w:r w:rsidRPr="00640626">
        <w:rPr>
          <w:rStyle w:val="FootnoteReference"/>
          <w:sz w:val="18"/>
          <w:szCs w:val="18"/>
          <w:lang w:val="fr-FR"/>
        </w:rPr>
        <w:footnoteRef/>
      </w:r>
      <w:r w:rsidRPr="00640626">
        <w:rPr>
          <w:sz w:val="18"/>
          <w:szCs w:val="18"/>
          <w:lang w:val="fr-FR"/>
        </w:rPr>
        <w:t xml:space="preserve"> Hishamunda, N., Cai, J.</w:t>
      </w:r>
      <w:r w:rsidR="004E52B2" w:rsidRPr="00640626">
        <w:rPr>
          <w:sz w:val="18"/>
          <w:szCs w:val="18"/>
          <w:lang w:val="fr-FR"/>
        </w:rPr>
        <w:t xml:space="preserve"> </w:t>
      </w:r>
      <w:r w:rsidRPr="00640626">
        <w:rPr>
          <w:sz w:val="18"/>
          <w:szCs w:val="18"/>
          <w:lang w:val="fr-FR"/>
        </w:rPr>
        <w:t>&amp; PS Leung. 2009: Aquaculture commerciale et croissance économique, réduction de la pauvreté et sécurité alimentaire. Document technique FAO sur les pêches et l'aquaculture. http://www.fao.org/docrep/014/i0974f/i0974f00.htm</w:t>
      </w:r>
    </w:p>
  </w:footnote>
  <w:footnote w:id="19">
    <w:p w:rsidR="005E61A6" w:rsidRPr="00640626" w:rsidRDefault="005E61A6" w:rsidP="001C3334">
      <w:pPr>
        <w:autoSpaceDE w:val="0"/>
        <w:autoSpaceDN w:val="0"/>
        <w:adjustRightInd w:val="0"/>
        <w:spacing w:after="0"/>
        <w:rPr>
          <w:lang w:val="fr-FR"/>
        </w:rPr>
      </w:pPr>
      <w:r w:rsidRPr="00640626">
        <w:rPr>
          <w:rStyle w:val="FootnoteReference"/>
          <w:sz w:val="18"/>
          <w:szCs w:val="18"/>
          <w:lang w:val="fr-FR"/>
        </w:rPr>
        <w:footnoteRef/>
      </w:r>
      <w:r w:rsidRPr="00640626">
        <w:rPr>
          <w:sz w:val="18"/>
          <w:szCs w:val="18"/>
          <w:lang w:val="fr-FR"/>
        </w:rPr>
        <w:t xml:space="preserve"> Hishamunda, N., Bueno, P., Menezes, A.M., Ridler, N., Wattage, P. &amp; Martone, E. 2014. Improving governance in aquaculture employment: a global assessment. Document technique FAO sur les pêches et l'aquaculture. </w:t>
      </w:r>
      <w:hyperlink r:id="rId9" w:history="1">
        <w:r w:rsidRPr="00640626">
          <w:rPr>
            <w:sz w:val="18"/>
            <w:szCs w:val="18"/>
            <w:lang w:val="fr-FR"/>
          </w:rPr>
          <w:t>http://www.fao.org/3/a-i3128e.pdf</w:t>
        </w:r>
      </w:hyperlink>
    </w:p>
  </w:footnote>
  <w:footnote w:id="20">
    <w:p w:rsidR="005E61A6" w:rsidRPr="00640626" w:rsidRDefault="005E61A6" w:rsidP="001C3334">
      <w:pPr>
        <w:spacing w:after="0"/>
        <w:rPr>
          <w:lang w:val="fr-FR"/>
        </w:rPr>
      </w:pPr>
      <w:r w:rsidRPr="00640626">
        <w:rPr>
          <w:rStyle w:val="FootnoteReference"/>
          <w:sz w:val="18"/>
          <w:szCs w:val="18"/>
          <w:lang w:val="fr-FR"/>
        </w:rPr>
        <w:footnoteRef/>
      </w:r>
      <w:r w:rsidRPr="00640626">
        <w:rPr>
          <w:szCs w:val="18"/>
          <w:lang w:val="fr-FR"/>
        </w:rPr>
        <w:t xml:space="preserve"> </w:t>
      </w:r>
      <w:r w:rsidRPr="00640626">
        <w:rPr>
          <w:sz w:val="18"/>
          <w:szCs w:val="18"/>
          <w:lang w:val="fr-FR"/>
        </w:rPr>
        <w:t>Ali, A., Dejen, E. &amp; L. Awity. 2014. Commercial Aquaculture: Diversification of the agricultural base for employment creation for young people. The Case of Kenyan Fish Farming and Enterprise Productivity Program and supplementary case studies from Nigeria, Rwanda and Uganda. FAO Regional Office for Africa.</w:t>
      </w:r>
    </w:p>
  </w:footnote>
  <w:footnote w:id="21">
    <w:p w:rsidR="005E61A6" w:rsidRPr="00640626" w:rsidRDefault="005E61A6" w:rsidP="001C3334">
      <w:pPr>
        <w:pStyle w:val="FootnoteText"/>
        <w:rPr>
          <w:lang w:val="fr-FR"/>
        </w:rPr>
      </w:pPr>
      <w:r w:rsidRPr="00640626">
        <w:rPr>
          <w:rStyle w:val="FootnoteReference"/>
          <w:sz w:val="18"/>
          <w:szCs w:val="18"/>
          <w:lang w:val="fr-FR"/>
        </w:rPr>
        <w:footnoteRef/>
      </w:r>
      <w:r w:rsidRPr="00640626">
        <w:rPr>
          <w:lang w:val="fr-FR"/>
        </w:rPr>
        <w:t xml:space="preserve"> </w:t>
      </w:r>
      <w:r w:rsidRPr="00640626">
        <w:rPr>
          <w:sz w:val="18"/>
          <w:szCs w:val="18"/>
          <w:lang w:val="fr-FR"/>
        </w:rPr>
        <w:t>AUC-NEPAD. 2014. Policy framework and reform strategy for fisheries and aquaculture in Africa. http://www.africanfisheries.org/knowledge-output/policy-framework-and-reform-strategy-fisheries-and-aquaculture-africa</w:t>
      </w:r>
    </w:p>
  </w:footnote>
  <w:footnote w:id="22">
    <w:p w:rsidR="005E61A6" w:rsidRPr="00640626" w:rsidRDefault="005E61A6" w:rsidP="001C3334">
      <w:pPr>
        <w:spacing w:after="0"/>
        <w:rPr>
          <w:lang w:val="fr-FR"/>
        </w:rPr>
      </w:pPr>
      <w:r w:rsidRPr="00640626">
        <w:rPr>
          <w:rStyle w:val="FootnoteReference"/>
          <w:sz w:val="18"/>
          <w:szCs w:val="18"/>
          <w:lang w:val="fr-FR"/>
        </w:rPr>
        <w:footnoteRef/>
      </w:r>
      <w:r w:rsidRPr="00640626">
        <w:rPr>
          <w:szCs w:val="18"/>
          <w:lang w:val="fr-FR"/>
        </w:rPr>
        <w:t xml:space="preserve"> </w:t>
      </w:r>
      <w:r w:rsidR="00FD1872" w:rsidRPr="00640626">
        <w:rPr>
          <w:sz w:val="18"/>
          <w:szCs w:val="18"/>
          <w:lang w:val="fr-FR"/>
        </w:rPr>
        <w:t xml:space="preserve">FAO, </w:t>
      </w:r>
      <w:r w:rsidRPr="00640626">
        <w:rPr>
          <w:sz w:val="18"/>
          <w:szCs w:val="18"/>
          <w:lang w:val="fr-FR"/>
        </w:rPr>
        <w:t xml:space="preserve">2014. Les jeunes et le développement de l’aquaculture et de l’élevage en Afrique. Conférence régionale de la FAO pour l’Afrique 2014 (ARC/14//INF/8). </w:t>
      </w:r>
      <w:hyperlink r:id="rId10" w:history="1">
        <w:r w:rsidRPr="00640626">
          <w:rPr>
            <w:rStyle w:val="Hyperlink"/>
            <w:color w:val="auto"/>
            <w:sz w:val="18"/>
            <w:szCs w:val="18"/>
            <w:u w:val="none"/>
            <w:lang w:val="fr-FR"/>
          </w:rPr>
          <w:t>http://www.fao.org/docrep/meeting/030/mj632f.pdf</w:t>
        </w:r>
      </w:hyperlink>
    </w:p>
  </w:footnote>
  <w:footnote w:id="23">
    <w:p w:rsidR="005E61A6" w:rsidRPr="00640626" w:rsidRDefault="005E61A6" w:rsidP="001C3334">
      <w:pPr>
        <w:pStyle w:val="FootnoteText"/>
        <w:rPr>
          <w:lang w:val="fr-FR"/>
        </w:rPr>
      </w:pPr>
      <w:r w:rsidRPr="00640626">
        <w:rPr>
          <w:rStyle w:val="FootnoteReference"/>
          <w:sz w:val="18"/>
          <w:szCs w:val="18"/>
          <w:lang w:val="fr-FR"/>
        </w:rPr>
        <w:footnoteRef/>
      </w:r>
      <w:r w:rsidRPr="00640626">
        <w:rPr>
          <w:lang w:val="fr-FR"/>
        </w:rPr>
        <w:t xml:space="preserve"> petites et moyennes entreprises</w:t>
      </w:r>
    </w:p>
  </w:footnote>
  <w:footnote w:id="24">
    <w:p w:rsidR="005E61A6" w:rsidRPr="00640626" w:rsidRDefault="005E61A6" w:rsidP="0033635F">
      <w:pPr>
        <w:autoSpaceDE w:val="0"/>
        <w:autoSpaceDN w:val="0"/>
        <w:adjustRightInd w:val="0"/>
        <w:spacing w:after="0"/>
        <w:rPr>
          <w:szCs w:val="18"/>
          <w:lang w:val="fr-FR"/>
        </w:rPr>
      </w:pPr>
      <w:r w:rsidRPr="00640626">
        <w:rPr>
          <w:rStyle w:val="FootnoteReference"/>
          <w:sz w:val="18"/>
          <w:szCs w:val="18"/>
          <w:lang w:val="fr-FR"/>
        </w:rPr>
        <w:footnoteRef/>
      </w:r>
      <w:r w:rsidRPr="00640626">
        <w:rPr>
          <w:lang w:val="fr-FR"/>
        </w:rPr>
        <w:t xml:space="preserve"> </w:t>
      </w:r>
      <w:hyperlink r:id="rId11" w:history="1">
        <w:r w:rsidRPr="00640626">
          <w:rPr>
            <w:rStyle w:val="Hyperlink"/>
            <w:color w:val="auto"/>
            <w:sz w:val="18"/>
            <w:szCs w:val="18"/>
            <w:u w:val="none"/>
            <w:lang w:val="fr-FR"/>
          </w:rPr>
          <w:t>http://www.fao-ilo.org/fao-ilo-youth/fao-ilo-jffls/fr/</w:t>
        </w:r>
      </w:hyperlink>
      <w:r w:rsidRPr="00640626">
        <w:rPr>
          <w:szCs w:val="18"/>
          <w:lang w:val="fr-FR"/>
        </w:rPr>
        <w:t xml:space="preserve"> </w:t>
      </w:r>
    </w:p>
    <w:p w:rsidR="005E61A6" w:rsidRPr="00640626" w:rsidRDefault="005E61A6" w:rsidP="001C3334">
      <w:pPr>
        <w:pStyle w:val="FootnoteText"/>
        <w:jc w:val="both"/>
        <w:rPr>
          <w:lang w:val="fr-FR"/>
        </w:rPr>
      </w:pPr>
      <w:r w:rsidRPr="00640626">
        <w:rPr>
          <w:color w:val="0000FF"/>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A6" w:rsidRPr="001A0BFF" w:rsidRDefault="005E61A6" w:rsidP="00A4004C">
    <w:pPr>
      <w:pStyle w:val="Underlined"/>
    </w:pPr>
    <w:r>
      <w:fldChar w:fldCharType="begin"/>
    </w:r>
    <w:r>
      <w:instrText xml:space="preserve"> PAGE  \* Arabic  \* MERGEFORMAT </w:instrText>
    </w:r>
    <w:r>
      <w:fldChar w:fldCharType="separate"/>
    </w:r>
    <w:r w:rsidR="000E6396">
      <w:rPr>
        <w:noProof/>
      </w:rPr>
      <w:t>2</w:t>
    </w:r>
    <w:r>
      <w:rPr>
        <w:noProof/>
      </w:rPr>
      <w:fldChar w:fldCharType="end"/>
    </w:r>
    <w:r>
      <w:ptab w:relativeTo="margin" w:alignment="right" w:leader="none"/>
    </w:r>
    <w:r w:rsidRPr="00172E88">
      <w:t xml:space="preserve"> </w:t>
    </w:r>
    <w:bookmarkStart w:id="4" w:name="EvenIdentificationBookmark"/>
    <w:r>
      <w:t xml:space="preserve">COFI:AQ/VIII/2015/9 </w:t>
    </w:r>
    <w:bookmarkEnd w:id="4"/>
  </w:p>
  <w:p w:rsidR="005E61A6" w:rsidRPr="00F939F5" w:rsidRDefault="005E61A6" w:rsidP="00A400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A6" w:rsidRPr="001A0BFF" w:rsidRDefault="005E61A6" w:rsidP="00A4004C">
    <w:pPr>
      <w:pStyle w:val="Underlined"/>
    </w:pPr>
    <w:bookmarkStart w:id="5" w:name="OddIdentificationBookmark"/>
    <w:r>
      <w:t xml:space="preserve">COFI:AQ/VIII/2015/9 </w:t>
    </w:r>
    <w:bookmarkEnd w:id="5"/>
    <w:r>
      <w:ptab w:relativeTo="margin" w:alignment="right" w:leader="none"/>
    </w:r>
    <w:r>
      <w:fldChar w:fldCharType="begin"/>
    </w:r>
    <w:r>
      <w:instrText xml:space="preserve"> PAGE  \* Arabic  \* MERGEFORMAT </w:instrText>
    </w:r>
    <w:r>
      <w:fldChar w:fldCharType="separate"/>
    </w:r>
    <w:r w:rsidR="000E6396">
      <w:rPr>
        <w:noProof/>
      </w:rPr>
      <w:t>15</w:t>
    </w:r>
    <w:r>
      <w:rPr>
        <w:noProof/>
      </w:rPr>
      <w:fldChar w:fldCharType="end"/>
    </w:r>
  </w:p>
  <w:p w:rsidR="005E61A6" w:rsidRPr="00F939F5" w:rsidRDefault="005E61A6" w:rsidP="00A4004C">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A6" w:rsidRPr="00734C44" w:rsidRDefault="00640D24" w:rsidP="00A4004C">
    <w:pPr>
      <w:pStyle w:val="LanguageSymbol"/>
      <w:framePr w:wrap="around"/>
    </w:pPr>
    <w:bookmarkStart w:id="6" w:name="LanguageSymbolBookmark"/>
    <w:r>
      <w:t>F</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5E61A6" w:rsidTr="00A4004C">
      <w:trPr>
        <w:jc w:val="center"/>
      </w:trPr>
      <w:tc>
        <w:tcPr>
          <w:tcW w:w="2500" w:type="pct"/>
          <w:noWrap/>
          <w:tcMar>
            <w:left w:w="0" w:type="dxa"/>
          </w:tcMar>
        </w:tcPr>
        <w:p w:rsidR="005E61A6" w:rsidRDefault="005E61A6" w:rsidP="004E52B2">
          <w:bookmarkStart w:id="7" w:name="PublicationDateBookmark"/>
          <w:bookmarkEnd w:id="6"/>
          <w:r>
            <w:t>Ju</w:t>
          </w:r>
          <w:r w:rsidR="004E52B2">
            <w:t>illet</w:t>
          </w:r>
          <w:r>
            <w:t xml:space="preserve"> 2015 </w:t>
          </w:r>
          <w:bookmarkEnd w:id="7"/>
        </w:p>
      </w:tc>
      <w:tc>
        <w:tcPr>
          <w:tcW w:w="2500" w:type="pct"/>
          <w:noWrap/>
          <w:tcMar>
            <w:right w:w="0" w:type="dxa"/>
          </w:tcMar>
        </w:tcPr>
        <w:p w:rsidR="005E61A6" w:rsidRDefault="005E61A6" w:rsidP="00A4004C">
          <w:pPr>
            <w:jc w:val="right"/>
          </w:pPr>
          <w:bookmarkStart w:id="8" w:name="FirstCoverIdentificationBookmark"/>
          <w:r>
            <w:t xml:space="preserve">COFI:AQ/VIII/2015/9 </w:t>
          </w:r>
          <w:bookmarkEnd w:id="8"/>
        </w:p>
      </w:tc>
    </w:tr>
  </w:tbl>
  <w:p w:rsidR="005E61A6" w:rsidRPr="008E01CD" w:rsidRDefault="005E61A6" w:rsidP="00A4004C">
    <w:pPr>
      <w:pBdr>
        <w:bottom w:val="single" w:sz="12" w:space="0" w:color="auto"/>
      </w:pBdr>
      <w:contextualSpacing/>
      <w:rPr>
        <w:sz w:val="4"/>
      </w:rPr>
    </w:pPr>
  </w:p>
  <w:p w:rsidR="005E61A6" w:rsidRDefault="005E61A6" w:rsidP="00A4004C">
    <w:pPr>
      <w:jc w:val="center"/>
    </w:pPr>
    <w:bookmarkStart w:id="9" w:name="LogoBookmark"/>
    <w:r>
      <w:rPr>
        <w:noProof/>
        <w:lang w:eastAsia="en-GB"/>
      </w:rPr>
      <w:drawing>
        <wp:inline distT="0" distB="0" distL="0" distR="0" wp14:anchorId="79943F39" wp14:editId="474A59AE">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r w:rsidR="004E52B2">
      <w:t xml:space="preserve"> </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rPr>
        <w:rFonts w:cs="Times New Roman"/>
      </w:rPr>
    </w:lvl>
    <w:lvl w:ilvl="1">
      <w:start w:val="1"/>
      <w:numFmt w:val="upperLetter"/>
      <w:pStyle w:val="Heading2"/>
      <w:lvlText w:val="%2."/>
      <w:legacy w:legacy="1" w:legacySpace="0" w:legacyIndent="708"/>
      <w:lvlJc w:val="left"/>
      <w:pPr>
        <w:ind w:left="709" w:hanging="708"/>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2C992785"/>
    <w:multiLevelType w:val="multilevel"/>
    <w:tmpl w:val="0D6C4876"/>
    <w:styleLink w:val="WesternSequentialList"/>
    <w:lvl w:ilvl="0">
      <w:start w:val="1"/>
      <w:numFmt w:val="decimal"/>
      <w:lvlText w:val="%1)"/>
      <w:lvlJc w:val="left"/>
      <w:pPr>
        <w:ind w:left="720" w:hanging="363"/>
      </w:pPr>
      <w:rPr>
        <w:rFonts w:cs="Times New Roman" w:hint="default"/>
      </w:rPr>
    </w:lvl>
    <w:lvl w:ilvl="1">
      <w:start w:val="1"/>
      <w:numFmt w:val="lowerLetter"/>
      <w:lvlText w:val="%2)"/>
      <w:lvlJc w:val="left"/>
      <w:pPr>
        <w:ind w:left="1077" w:hanging="357"/>
      </w:pPr>
      <w:rPr>
        <w:rFonts w:cs="Times New Roman" w:hint="default"/>
      </w:rPr>
    </w:lvl>
    <w:lvl w:ilvl="2">
      <w:start w:val="1"/>
      <w:numFmt w:val="lowerRoman"/>
      <w:lvlText w:val="%3)"/>
      <w:lvlJc w:val="left"/>
      <w:pPr>
        <w:ind w:left="1440" w:hanging="363"/>
      </w:pPr>
      <w:rPr>
        <w:rFonts w:cs="Times New Roman" w:hint="default"/>
      </w:rPr>
    </w:lvl>
    <w:lvl w:ilvl="3">
      <w:start w:val="1"/>
      <w:numFmt w:val="lowerLetter"/>
      <w:lvlText w:val="%4)"/>
      <w:lvlJc w:val="left"/>
      <w:pPr>
        <w:ind w:left="1797" w:hanging="357"/>
      </w:pPr>
      <w:rPr>
        <w:rFonts w:cs="Times New Roman" w:hint="default"/>
      </w:rPr>
    </w:lvl>
    <w:lvl w:ilvl="4">
      <w:start w:val="1"/>
      <w:numFmt w:val="decimal"/>
      <w:lvlText w:val="%5)"/>
      <w:lvlJc w:val="left"/>
      <w:pPr>
        <w:ind w:left="2160" w:hanging="363"/>
      </w:pPr>
      <w:rPr>
        <w:rFonts w:cs="Times New Roman" w:hint="default"/>
      </w:rPr>
    </w:lvl>
    <w:lvl w:ilvl="5">
      <w:start w:val="1"/>
      <w:numFmt w:val="lowerLetter"/>
      <w:lvlText w:val="%6)"/>
      <w:lvlJc w:val="left"/>
      <w:pPr>
        <w:ind w:left="2517" w:hanging="357"/>
      </w:pPr>
      <w:rPr>
        <w:rFonts w:cs="Times New Roman" w:hint="default"/>
      </w:rPr>
    </w:lvl>
    <w:lvl w:ilvl="6">
      <w:start w:val="1"/>
      <w:numFmt w:val="lowerRoman"/>
      <w:lvlText w:val="%7)"/>
      <w:lvlJc w:val="left"/>
      <w:pPr>
        <w:ind w:left="2880" w:hanging="363"/>
      </w:pPr>
      <w:rPr>
        <w:rFonts w:cs="Times New Roman" w:hint="default"/>
      </w:rPr>
    </w:lvl>
    <w:lvl w:ilvl="7">
      <w:start w:val="1"/>
      <w:numFmt w:val="lowerLetter"/>
      <w:lvlText w:val="%8)"/>
      <w:lvlJc w:val="left"/>
      <w:pPr>
        <w:tabs>
          <w:tab w:val="num" w:pos="3238"/>
        </w:tabs>
        <w:ind w:left="3595" w:hanging="357"/>
      </w:pPr>
      <w:rPr>
        <w:rFonts w:cs="Times New Roman" w:hint="default"/>
      </w:rPr>
    </w:lvl>
    <w:lvl w:ilvl="8">
      <w:start w:val="1"/>
      <w:numFmt w:val="decimal"/>
      <w:lvlText w:val="%9)"/>
      <w:lvlJc w:val="left"/>
      <w:pPr>
        <w:ind w:left="3952" w:hanging="357"/>
      </w:pPr>
      <w:rPr>
        <w:rFonts w:cs="Times New Roman" w:hint="default"/>
      </w:rPr>
    </w:lvl>
  </w:abstractNum>
  <w:abstractNum w:abstractNumId="2">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6B300C"/>
    <w:multiLevelType w:val="multilevel"/>
    <w:tmpl w:val="0D6C4876"/>
    <w:numStyleLink w:val="WesternSequentialList"/>
  </w:abstractNum>
  <w:abstractNum w:abstractNumId="4">
    <w:nsid w:val="5FFA4880"/>
    <w:multiLevelType w:val="multilevel"/>
    <w:tmpl w:val="C454708E"/>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abstractNum w:abstractNumId="5">
    <w:nsid w:val="65C747F7"/>
    <w:multiLevelType w:val="multilevel"/>
    <w:tmpl w:val="A102797C"/>
    <w:lvl w:ilvl="0">
      <w:start w:val="1"/>
      <w:numFmt w:val="decimal"/>
      <w:lvlText w:val="%1."/>
      <w:lvlJc w:val="left"/>
      <w:rPr>
        <w:rFonts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34"/>
    <w:rsid w:val="00000871"/>
    <w:rsid w:val="0001394A"/>
    <w:rsid w:val="000208F8"/>
    <w:rsid w:val="000403D5"/>
    <w:rsid w:val="00040F09"/>
    <w:rsid w:val="000473F6"/>
    <w:rsid w:val="00055F0C"/>
    <w:rsid w:val="00061D30"/>
    <w:rsid w:val="000721F6"/>
    <w:rsid w:val="00074A41"/>
    <w:rsid w:val="00077069"/>
    <w:rsid w:val="00082B55"/>
    <w:rsid w:val="00085783"/>
    <w:rsid w:val="000878F9"/>
    <w:rsid w:val="00093306"/>
    <w:rsid w:val="000A2261"/>
    <w:rsid w:val="000A42C2"/>
    <w:rsid w:val="000A4D77"/>
    <w:rsid w:val="000B57DB"/>
    <w:rsid w:val="000C0428"/>
    <w:rsid w:val="000C483B"/>
    <w:rsid w:val="000C7774"/>
    <w:rsid w:val="000D581E"/>
    <w:rsid w:val="000E6396"/>
    <w:rsid w:val="000F5EB2"/>
    <w:rsid w:val="001056DE"/>
    <w:rsid w:val="0011267F"/>
    <w:rsid w:val="001305A6"/>
    <w:rsid w:val="00137EF3"/>
    <w:rsid w:val="0015098D"/>
    <w:rsid w:val="001724A3"/>
    <w:rsid w:val="001741CF"/>
    <w:rsid w:val="00183825"/>
    <w:rsid w:val="001A0EF2"/>
    <w:rsid w:val="001B35AE"/>
    <w:rsid w:val="001C3334"/>
    <w:rsid w:val="001E10DA"/>
    <w:rsid w:val="001E40D9"/>
    <w:rsid w:val="001E69A8"/>
    <w:rsid w:val="0021174E"/>
    <w:rsid w:val="0022317E"/>
    <w:rsid w:val="002263E3"/>
    <w:rsid w:val="00244D97"/>
    <w:rsid w:val="00270892"/>
    <w:rsid w:val="00273F09"/>
    <w:rsid w:val="00287752"/>
    <w:rsid w:val="00290126"/>
    <w:rsid w:val="002910CA"/>
    <w:rsid w:val="002C56AA"/>
    <w:rsid w:val="002C768F"/>
    <w:rsid w:val="002D199D"/>
    <w:rsid w:val="002E40B2"/>
    <w:rsid w:val="00301BF4"/>
    <w:rsid w:val="003142D6"/>
    <w:rsid w:val="00321070"/>
    <w:rsid w:val="0033635F"/>
    <w:rsid w:val="00353704"/>
    <w:rsid w:val="003843A0"/>
    <w:rsid w:val="00385F37"/>
    <w:rsid w:val="00386702"/>
    <w:rsid w:val="003A0F4A"/>
    <w:rsid w:val="003A58A5"/>
    <w:rsid w:val="003B3043"/>
    <w:rsid w:val="003B7D99"/>
    <w:rsid w:val="003D17C5"/>
    <w:rsid w:val="003D278E"/>
    <w:rsid w:val="003E4BF3"/>
    <w:rsid w:val="003E5C05"/>
    <w:rsid w:val="00400C1E"/>
    <w:rsid w:val="004158B2"/>
    <w:rsid w:val="00434D86"/>
    <w:rsid w:val="00436A26"/>
    <w:rsid w:val="00450795"/>
    <w:rsid w:val="00460BBD"/>
    <w:rsid w:val="00467905"/>
    <w:rsid w:val="00477541"/>
    <w:rsid w:val="004811A5"/>
    <w:rsid w:val="004875EA"/>
    <w:rsid w:val="00492862"/>
    <w:rsid w:val="004A5508"/>
    <w:rsid w:val="004B5FDB"/>
    <w:rsid w:val="004E52B2"/>
    <w:rsid w:val="0050354C"/>
    <w:rsid w:val="00514ED5"/>
    <w:rsid w:val="0053301A"/>
    <w:rsid w:val="00534D73"/>
    <w:rsid w:val="00546882"/>
    <w:rsid w:val="00565E6C"/>
    <w:rsid w:val="00573A10"/>
    <w:rsid w:val="0058014F"/>
    <w:rsid w:val="00587B4F"/>
    <w:rsid w:val="005938A5"/>
    <w:rsid w:val="005C2E50"/>
    <w:rsid w:val="005D2A45"/>
    <w:rsid w:val="005E0F11"/>
    <w:rsid w:val="005E26F3"/>
    <w:rsid w:val="005E61A6"/>
    <w:rsid w:val="006025FE"/>
    <w:rsid w:val="00612186"/>
    <w:rsid w:val="00620544"/>
    <w:rsid w:val="00621D8A"/>
    <w:rsid w:val="006233E7"/>
    <w:rsid w:val="00640626"/>
    <w:rsid w:val="00640D24"/>
    <w:rsid w:val="00645984"/>
    <w:rsid w:val="00656F06"/>
    <w:rsid w:val="00672B89"/>
    <w:rsid w:val="00673517"/>
    <w:rsid w:val="0069174F"/>
    <w:rsid w:val="006B5331"/>
    <w:rsid w:val="006C2C6B"/>
    <w:rsid w:val="006D6F42"/>
    <w:rsid w:val="006E4EC7"/>
    <w:rsid w:val="006F140C"/>
    <w:rsid w:val="006F18DD"/>
    <w:rsid w:val="006F28C9"/>
    <w:rsid w:val="00704B1E"/>
    <w:rsid w:val="007053EE"/>
    <w:rsid w:val="0070789B"/>
    <w:rsid w:val="00721942"/>
    <w:rsid w:val="0072507D"/>
    <w:rsid w:val="0075140E"/>
    <w:rsid w:val="00773753"/>
    <w:rsid w:val="007A3731"/>
    <w:rsid w:val="007B4E8B"/>
    <w:rsid w:val="007C2A1F"/>
    <w:rsid w:val="007C4DCD"/>
    <w:rsid w:val="007C607E"/>
    <w:rsid w:val="007D77DF"/>
    <w:rsid w:val="007E203A"/>
    <w:rsid w:val="007F0BB4"/>
    <w:rsid w:val="007F2360"/>
    <w:rsid w:val="00824342"/>
    <w:rsid w:val="0084322F"/>
    <w:rsid w:val="00846F3E"/>
    <w:rsid w:val="00852FF7"/>
    <w:rsid w:val="00855B86"/>
    <w:rsid w:val="00864FF4"/>
    <w:rsid w:val="00877762"/>
    <w:rsid w:val="008806B2"/>
    <w:rsid w:val="008929C6"/>
    <w:rsid w:val="008A03A3"/>
    <w:rsid w:val="008E6A85"/>
    <w:rsid w:val="00904DC8"/>
    <w:rsid w:val="00905D90"/>
    <w:rsid w:val="0091297B"/>
    <w:rsid w:val="009459BF"/>
    <w:rsid w:val="00961BBF"/>
    <w:rsid w:val="00966039"/>
    <w:rsid w:val="00973637"/>
    <w:rsid w:val="009748B0"/>
    <w:rsid w:val="009767E5"/>
    <w:rsid w:val="00997D0A"/>
    <w:rsid w:val="009A4ECB"/>
    <w:rsid w:val="009C087B"/>
    <w:rsid w:val="009D6437"/>
    <w:rsid w:val="009E36E0"/>
    <w:rsid w:val="009F09FB"/>
    <w:rsid w:val="009F6227"/>
    <w:rsid w:val="00A25D3E"/>
    <w:rsid w:val="00A27B6E"/>
    <w:rsid w:val="00A3795B"/>
    <w:rsid w:val="00A4004C"/>
    <w:rsid w:val="00A53215"/>
    <w:rsid w:val="00A53D0D"/>
    <w:rsid w:val="00A56D2B"/>
    <w:rsid w:val="00A71E55"/>
    <w:rsid w:val="00A7334B"/>
    <w:rsid w:val="00A863E2"/>
    <w:rsid w:val="00A93752"/>
    <w:rsid w:val="00AA2AD2"/>
    <w:rsid w:val="00AA5111"/>
    <w:rsid w:val="00AA6FDA"/>
    <w:rsid w:val="00AB61E8"/>
    <w:rsid w:val="00AC572B"/>
    <w:rsid w:val="00AD21B9"/>
    <w:rsid w:val="00AE497E"/>
    <w:rsid w:val="00AE5697"/>
    <w:rsid w:val="00AF19CA"/>
    <w:rsid w:val="00AF3D8C"/>
    <w:rsid w:val="00B03D21"/>
    <w:rsid w:val="00B07983"/>
    <w:rsid w:val="00B16C28"/>
    <w:rsid w:val="00B3096D"/>
    <w:rsid w:val="00B36154"/>
    <w:rsid w:val="00B37437"/>
    <w:rsid w:val="00B37AC6"/>
    <w:rsid w:val="00B45C50"/>
    <w:rsid w:val="00B50E73"/>
    <w:rsid w:val="00B56DA1"/>
    <w:rsid w:val="00B57801"/>
    <w:rsid w:val="00B671FC"/>
    <w:rsid w:val="00B83220"/>
    <w:rsid w:val="00BA1A98"/>
    <w:rsid w:val="00BA46BF"/>
    <w:rsid w:val="00BA789A"/>
    <w:rsid w:val="00BB2F87"/>
    <w:rsid w:val="00BC5077"/>
    <w:rsid w:val="00BE22EB"/>
    <w:rsid w:val="00BE305B"/>
    <w:rsid w:val="00C02019"/>
    <w:rsid w:val="00C204F0"/>
    <w:rsid w:val="00C354FC"/>
    <w:rsid w:val="00C537B5"/>
    <w:rsid w:val="00C6364A"/>
    <w:rsid w:val="00C70DA3"/>
    <w:rsid w:val="00C72662"/>
    <w:rsid w:val="00C82D9F"/>
    <w:rsid w:val="00C843C5"/>
    <w:rsid w:val="00C8709C"/>
    <w:rsid w:val="00C96460"/>
    <w:rsid w:val="00CA33F6"/>
    <w:rsid w:val="00CB38B6"/>
    <w:rsid w:val="00CB59C6"/>
    <w:rsid w:val="00CC7D63"/>
    <w:rsid w:val="00CC7D7A"/>
    <w:rsid w:val="00CE0182"/>
    <w:rsid w:val="00D30EC7"/>
    <w:rsid w:val="00D47DFB"/>
    <w:rsid w:val="00D720A5"/>
    <w:rsid w:val="00D731B6"/>
    <w:rsid w:val="00D966D8"/>
    <w:rsid w:val="00DB3E8F"/>
    <w:rsid w:val="00DC654C"/>
    <w:rsid w:val="00E1293D"/>
    <w:rsid w:val="00E12F38"/>
    <w:rsid w:val="00E1560C"/>
    <w:rsid w:val="00E16877"/>
    <w:rsid w:val="00E218D5"/>
    <w:rsid w:val="00E4647D"/>
    <w:rsid w:val="00E47B73"/>
    <w:rsid w:val="00E57B77"/>
    <w:rsid w:val="00E70399"/>
    <w:rsid w:val="00E71279"/>
    <w:rsid w:val="00E72880"/>
    <w:rsid w:val="00E81D90"/>
    <w:rsid w:val="00E84312"/>
    <w:rsid w:val="00E900DA"/>
    <w:rsid w:val="00E909D7"/>
    <w:rsid w:val="00EA3E83"/>
    <w:rsid w:val="00EB7971"/>
    <w:rsid w:val="00EC0945"/>
    <w:rsid w:val="00ED0FC8"/>
    <w:rsid w:val="00EF76A3"/>
    <w:rsid w:val="00F14D55"/>
    <w:rsid w:val="00F15433"/>
    <w:rsid w:val="00F36108"/>
    <w:rsid w:val="00F47609"/>
    <w:rsid w:val="00F506EB"/>
    <w:rsid w:val="00F5438C"/>
    <w:rsid w:val="00F54475"/>
    <w:rsid w:val="00F55287"/>
    <w:rsid w:val="00F673FA"/>
    <w:rsid w:val="00F816F8"/>
    <w:rsid w:val="00F84346"/>
    <w:rsid w:val="00F85C4D"/>
    <w:rsid w:val="00F96EB0"/>
    <w:rsid w:val="00FD1872"/>
    <w:rsid w:val="00FE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3334"/>
    <w:pPr>
      <w:spacing w:line="240" w:lineRule="auto"/>
    </w:pPr>
    <w:rPr>
      <w:rFonts w:ascii="Times New Roman" w:eastAsia="Times New Roman" w:hAnsi="Times New Roman" w:cs="Akhbar MT"/>
      <w:szCs w:val="30"/>
      <w:lang w:val="en-GB"/>
    </w:rPr>
  </w:style>
  <w:style w:type="paragraph" w:styleId="Heading1">
    <w:name w:val="heading 1"/>
    <w:aliases w:val="Part"/>
    <w:basedOn w:val="Normal"/>
    <w:next w:val="Heading2"/>
    <w:link w:val="Heading1Char"/>
    <w:uiPriority w:val="9"/>
    <w:qFormat/>
    <w:rsid w:val="001C3334"/>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1C3334"/>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aliases w:val="Sec"/>
    <w:basedOn w:val="Normal"/>
    <w:next w:val="NewPara"/>
    <w:link w:val="Heading3Char"/>
    <w:uiPriority w:val="9"/>
    <w:qFormat/>
    <w:rsid w:val="001C3334"/>
    <w:pPr>
      <w:keepNext/>
      <w:jc w:val="center"/>
      <w:outlineLvl w:val="2"/>
    </w:pPr>
    <w:rPr>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character" w:customStyle="1" w:styleId="Heading1Char">
    <w:name w:val="Heading 1 Char"/>
    <w:aliases w:val="Part Char"/>
    <w:basedOn w:val="DefaultParagraphFont"/>
    <w:link w:val="Heading1"/>
    <w:uiPriority w:val="9"/>
    <w:rsid w:val="001C3334"/>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uiPriority w:val="9"/>
    <w:rsid w:val="001C3334"/>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uiPriority w:val="9"/>
    <w:rsid w:val="001C3334"/>
    <w:rPr>
      <w:rFonts w:ascii="Times New Roman" w:eastAsia="Times New Roman" w:hAnsi="Times New Roman" w:cs="Akhbar MT"/>
      <w:i/>
      <w:iCs/>
      <w:sz w:val="24"/>
      <w:szCs w:val="32"/>
      <w:lang w:val="en-GB"/>
    </w:rPr>
  </w:style>
  <w:style w:type="paragraph" w:customStyle="1" w:styleId="Note">
    <w:name w:val="Note"/>
    <w:basedOn w:val="Normal"/>
    <w:link w:val="NoteChar"/>
    <w:autoRedefine/>
    <w:qFormat/>
    <w:rsid w:val="001C3334"/>
    <w:pPr>
      <w:pBdr>
        <w:top w:val="single" w:sz="4" w:space="0" w:color="auto"/>
      </w:pBdr>
      <w:jc w:val="center"/>
    </w:pPr>
    <w:rPr>
      <w:i/>
      <w:sz w:val="20"/>
      <w:szCs w:val="28"/>
    </w:rPr>
  </w:style>
  <w:style w:type="character" w:customStyle="1" w:styleId="NoteChar">
    <w:name w:val="Note Char"/>
    <w:basedOn w:val="DefaultParagraphFont"/>
    <w:link w:val="Note"/>
    <w:locked/>
    <w:rsid w:val="001C3334"/>
    <w:rPr>
      <w:rFonts w:ascii="Times New Roman" w:eastAsia="Times New Roman" w:hAnsi="Times New Roman" w:cs="Akhbar MT"/>
      <w:i/>
      <w:sz w:val="20"/>
      <w:szCs w:val="28"/>
      <w:lang w:val="en-GB"/>
    </w:rPr>
  </w:style>
  <w:style w:type="paragraph" w:customStyle="1" w:styleId="DocTitle">
    <w:name w:val="DocTitle"/>
    <w:basedOn w:val="Normal"/>
    <w:link w:val="DocTitleChar"/>
    <w:qFormat/>
    <w:rsid w:val="001C3334"/>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1C3334"/>
    <w:rPr>
      <w:rFonts w:ascii="Times New Roman" w:eastAsia="Times New Roman" w:hAnsi="Times New Roman" w:cs="Akhbar MT"/>
      <w:bCs/>
      <w:color w:val="7F7F7F" w:themeColor="text1" w:themeTint="80"/>
      <w:sz w:val="56"/>
      <w:szCs w:val="72"/>
      <w:lang w:val="en-GB"/>
    </w:rPr>
  </w:style>
  <w:style w:type="paragraph" w:customStyle="1" w:styleId="NewPara">
    <w:name w:val="NewPara"/>
    <w:basedOn w:val="ListParagraph"/>
    <w:link w:val="NewParaChar"/>
    <w:qFormat/>
    <w:rsid w:val="001C3334"/>
    <w:pPr>
      <w:numPr>
        <w:numId w:val="2"/>
      </w:numPr>
      <w:ind w:left="0"/>
      <w:contextualSpacing w:val="0"/>
    </w:pPr>
  </w:style>
  <w:style w:type="character" w:customStyle="1" w:styleId="NewParaChar">
    <w:name w:val="NewPara Char"/>
    <w:basedOn w:val="DefaultParagraphFont"/>
    <w:link w:val="NewPara"/>
    <w:locked/>
    <w:rsid w:val="001C3334"/>
    <w:rPr>
      <w:rFonts w:ascii="Times New Roman" w:eastAsia="Times New Roman" w:hAnsi="Times New Roman" w:cs="Akhbar MT"/>
      <w:szCs w:val="30"/>
      <w:lang w:val="en-GB"/>
    </w:rPr>
  </w:style>
  <w:style w:type="paragraph" w:customStyle="1" w:styleId="BulletList">
    <w:name w:val="Bullet List"/>
    <w:basedOn w:val="ListParagraph"/>
    <w:link w:val="BulletListChar"/>
    <w:qFormat/>
    <w:rsid w:val="001C3334"/>
    <w:pPr>
      <w:numPr>
        <w:numId w:val="3"/>
      </w:numPr>
      <w:ind w:left="714" w:hanging="357"/>
    </w:pPr>
  </w:style>
  <w:style w:type="character" w:customStyle="1" w:styleId="BulletListChar">
    <w:name w:val="Bullet List Char"/>
    <w:basedOn w:val="DefaultParagraphFont"/>
    <w:link w:val="BulletList"/>
    <w:locked/>
    <w:rsid w:val="001C3334"/>
    <w:rPr>
      <w:rFonts w:ascii="Times New Roman" w:eastAsia="Times New Roman" w:hAnsi="Times New Roman" w:cs="Akhbar MT"/>
      <w:szCs w:val="30"/>
      <w:lang w:val="en-GB"/>
    </w:rPr>
  </w:style>
  <w:style w:type="paragraph" w:customStyle="1" w:styleId="SequentialList">
    <w:name w:val="Sequential List"/>
    <w:basedOn w:val="ListParagraph"/>
    <w:link w:val="SequentialListChar"/>
    <w:qFormat/>
    <w:rsid w:val="001C3334"/>
    <w:pPr>
      <w:numPr>
        <w:numId w:val="4"/>
      </w:numPr>
    </w:pPr>
  </w:style>
  <w:style w:type="character" w:customStyle="1" w:styleId="SequentialListChar">
    <w:name w:val="Sequential List Char"/>
    <w:basedOn w:val="DefaultParagraphFont"/>
    <w:link w:val="SequentialList"/>
    <w:locked/>
    <w:rsid w:val="001C3334"/>
    <w:rPr>
      <w:rFonts w:ascii="Times New Roman" w:eastAsia="Times New Roman" w:hAnsi="Times New Roman" w:cs="Akhbar MT"/>
      <w:szCs w:val="30"/>
      <w:lang w:val="en-GB"/>
    </w:rPr>
  </w:style>
  <w:style w:type="paragraph" w:customStyle="1" w:styleId="SummaryBoxText">
    <w:name w:val="Summary Box Text"/>
    <w:basedOn w:val="Normal"/>
    <w:link w:val="SummaryBoxTextChar"/>
    <w:qFormat/>
    <w:rsid w:val="001C3334"/>
    <w:pPr>
      <w:spacing w:line="360" w:lineRule="auto"/>
    </w:pPr>
  </w:style>
  <w:style w:type="character" w:customStyle="1" w:styleId="SummaryBoxTextChar">
    <w:name w:val="Summary Box Text Char"/>
    <w:basedOn w:val="DefaultParagraphFont"/>
    <w:link w:val="SummaryBoxText"/>
    <w:locked/>
    <w:rsid w:val="001C3334"/>
    <w:rPr>
      <w:rFonts w:ascii="Times New Roman" w:eastAsia="Times New Roman" w:hAnsi="Times New Roman" w:cs="Akhbar MT"/>
      <w:szCs w:val="30"/>
      <w:lang w:val="en-GB"/>
    </w:rPr>
  </w:style>
  <w:style w:type="paragraph" w:customStyle="1" w:styleId="Underlined">
    <w:name w:val="Underlined"/>
    <w:basedOn w:val="Normal"/>
    <w:link w:val="UnderlinedChar"/>
    <w:qFormat/>
    <w:rsid w:val="001C3334"/>
    <w:pPr>
      <w:pBdr>
        <w:bottom w:val="single" w:sz="12" w:space="1" w:color="auto"/>
      </w:pBdr>
    </w:pPr>
  </w:style>
  <w:style w:type="character" w:customStyle="1" w:styleId="UnderlinedChar">
    <w:name w:val="Underlined Char"/>
    <w:basedOn w:val="DefaultParagraphFont"/>
    <w:link w:val="Underlined"/>
    <w:locked/>
    <w:rsid w:val="001C3334"/>
    <w:rPr>
      <w:rFonts w:ascii="Times New Roman" w:eastAsia="Times New Roman" w:hAnsi="Times New Roman" w:cs="Akhbar MT"/>
      <w:szCs w:val="30"/>
      <w:lang w:val="en-GB"/>
    </w:rPr>
  </w:style>
  <w:style w:type="paragraph" w:customStyle="1" w:styleId="MeetingInfo">
    <w:name w:val="MeetingInfo"/>
    <w:basedOn w:val="Normal"/>
    <w:link w:val="MeetingInfoChar"/>
    <w:qFormat/>
    <w:rsid w:val="001C3334"/>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1C3334"/>
    <w:rPr>
      <w:rFonts w:ascii="Times New Roman Bold" w:eastAsia="Times New Roman" w:hAnsi="Times New Roman Bold" w:cs="Akhbar MT"/>
      <w:b/>
      <w:bCs/>
      <w:sz w:val="28"/>
      <w:szCs w:val="36"/>
      <w:lang w:val="en-GB"/>
    </w:rPr>
  </w:style>
  <w:style w:type="paragraph" w:customStyle="1" w:styleId="Hidden">
    <w:name w:val="Hidden"/>
    <w:basedOn w:val="Normal"/>
    <w:link w:val="HiddenChar"/>
    <w:qFormat/>
    <w:rsid w:val="001C3334"/>
    <w:pPr>
      <w:spacing w:line="20" w:lineRule="exact"/>
    </w:pPr>
    <w:rPr>
      <w:sz w:val="2"/>
    </w:rPr>
  </w:style>
  <w:style w:type="character" w:customStyle="1" w:styleId="HiddenChar">
    <w:name w:val="Hidden Char"/>
    <w:basedOn w:val="DefaultParagraphFont"/>
    <w:link w:val="Hidden"/>
    <w:locked/>
    <w:rsid w:val="001C3334"/>
    <w:rPr>
      <w:rFonts w:ascii="Times New Roman" w:eastAsia="Times New Roman" w:hAnsi="Times New Roman" w:cs="Akhbar MT"/>
      <w:sz w:val="2"/>
      <w:szCs w:val="30"/>
      <w:lang w:val="en-GB"/>
    </w:rPr>
  </w:style>
  <w:style w:type="paragraph" w:customStyle="1" w:styleId="LanguageSymbol">
    <w:name w:val="LanguageSymbol"/>
    <w:basedOn w:val="Normal"/>
    <w:link w:val="LanguageSymbolChar"/>
    <w:qFormat/>
    <w:rsid w:val="001C3334"/>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1C3334"/>
    <w:rPr>
      <w:rFonts w:ascii="Times New Roman" w:eastAsia="Times New Roman" w:hAnsi="Times New Roman" w:cs="Akhbar MT"/>
      <w:b/>
      <w:color w:val="808080"/>
      <w:sz w:val="56"/>
      <w:szCs w:val="56"/>
      <w:lang w:val="en-GB"/>
    </w:rPr>
  </w:style>
  <w:style w:type="table" w:styleId="TableGrid">
    <w:name w:val="Table Grid"/>
    <w:basedOn w:val="TableNormal"/>
    <w:uiPriority w:val="59"/>
    <w:rsid w:val="001C3334"/>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C3334"/>
    <w:rPr>
      <w:rFonts w:cs="Times New Roman"/>
    </w:rPr>
  </w:style>
  <w:style w:type="paragraph" w:styleId="FootnoteText">
    <w:name w:val="footnote text"/>
    <w:aliases w:val="FOOTNOTES,fn,single space,ft,Footnote Text 1,Footnote Text Char1,Footnote Text Char Char,Footnote Text Char Char Char,Footnote Text Char2 Char,Footnote Text Char1 Char Char,ALTS FOOTNOTE,Nbpage Moens,Fußnote,Footnote Text_1,Char,Car"/>
    <w:basedOn w:val="Normal"/>
    <w:link w:val="FootnoteTextChar"/>
    <w:uiPriority w:val="99"/>
    <w:unhideWhenUsed/>
    <w:rsid w:val="001C3334"/>
    <w:pPr>
      <w:spacing w:after="0"/>
    </w:pPr>
    <w:rPr>
      <w:sz w:val="20"/>
      <w:szCs w:val="20"/>
    </w:rPr>
  </w:style>
  <w:style w:type="character" w:customStyle="1" w:styleId="FootnoteTextChar">
    <w:name w:val="Footnote Text Char"/>
    <w:aliases w:val="FOOTNOTES Char,fn Char,single space Char,ft Char,Footnote Text 1 Char,Footnote Text Char1 Char,Footnote Text Char Char Char1,Footnote Text Char Char Char Char,Footnote Text Char2 Char Char,Footnote Text Char1 Char Char Char,Char Char"/>
    <w:basedOn w:val="DefaultParagraphFont"/>
    <w:link w:val="FootnoteText"/>
    <w:uiPriority w:val="99"/>
    <w:rsid w:val="001C3334"/>
    <w:rPr>
      <w:rFonts w:ascii="Times New Roman" w:eastAsia="Times New Roman" w:hAnsi="Times New Roman" w:cs="Akhbar MT"/>
      <w:sz w:val="20"/>
      <w:szCs w:val="20"/>
      <w:lang w:val="en-GB"/>
    </w:rPr>
  </w:style>
  <w:style w:type="character" w:styleId="FootnoteReference">
    <w:name w:val="footnote reference"/>
    <w:aliases w:val="stylish,ftref,16 Point,Superscript 6 Point,Footnote Reference Number,Ref,de nota al pie,BVI fnr,Superscript 10 Point,Footnote symbol"/>
    <w:basedOn w:val="DefaultParagraphFont"/>
    <w:uiPriority w:val="99"/>
    <w:rsid w:val="001C3334"/>
    <w:rPr>
      <w:rFonts w:ascii="Book Antiqua" w:eastAsia="SimSun" w:hAnsi="Book Antiqua"/>
      <w:smallCaps/>
      <w:sz w:val="24"/>
      <w:vertAlign w:val="superscript"/>
      <w:lang w:val="en-US" w:eastAsia="en-US"/>
    </w:rPr>
  </w:style>
  <w:style w:type="numbering" w:customStyle="1" w:styleId="WesternSequentialList">
    <w:name w:val="Western Sequential List"/>
    <w:rsid w:val="001C3334"/>
    <w:pPr>
      <w:numPr>
        <w:numId w:val="5"/>
      </w:numPr>
    </w:pPr>
  </w:style>
  <w:style w:type="paragraph" w:styleId="ListParagraph">
    <w:name w:val="List Paragraph"/>
    <w:basedOn w:val="Normal"/>
    <w:uiPriority w:val="34"/>
    <w:qFormat/>
    <w:rsid w:val="001C3334"/>
    <w:pPr>
      <w:ind w:left="720"/>
      <w:contextualSpacing/>
    </w:pPr>
  </w:style>
  <w:style w:type="paragraph" w:styleId="BalloonText">
    <w:name w:val="Balloon Text"/>
    <w:basedOn w:val="Normal"/>
    <w:link w:val="BalloonTextChar"/>
    <w:uiPriority w:val="99"/>
    <w:semiHidden/>
    <w:unhideWhenUsed/>
    <w:rsid w:val="001C33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334"/>
    <w:rPr>
      <w:rFonts w:ascii="Tahoma" w:eastAsia="Times New Roman" w:hAnsi="Tahoma" w:cs="Tahoma"/>
      <w:sz w:val="16"/>
      <w:szCs w:val="16"/>
      <w:lang w:val="en-GB"/>
    </w:rPr>
  </w:style>
  <w:style w:type="character" w:styleId="Hyperlink">
    <w:name w:val="Hyperlink"/>
    <w:uiPriority w:val="99"/>
    <w:unhideWhenUsed/>
    <w:rsid w:val="00C204F0"/>
    <w:rPr>
      <w:color w:val="0000FF"/>
      <w:u w:val="single"/>
    </w:rPr>
  </w:style>
  <w:style w:type="character" w:styleId="Emphasis">
    <w:name w:val="Emphasis"/>
    <w:basedOn w:val="DefaultParagraphFont"/>
    <w:uiPriority w:val="20"/>
    <w:qFormat/>
    <w:rsid w:val="00F15433"/>
    <w:rPr>
      <w:i/>
      <w:iCs/>
    </w:rPr>
  </w:style>
  <w:style w:type="character" w:customStyle="1" w:styleId="apple-converted-space">
    <w:name w:val="apple-converted-space"/>
    <w:basedOn w:val="DefaultParagraphFont"/>
    <w:rsid w:val="00F15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3334"/>
    <w:pPr>
      <w:spacing w:line="240" w:lineRule="auto"/>
    </w:pPr>
    <w:rPr>
      <w:rFonts w:ascii="Times New Roman" w:eastAsia="Times New Roman" w:hAnsi="Times New Roman" w:cs="Akhbar MT"/>
      <w:szCs w:val="30"/>
      <w:lang w:val="en-GB"/>
    </w:rPr>
  </w:style>
  <w:style w:type="paragraph" w:styleId="Heading1">
    <w:name w:val="heading 1"/>
    <w:aliases w:val="Part"/>
    <w:basedOn w:val="Normal"/>
    <w:next w:val="Heading2"/>
    <w:link w:val="Heading1Char"/>
    <w:uiPriority w:val="9"/>
    <w:qFormat/>
    <w:rsid w:val="001C3334"/>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1C3334"/>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aliases w:val="Sec"/>
    <w:basedOn w:val="Normal"/>
    <w:next w:val="NewPara"/>
    <w:link w:val="Heading3Char"/>
    <w:uiPriority w:val="9"/>
    <w:qFormat/>
    <w:rsid w:val="001C3334"/>
    <w:pPr>
      <w:keepNext/>
      <w:jc w:val="center"/>
      <w:outlineLvl w:val="2"/>
    </w:pPr>
    <w:rPr>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character" w:customStyle="1" w:styleId="Heading1Char">
    <w:name w:val="Heading 1 Char"/>
    <w:aliases w:val="Part Char"/>
    <w:basedOn w:val="DefaultParagraphFont"/>
    <w:link w:val="Heading1"/>
    <w:uiPriority w:val="9"/>
    <w:rsid w:val="001C3334"/>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uiPriority w:val="9"/>
    <w:rsid w:val="001C3334"/>
    <w:rPr>
      <w:rFonts w:ascii="Times New Roman Bold" w:eastAsia="Times New Roman" w:hAnsi="Times New Roman Bold" w:cs="Akhbar MT"/>
      <w:b/>
      <w:bCs/>
      <w:sz w:val="24"/>
      <w:szCs w:val="32"/>
      <w:lang w:val="en-GB"/>
    </w:rPr>
  </w:style>
  <w:style w:type="character" w:customStyle="1" w:styleId="Heading3Char">
    <w:name w:val="Heading 3 Char"/>
    <w:aliases w:val="Sec Char"/>
    <w:basedOn w:val="DefaultParagraphFont"/>
    <w:link w:val="Heading3"/>
    <w:uiPriority w:val="9"/>
    <w:rsid w:val="001C3334"/>
    <w:rPr>
      <w:rFonts w:ascii="Times New Roman" w:eastAsia="Times New Roman" w:hAnsi="Times New Roman" w:cs="Akhbar MT"/>
      <w:i/>
      <w:iCs/>
      <w:sz w:val="24"/>
      <w:szCs w:val="32"/>
      <w:lang w:val="en-GB"/>
    </w:rPr>
  </w:style>
  <w:style w:type="paragraph" w:customStyle="1" w:styleId="Note">
    <w:name w:val="Note"/>
    <w:basedOn w:val="Normal"/>
    <w:link w:val="NoteChar"/>
    <w:autoRedefine/>
    <w:qFormat/>
    <w:rsid w:val="001C3334"/>
    <w:pPr>
      <w:pBdr>
        <w:top w:val="single" w:sz="4" w:space="0" w:color="auto"/>
      </w:pBdr>
      <w:jc w:val="center"/>
    </w:pPr>
    <w:rPr>
      <w:i/>
      <w:sz w:val="20"/>
      <w:szCs w:val="28"/>
    </w:rPr>
  </w:style>
  <w:style w:type="character" w:customStyle="1" w:styleId="NoteChar">
    <w:name w:val="Note Char"/>
    <w:basedOn w:val="DefaultParagraphFont"/>
    <w:link w:val="Note"/>
    <w:locked/>
    <w:rsid w:val="001C3334"/>
    <w:rPr>
      <w:rFonts w:ascii="Times New Roman" w:eastAsia="Times New Roman" w:hAnsi="Times New Roman" w:cs="Akhbar MT"/>
      <w:i/>
      <w:sz w:val="20"/>
      <w:szCs w:val="28"/>
      <w:lang w:val="en-GB"/>
    </w:rPr>
  </w:style>
  <w:style w:type="paragraph" w:customStyle="1" w:styleId="DocTitle">
    <w:name w:val="DocTitle"/>
    <w:basedOn w:val="Normal"/>
    <w:link w:val="DocTitleChar"/>
    <w:qFormat/>
    <w:rsid w:val="001C3334"/>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1C3334"/>
    <w:rPr>
      <w:rFonts w:ascii="Times New Roman" w:eastAsia="Times New Roman" w:hAnsi="Times New Roman" w:cs="Akhbar MT"/>
      <w:bCs/>
      <w:color w:val="7F7F7F" w:themeColor="text1" w:themeTint="80"/>
      <w:sz w:val="56"/>
      <w:szCs w:val="72"/>
      <w:lang w:val="en-GB"/>
    </w:rPr>
  </w:style>
  <w:style w:type="paragraph" w:customStyle="1" w:styleId="NewPara">
    <w:name w:val="NewPara"/>
    <w:basedOn w:val="ListParagraph"/>
    <w:link w:val="NewParaChar"/>
    <w:qFormat/>
    <w:rsid w:val="001C3334"/>
    <w:pPr>
      <w:numPr>
        <w:numId w:val="2"/>
      </w:numPr>
      <w:ind w:left="0"/>
      <w:contextualSpacing w:val="0"/>
    </w:pPr>
  </w:style>
  <w:style w:type="character" w:customStyle="1" w:styleId="NewParaChar">
    <w:name w:val="NewPara Char"/>
    <w:basedOn w:val="DefaultParagraphFont"/>
    <w:link w:val="NewPara"/>
    <w:locked/>
    <w:rsid w:val="001C3334"/>
    <w:rPr>
      <w:rFonts w:ascii="Times New Roman" w:eastAsia="Times New Roman" w:hAnsi="Times New Roman" w:cs="Akhbar MT"/>
      <w:szCs w:val="30"/>
      <w:lang w:val="en-GB"/>
    </w:rPr>
  </w:style>
  <w:style w:type="paragraph" w:customStyle="1" w:styleId="BulletList">
    <w:name w:val="Bullet List"/>
    <w:basedOn w:val="ListParagraph"/>
    <w:link w:val="BulletListChar"/>
    <w:qFormat/>
    <w:rsid w:val="001C3334"/>
    <w:pPr>
      <w:numPr>
        <w:numId w:val="3"/>
      </w:numPr>
      <w:ind w:left="714" w:hanging="357"/>
    </w:pPr>
  </w:style>
  <w:style w:type="character" w:customStyle="1" w:styleId="BulletListChar">
    <w:name w:val="Bullet List Char"/>
    <w:basedOn w:val="DefaultParagraphFont"/>
    <w:link w:val="BulletList"/>
    <w:locked/>
    <w:rsid w:val="001C3334"/>
    <w:rPr>
      <w:rFonts w:ascii="Times New Roman" w:eastAsia="Times New Roman" w:hAnsi="Times New Roman" w:cs="Akhbar MT"/>
      <w:szCs w:val="30"/>
      <w:lang w:val="en-GB"/>
    </w:rPr>
  </w:style>
  <w:style w:type="paragraph" w:customStyle="1" w:styleId="SequentialList">
    <w:name w:val="Sequential List"/>
    <w:basedOn w:val="ListParagraph"/>
    <w:link w:val="SequentialListChar"/>
    <w:qFormat/>
    <w:rsid w:val="001C3334"/>
    <w:pPr>
      <w:numPr>
        <w:numId w:val="4"/>
      </w:numPr>
    </w:pPr>
  </w:style>
  <w:style w:type="character" w:customStyle="1" w:styleId="SequentialListChar">
    <w:name w:val="Sequential List Char"/>
    <w:basedOn w:val="DefaultParagraphFont"/>
    <w:link w:val="SequentialList"/>
    <w:locked/>
    <w:rsid w:val="001C3334"/>
    <w:rPr>
      <w:rFonts w:ascii="Times New Roman" w:eastAsia="Times New Roman" w:hAnsi="Times New Roman" w:cs="Akhbar MT"/>
      <w:szCs w:val="30"/>
      <w:lang w:val="en-GB"/>
    </w:rPr>
  </w:style>
  <w:style w:type="paragraph" w:customStyle="1" w:styleId="SummaryBoxText">
    <w:name w:val="Summary Box Text"/>
    <w:basedOn w:val="Normal"/>
    <w:link w:val="SummaryBoxTextChar"/>
    <w:qFormat/>
    <w:rsid w:val="001C3334"/>
    <w:pPr>
      <w:spacing w:line="360" w:lineRule="auto"/>
    </w:pPr>
  </w:style>
  <w:style w:type="character" w:customStyle="1" w:styleId="SummaryBoxTextChar">
    <w:name w:val="Summary Box Text Char"/>
    <w:basedOn w:val="DefaultParagraphFont"/>
    <w:link w:val="SummaryBoxText"/>
    <w:locked/>
    <w:rsid w:val="001C3334"/>
    <w:rPr>
      <w:rFonts w:ascii="Times New Roman" w:eastAsia="Times New Roman" w:hAnsi="Times New Roman" w:cs="Akhbar MT"/>
      <w:szCs w:val="30"/>
      <w:lang w:val="en-GB"/>
    </w:rPr>
  </w:style>
  <w:style w:type="paragraph" w:customStyle="1" w:styleId="Underlined">
    <w:name w:val="Underlined"/>
    <w:basedOn w:val="Normal"/>
    <w:link w:val="UnderlinedChar"/>
    <w:qFormat/>
    <w:rsid w:val="001C3334"/>
    <w:pPr>
      <w:pBdr>
        <w:bottom w:val="single" w:sz="12" w:space="1" w:color="auto"/>
      </w:pBdr>
    </w:pPr>
  </w:style>
  <w:style w:type="character" w:customStyle="1" w:styleId="UnderlinedChar">
    <w:name w:val="Underlined Char"/>
    <w:basedOn w:val="DefaultParagraphFont"/>
    <w:link w:val="Underlined"/>
    <w:locked/>
    <w:rsid w:val="001C3334"/>
    <w:rPr>
      <w:rFonts w:ascii="Times New Roman" w:eastAsia="Times New Roman" w:hAnsi="Times New Roman" w:cs="Akhbar MT"/>
      <w:szCs w:val="30"/>
      <w:lang w:val="en-GB"/>
    </w:rPr>
  </w:style>
  <w:style w:type="paragraph" w:customStyle="1" w:styleId="MeetingInfo">
    <w:name w:val="MeetingInfo"/>
    <w:basedOn w:val="Normal"/>
    <w:link w:val="MeetingInfoChar"/>
    <w:qFormat/>
    <w:rsid w:val="001C3334"/>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1C3334"/>
    <w:rPr>
      <w:rFonts w:ascii="Times New Roman Bold" w:eastAsia="Times New Roman" w:hAnsi="Times New Roman Bold" w:cs="Akhbar MT"/>
      <w:b/>
      <w:bCs/>
      <w:sz w:val="28"/>
      <w:szCs w:val="36"/>
      <w:lang w:val="en-GB"/>
    </w:rPr>
  </w:style>
  <w:style w:type="paragraph" w:customStyle="1" w:styleId="Hidden">
    <w:name w:val="Hidden"/>
    <w:basedOn w:val="Normal"/>
    <w:link w:val="HiddenChar"/>
    <w:qFormat/>
    <w:rsid w:val="001C3334"/>
    <w:pPr>
      <w:spacing w:line="20" w:lineRule="exact"/>
    </w:pPr>
    <w:rPr>
      <w:sz w:val="2"/>
    </w:rPr>
  </w:style>
  <w:style w:type="character" w:customStyle="1" w:styleId="HiddenChar">
    <w:name w:val="Hidden Char"/>
    <w:basedOn w:val="DefaultParagraphFont"/>
    <w:link w:val="Hidden"/>
    <w:locked/>
    <w:rsid w:val="001C3334"/>
    <w:rPr>
      <w:rFonts w:ascii="Times New Roman" w:eastAsia="Times New Roman" w:hAnsi="Times New Roman" w:cs="Akhbar MT"/>
      <w:sz w:val="2"/>
      <w:szCs w:val="30"/>
      <w:lang w:val="en-GB"/>
    </w:rPr>
  </w:style>
  <w:style w:type="paragraph" w:customStyle="1" w:styleId="LanguageSymbol">
    <w:name w:val="LanguageSymbol"/>
    <w:basedOn w:val="Normal"/>
    <w:link w:val="LanguageSymbolChar"/>
    <w:qFormat/>
    <w:rsid w:val="001C3334"/>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1C3334"/>
    <w:rPr>
      <w:rFonts w:ascii="Times New Roman" w:eastAsia="Times New Roman" w:hAnsi="Times New Roman" w:cs="Akhbar MT"/>
      <w:b/>
      <w:color w:val="808080"/>
      <w:sz w:val="56"/>
      <w:szCs w:val="56"/>
      <w:lang w:val="en-GB"/>
    </w:rPr>
  </w:style>
  <w:style w:type="table" w:styleId="TableGrid">
    <w:name w:val="Table Grid"/>
    <w:basedOn w:val="TableNormal"/>
    <w:uiPriority w:val="59"/>
    <w:rsid w:val="001C3334"/>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C3334"/>
    <w:rPr>
      <w:rFonts w:cs="Times New Roman"/>
    </w:rPr>
  </w:style>
  <w:style w:type="paragraph" w:styleId="FootnoteText">
    <w:name w:val="footnote text"/>
    <w:aliases w:val="FOOTNOTES,fn,single space,ft,Footnote Text 1,Footnote Text Char1,Footnote Text Char Char,Footnote Text Char Char Char,Footnote Text Char2 Char,Footnote Text Char1 Char Char,ALTS FOOTNOTE,Nbpage Moens,Fußnote,Footnote Text_1,Char,Car"/>
    <w:basedOn w:val="Normal"/>
    <w:link w:val="FootnoteTextChar"/>
    <w:uiPriority w:val="99"/>
    <w:unhideWhenUsed/>
    <w:rsid w:val="001C3334"/>
    <w:pPr>
      <w:spacing w:after="0"/>
    </w:pPr>
    <w:rPr>
      <w:sz w:val="20"/>
      <w:szCs w:val="20"/>
    </w:rPr>
  </w:style>
  <w:style w:type="character" w:customStyle="1" w:styleId="FootnoteTextChar">
    <w:name w:val="Footnote Text Char"/>
    <w:aliases w:val="FOOTNOTES Char,fn Char,single space Char,ft Char,Footnote Text 1 Char,Footnote Text Char1 Char,Footnote Text Char Char Char1,Footnote Text Char Char Char Char,Footnote Text Char2 Char Char,Footnote Text Char1 Char Char Char,Char Char"/>
    <w:basedOn w:val="DefaultParagraphFont"/>
    <w:link w:val="FootnoteText"/>
    <w:uiPriority w:val="99"/>
    <w:rsid w:val="001C3334"/>
    <w:rPr>
      <w:rFonts w:ascii="Times New Roman" w:eastAsia="Times New Roman" w:hAnsi="Times New Roman" w:cs="Akhbar MT"/>
      <w:sz w:val="20"/>
      <w:szCs w:val="20"/>
      <w:lang w:val="en-GB"/>
    </w:rPr>
  </w:style>
  <w:style w:type="character" w:styleId="FootnoteReference">
    <w:name w:val="footnote reference"/>
    <w:aliases w:val="stylish,ftref,16 Point,Superscript 6 Point,Footnote Reference Number,Ref,de nota al pie,BVI fnr,Superscript 10 Point,Footnote symbol"/>
    <w:basedOn w:val="DefaultParagraphFont"/>
    <w:uiPriority w:val="99"/>
    <w:rsid w:val="001C3334"/>
    <w:rPr>
      <w:rFonts w:ascii="Book Antiqua" w:eastAsia="SimSun" w:hAnsi="Book Antiqua"/>
      <w:smallCaps/>
      <w:sz w:val="24"/>
      <w:vertAlign w:val="superscript"/>
      <w:lang w:val="en-US" w:eastAsia="en-US"/>
    </w:rPr>
  </w:style>
  <w:style w:type="numbering" w:customStyle="1" w:styleId="WesternSequentialList">
    <w:name w:val="Western Sequential List"/>
    <w:rsid w:val="001C3334"/>
    <w:pPr>
      <w:numPr>
        <w:numId w:val="5"/>
      </w:numPr>
    </w:pPr>
  </w:style>
  <w:style w:type="paragraph" w:styleId="ListParagraph">
    <w:name w:val="List Paragraph"/>
    <w:basedOn w:val="Normal"/>
    <w:uiPriority w:val="34"/>
    <w:qFormat/>
    <w:rsid w:val="001C3334"/>
    <w:pPr>
      <w:ind w:left="720"/>
      <w:contextualSpacing/>
    </w:pPr>
  </w:style>
  <w:style w:type="paragraph" w:styleId="BalloonText">
    <w:name w:val="Balloon Text"/>
    <w:basedOn w:val="Normal"/>
    <w:link w:val="BalloonTextChar"/>
    <w:uiPriority w:val="99"/>
    <w:semiHidden/>
    <w:unhideWhenUsed/>
    <w:rsid w:val="001C33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334"/>
    <w:rPr>
      <w:rFonts w:ascii="Tahoma" w:eastAsia="Times New Roman" w:hAnsi="Tahoma" w:cs="Tahoma"/>
      <w:sz w:val="16"/>
      <w:szCs w:val="16"/>
      <w:lang w:val="en-GB"/>
    </w:rPr>
  </w:style>
  <w:style w:type="character" w:styleId="Hyperlink">
    <w:name w:val="Hyperlink"/>
    <w:uiPriority w:val="99"/>
    <w:unhideWhenUsed/>
    <w:rsid w:val="00C204F0"/>
    <w:rPr>
      <w:color w:val="0000FF"/>
      <w:u w:val="single"/>
    </w:rPr>
  </w:style>
  <w:style w:type="character" w:styleId="Emphasis">
    <w:name w:val="Emphasis"/>
    <w:basedOn w:val="DefaultParagraphFont"/>
    <w:uiPriority w:val="20"/>
    <w:qFormat/>
    <w:rsid w:val="00F15433"/>
    <w:rPr>
      <w:i/>
      <w:iCs/>
    </w:rPr>
  </w:style>
  <w:style w:type="character" w:customStyle="1" w:styleId="apple-converted-space">
    <w:name w:val="apple-converted-space"/>
    <w:basedOn w:val="DefaultParagraphFont"/>
    <w:rsid w:val="00F15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3/a-i4413e.pdf" TargetMode="External"/><Relationship Id="rId3" Type="http://schemas.openxmlformats.org/officeDocument/2006/relationships/hyperlink" Target="http://www.fao.org/fileadmin/templates/cfs/Docs1314/CFS41/CFS41_Final_Report_FR.pdf" TargetMode="External"/><Relationship Id="rId7" Type="http://schemas.openxmlformats.org/officeDocument/2006/relationships/hyperlink" Target="http://www.aquaculture2014.org/conference-conclusions/" TargetMode="External"/><Relationship Id="rId2" Type="http://schemas.openxmlformats.org/officeDocument/2006/relationships/hyperlink" Target="http://www.fao.org/3/a-i3844f.pdf" TargetMode="External"/><Relationship Id="rId1" Type="http://schemas.openxmlformats.org/officeDocument/2006/relationships/hyperlink" Target="http://www.fao.org/3/a-i3720f.pdf" TargetMode="External"/><Relationship Id="rId6" Type="http://schemas.openxmlformats.org/officeDocument/2006/relationships/hyperlink" Target="http://issuu.com/eurofish/docs/eurofish_magazine_6_14/19?e=0" TargetMode="External"/><Relationship Id="rId11" Type="http://schemas.openxmlformats.org/officeDocument/2006/relationships/hyperlink" Target="http://www.fao-ilo.org/fao-ilo-youth/fao-ilo-jffls/fr/" TargetMode="External"/><Relationship Id="rId5" Type="http://schemas.openxmlformats.org/officeDocument/2006/relationships/hyperlink" Target="http://www.ilo.org/pardev/partnerships-and-relations/ceb-toolkit/WCMS_172610/lang--en/index.htm" TargetMode="External"/><Relationship Id="rId10" Type="http://schemas.openxmlformats.org/officeDocument/2006/relationships/hyperlink" Target="http://www.fao.org/docrep/meeting/030/mj632f.pdf" TargetMode="External"/><Relationship Id="rId4" Type="http://schemas.openxmlformats.org/officeDocument/2006/relationships/hyperlink" Target="http://www.fao.org/docrep/005/V9878F/V9878F00.HTM" TargetMode="External"/><Relationship Id="rId9" Type="http://schemas.openxmlformats.org/officeDocument/2006/relationships/hyperlink" Target="http://www.fao.org/3/a-i3128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FC31C-CAE9-48C6-A622-378053DB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6812</Words>
  <Characters>38829</Characters>
  <Application>Microsoft Office Word</Application>
  <DocSecurity>4</DocSecurity>
  <Lines>323</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FAO of the UN</Company>
  <LinksUpToDate>false</LinksUpToDate>
  <CharactersWithSpaces>45550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Guerra (CPAM)</dc:creator>
  <cp:lastModifiedBy>Nadia DaDalt (CPAM)</cp:lastModifiedBy>
  <cp:revision>2</cp:revision>
  <cp:lastPrinted>2015-08-03T09:45:00Z</cp:lastPrinted>
  <dcterms:created xsi:type="dcterms:W3CDTF">2015-09-10T14:15:00Z</dcterms:created>
  <dcterms:modified xsi:type="dcterms:W3CDTF">2015-09-10T14:15:00Z</dcterms:modified>
</cp:coreProperties>
</file>