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BC" w:rsidRPr="0073685B" w:rsidRDefault="00571FBC" w:rsidP="00C21534">
      <w:pPr>
        <w:pStyle w:val="Hidden"/>
      </w:pPr>
    </w:p>
    <w:p w:rsidR="00571FBC" w:rsidRPr="006B08BA" w:rsidRDefault="00571FBC" w:rsidP="00C21534">
      <w:pPr>
        <w:pStyle w:val="DocTitle"/>
        <w:rPr>
          <w:smallCaps/>
          <w:lang w:eastAsia="en-US" w:bidi="ar-SA"/>
        </w:rPr>
      </w:pPr>
      <w:bookmarkStart w:id="0" w:name="CoverTitleBookmark"/>
      <w:bookmarkStart w:id="1" w:name="CoverBookmark"/>
      <w:r w:rsidRPr="006B08BA">
        <w:rPr>
          <w:smallCaps/>
          <w:lang w:eastAsia="en-US" w:bidi="ar-SA"/>
        </w:rPr>
        <w:t>Комитет по рыбному хозяйству</w:t>
      </w:r>
    </w:p>
    <w:bookmarkEnd w:id="0"/>
    <w:p w:rsidR="00571FBC" w:rsidRPr="00755740" w:rsidRDefault="00571FBC" w:rsidP="00C21534">
      <w:pPr>
        <w:pStyle w:val="MeetingInfo"/>
      </w:pPr>
      <w:r>
        <w:t>ПОДКОМИТЕТ ПО АКВАКУЛЬТУРЕ</w:t>
      </w:r>
    </w:p>
    <w:p w:rsidR="00571FBC" w:rsidRPr="00755740" w:rsidRDefault="00571FBC" w:rsidP="00C21534">
      <w:pPr>
        <w:pStyle w:val="MeetingInfo"/>
      </w:pPr>
      <w:r>
        <w:t>Восьмая сессия</w:t>
      </w:r>
    </w:p>
    <w:p w:rsidR="00571FBC" w:rsidRDefault="00003914" w:rsidP="00C21534">
      <w:pPr>
        <w:pStyle w:val="MeetingInfo"/>
      </w:pPr>
      <w:r>
        <w:t>Бразилиа, Бразилия, 5</w:t>
      </w:r>
      <w:r w:rsidRPr="001C6A85">
        <w:t>-</w:t>
      </w:r>
      <w:r w:rsidR="00571FBC">
        <w:t>9 октября 2015 года</w:t>
      </w:r>
    </w:p>
    <w:p w:rsidR="00571FBC" w:rsidRPr="00755740" w:rsidRDefault="00571FBC" w:rsidP="00C21534">
      <w:pPr>
        <w:pStyle w:val="MeetingInfo"/>
      </w:pPr>
      <w:r>
        <w:t xml:space="preserve">УСИЛИЯ ПО СОВЕРШЕНСТВОВАНИЮ ДАННЫХ, ИНФОРМАЦИИ И СТАТИСТИКИ В ОБЛАСТИ </w:t>
      </w:r>
      <w:r w:rsidR="004B1861">
        <w:rPr>
          <w:rFonts w:asciiTheme="minorHAnsi" w:hAnsiTheme="minorHAnsi"/>
        </w:rPr>
        <w:br/>
      </w:r>
      <w:r w:rsidRPr="004B1861">
        <w:t>АКВАКУЛЬТУРЫ – ПРОШЛОЕ</w:t>
      </w:r>
      <w:r>
        <w:t>, НАСТОЯЩЕЕ И БУДУЩЕЕ: ДЛЯ ОБСУЖДЕНИЯ И</w:t>
      </w:r>
      <w:r w:rsidR="00A726B7">
        <w:rPr>
          <w:lang w:val="da-DK"/>
        </w:rPr>
        <w:t> </w:t>
      </w:r>
      <w:r>
        <w:t xml:space="preserve">ПРИНЯТИЯ РЕШЕНИЯ  </w:t>
      </w:r>
    </w:p>
    <w:p w:rsidR="00571FBC" w:rsidRPr="00755740" w:rsidRDefault="008F346C" w:rsidP="00C21534">
      <w:r>
        <w:rPr>
          <w:noProof/>
        </w:rPr>
        <w:pict>
          <v:rect id="Rectangle 3" o:spid="_x0000_s1026" style="position:absolute;margin-left:-1.9pt;margin-top:7.8pt;width:459pt;height:31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">
            <v:textbox>
              <w:txbxContent>
                <w:p w:rsidR="00571FBC" w:rsidRPr="00755740" w:rsidRDefault="00571FBC" w:rsidP="00571F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Резюме</w:t>
                  </w:r>
                </w:p>
                <w:p w:rsidR="00571FBC" w:rsidRPr="001C6A85" w:rsidRDefault="00571FBC" w:rsidP="001C6A85">
                  <w:r>
                    <w:t xml:space="preserve">В настоящем документе в катком виде охарактеризованы усилия по совершенствованию данных, информации и статистики в области </w:t>
                  </w:r>
                  <w:proofErr w:type="spellStart"/>
                  <w:r>
                    <w:t>аквакультуры</w:t>
                  </w:r>
                  <w:proofErr w:type="spellEnd"/>
                  <w:r>
                    <w:t xml:space="preserve">, предпринятые в последнее время на уровне ФАО в сотрудничестве с рядом других ключевых организаций. Приведена информация о последнем пересмотре ряда глобальных классификаций статистики с введением позиций, имеющих непосредственное отношение к </w:t>
                  </w:r>
                  <w:proofErr w:type="spellStart"/>
                  <w:r>
                    <w:t>аквакультуре</w:t>
                  </w:r>
                  <w:proofErr w:type="spellEnd"/>
                  <w:r>
                    <w:t xml:space="preserve">. Представлены текущие направления деятельности ФАО в </w:t>
                  </w:r>
                  <w:r w:rsidRPr="00E160D7">
                    <w:t xml:space="preserve">поддержку осуществления инициативы </w:t>
                  </w:r>
                  <w:r w:rsidR="001C6A85" w:rsidRPr="00E160D7">
                    <w:rPr>
                      <w:rFonts w:cs="Times New Roman"/>
                      <w:lang w:bidi="ar-SA"/>
                    </w:rPr>
                    <w:t>"</w:t>
                  </w:r>
                  <w:r w:rsidRPr="00E160D7">
                    <w:t>Голубой рост</w:t>
                  </w:r>
                  <w:r w:rsidR="001C6A85" w:rsidRPr="00E160D7">
                    <w:rPr>
                      <w:rFonts w:cs="Times New Roman"/>
                      <w:lang w:bidi="ar-SA"/>
                    </w:rPr>
                    <w:t>"</w:t>
                  </w:r>
                  <w:r w:rsidRPr="00E160D7">
                    <w:t>, основанные на совершенствовании сбора информации и обеспечении ее последовательности, сопоставимости и распространения; заинтересованные</w:t>
                  </w:r>
                  <w:r>
                    <w:t xml:space="preserve"> стороны приглашаются к сотрудничеству и участию.</w:t>
                  </w:r>
                </w:p>
                <w:p w:rsidR="00571FBC" w:rsidRPr="00755740" w:rsidRDefault="00571FBC" w:rsidP="00571FBC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Подкомитету предлагается:</w:t>
                  </w:r>
                </w:p>
                <w:p w:rsidR="00571FBC" w:rsidRPr="00755740" w:rsidRDefault="00571FBC" w:rsidP="00571FBC">
                  <w:r>
                    <w:t xml:space="preserve">Рассмотреть документ и дать замечания и отзывы по поводу текущей работы и полученных результатов. </w:t>
                  </w:r>
                </w:p>
                <w:p w:rsidR="00571FBC" w:rsidRPr="00755740" w:rsidRDefault="00571FBC" w:rsidP="001036D7">
                  <w:r>
                    <w:t xml:space="preserve">Дать рекомендации относительно того, как улучшить в интересах стран-членов данные, информацию и статистику в области </w:t>
                  </w:r>
                  <w:proofErr w:type="spellStart"/>
                  <w:r>
                    <w:t>аквакультуры</w:t>
                  </w:r>
                  <w:proofErr w:type="spellEnd"/>
                  <w:r>
                    <w:t xml:space="preserve"> с использованием различных механизмов и стратегий, включая деятельность Тематической группы по </w:t>
                  </w:r>
                  <w:proofErr w:type="spellStart"/>
                  <w:r>
                    <w:t>аквакультуре</w:t>
                  </w:r>
                  <w:proofErr w:type="spellEnd"/>
                  <w:r>
                    <w:t xml:space="preserve"> в рамках Координационной рабочей группы по статистике рыбного хозяйства (CWP-AS). </w:t>
                  </w:r>
                </w:p>
                <w:p w:rsidR="00571FBC" w:rsidRPr="00755740" w:rsidRDefault="00571FBC" w:rsidP="00571FBC">
                  <w:r>
                    <w:t xml:space="preserve">Выразить заинтересованность в участии в мероприятиях, в частности в повышении информационной грамотности на местах в контексте технической помощи ФАО в поддержку устойчивого и ответственного развития </w:t>
                  </w:r>
                  <w:proofErr w:type="spellStart"/>
                  <w:r>
                    <w:t>аквакультуры</w:t>
                  </w:r>
                  <w:proofErr w:type="spellEnd"/>
                  <w:r>
                    <w:t>.</w:t>
                  </w:r>
                </w:p>
                <w:p w:rsidR="00571FBC" w:rsidRPr="00BA7B61" w:rsidRDefault="00571FBC" w:rsidP="00571FBC"/>
                <w:p w:rsidR="00571FBC" w:rsidRDefault="00571FBC" w:rsidP="00571FBC"/>
              </w:txbxContent>
            </v:textbox>
          </v:rect>
        </w:pict>
      </w:r>
      <w:r w:rsidR="00571FBC">
        <w:t xml:space="preserve"> </w:t>
      </w:r>
      <w:bookmarkEnd w:id="1"/>
      <w:r w:rsidR="00571FBC">
        <w:t xml:space="preserve"> </w:t>
      </w:r>
      <w:bookmarkStart w:id="2" w:name="SummaryBoxBookmark"/>
      <w:r w:rsidR="00571FBC">
        <w:t xml:space="preserve"> </w:t>
      </w:r>
      <w:bookmarkEnd w:id="2"/>
      <w:r w:rsidR="00571FBC">
        <w:t xml:space="preserve"> </w:t>
      </w:r>
      <w:bookmarkStart w:id="3" w:name="TableOfContentsRangeBookmark"/>
      <w:r w:rsidR="00571FBC">
        <w:t xml:space="preserve"> </w:t>
      </w:r>
      <w:bookmarkEnd w:id="3"/>
    </w:p>
    <w:p w:rsidR="00571FBC" w:rsidRPr="00755740" w:rsidRDefault="00571FBC" w:rsidP="00C21534">
      <w:pPr>
        <w:pStyle w:val="SummaryBoxText"/>
      </w:pPr>
    </w:p>
    <w:p w:rsidR="00571FBC" w:rsidRPr="00755740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SummaryBoxText"/>
      </w:pPr>
    </w:p>
    <w:p w:rsidR="00571FBC" w:rsidRDefault="00571FBC" w:rsidP="00C21534">
      <w:pPr>
        <w:pStyle w:val="Heading1"/>
        <w:numPr>
          <w:ilvl w:val="0"/>
          <w:numId w:val="0"/>
        </w:numPr>
        <w:ind w:left="709" w:hanging="708"/>
        <w:jc w:val="left"/>
      </w:pPr>
    </w:p>
    <w:p w:rsidR="00571FBC" w:rsidRPr="00651DDF" w:rsidRDefault="00571FBC" w:rsidP="00C21534">
      <w:pPr>
        <w:pStyle w:val="Heading1"/>
        <w:numPr>
          <w:ilvl w:val="0"/>
          <w:numId w:val="0"/>
        </w:numPr>
        <w:ind w:left="1"/>
        <w:jc w:val="left"/>
      </w:pPr>
      <w:r>
        <w:t>СОСТОЯНИЕ ПРОВОДИМОГО ФАО СБОРА И РАСПРОСТРАНЕНИЯ ДАННЫХ И ИНФОРМАЦИИ В ОБЛАСТИ АКВАКУЛЬТУРЫ</w:t>
      </w:r>
    </w:p>
    <w:p w:rsidR="00571FBC" w:rsidRDefault="00571FBC" w:rsidP="00C21534">
      <w:pPr>
        <w:pStyle w:val="NewPara"/>
        <w:jc w:val="both"/>
      </w:pPr>
      <w:r>
        <w:t xml:space="preserve">Вклад </w:t>
      </w:r>
      <w:proofErr w:type="spellStart"/>
      <w:r>
        <w:t>аквакультуры</w:t>
      </w:r>
      <w:proofErr w:type="spellEnd"/>
      <w:r>
        <w:t xml:space="preserve"> в обеспечение продовольственной безопасности быстро и последовательно увеличивается и в настоящее время достиг почти 50% от общего объема производства рыбы для непосредственного пищевого потребления. В этой связи, как неоднократно отмечал Подкомитет КРХ по </w:t>
      </w:r>
      <w:proofErr w:type="spellStart"/>
      <w:r>
        <w:t>аквакультуре</w:t>
      </w:r>
      <w:proofErr w:type="spellEnd"/>
      <w:r>
        <w:t xml:space="preserve"> (КРХ-ПКА), растет потребность в своевременно поступающих надежных национальных и международных статистических данных с большей детализацией, касающихся не только производства, но и комплексных характеристик сектора, включая социальные, экономические и экологические составляющие, а также аспекты продовольственной безопасности. Эти данные должны служить </w:t>
      </w:r>
      <w:proofErr w:type="spellStart"/>
      <w:r>
        <w:t>фактологической</w:t>
      </w:r>
      <w:proofErr w:type="spellEnd"/>
      <w:r>
        <w:t xml:space="preserve"> базой для эффективного мониторинга развития сектора </w:t>
      </w:r>
      <w:proofErr w:type="spellStart"/>
      <w:r>
        <w:t>аквакультуры</w:t>
      </w:r>
      <w:proofErr w:type="spellEnd"/>
      <w:r>
        <w:t xml:space="preserve"> и для обоснованного принятия решений в области разработки политики и планирования на всех уровнях. Однако в течение ряда последних лет четких признаков улучшения в ситуации с мировой статистикой по </w:t>
      </w:r>
      <w:proofErr w:type="spellStart"/>
      <w:r>
        <w:t>аквакультуре</w:t>
      </w:r>
      <w:proofErr w:type="spellEnd"/>
      <w:r>
        <w:t xml:space="preserve"> не наблюдается. </w:t>
      </w:r>
    </w:p>
    <w:p w:rsidR="00571FBC" w:rsidRDefault="00571FBC" w:rsidP="000A22B4">
      <w:pPr>
        <w:pStyle w:val="NewPara"/>
        <w:jc w:val="both"/>
      </w:pPr>
      <w:r>
        <w:t xml:space="preserve">ФАО в настоящее время собирает производственную статистику в области </w:t>
      </w:r>
      <w:proofErr w:type="spellStart"/>
      <w:r>
        <w:t>аквакультуры</w:t>
      </w:r>
      <w:proofErr w:type="spellEnd"/>
      <w:r>
        <w:t xml:space="preserve"> с использованием двух наборов вопросников: один по суммарным показателям производства в разбивке по видам, второй – с дальнейшей детализацией сведений, с выделением нагульных хозяйств, инкубаторов и питомников. Глобальная база данных ФАО содержит, с учетом последних обновлений, сведения по производству в секторе </w:t>
      </w:r>
      <w:proofErr w:type="spellStart"/>
      <w:r>
        <w:t>аквакультуры</w:t>
      </w:r>
      <w:proofErr w:type="spellEnd"/>
      <w:r>
        <w:t xml:space="preserve"> из 199 стран и территорий, однако лишь около двух третей стран представляют в ФАО свою национальную статистику на регулярной основе. Около 70 стран вообще не подают сведений в ФАО, причем некоторые из них фактически являются крупными производителями </w:t>
      </w:r>
      <w:proofErr w:type="spellStart"/>
      <w:r>
        <w:t>аквакультуры</w:t>
      </w:r>
      <w:proofErr w:type="spellEnd"/>
      <w:r>
        <w:t xml:space="preserve"> в мировом масштабе и на уровне регионов. Это соотношение и перечень стран, не подающих сведени</w:t>
      </w:r>
      <w:r w:rsidR="000A22B4">
        <w:t>й</w:t>
      </w:r>
      <w:r>
        <w:t>, остаются неизменными в течение примерно пяти последних лет. Специалисты ФАО в области статистики рассчитали оценочные показатели производственной статистики стран, не подающих сведени</w:t>
      </w:r>
      <w:r w:rsidR="000A22B4">
        <w:t>й</w:t>
      </w:r>
      <w:r>
        <w:t>, на основе ограниченной информации из альтернативных источников.</w:t>
      </w:r>
    </w:p>
    <w:p w:rsidR="00571FBC" w:rsidRPr="00755740" w:rsidRDefault="00571FBC" w:rsidP="00C21534">
      <w:pPr>
        <w:pStyle w:val="NewPara"/>
        <w:jc w:val="both"/>
      </w:pPr>
      <w:r>
        <w:t>Среди стран и территорий, которые предоставляют информацию в ФАО, менее половины охватывают полный спектр необходимых статистических данных, в остальных – получаемые данные характеризуются различной степенью полноты и последовательности. В</w:t>
      </w:r>
      <w:r w:rsidR="00A726B7">
        <w:rPr>
          <w:lang w:val="da-DK"/>
        </w:rPr>
        <w:t> </w:t>
      </w:r>
      <w:r>
        <w:t xml:space="preserve">целом, объем производства в секторе </w:t>
      </w:r>
      <w:proofErr w:type="spellStart"/>
      <w:r>
        <w:t>аквакультуры</w:t>
      </w:r>
      <w:proofErr w:type="spellEnd"/>
      <w:r>
        <w:t xml:space="preserve"> оценивается по тому показателю, по которому страны с наибольшей частотой предоставляют данные. Информация относительно производства в разбивке по системам разведения, областям </w:t>
      </w:r>
      <w:proofErr w:type="spellStart"/>
      <w:r>
        <w:t>аквакультуры</w:t>
      </w:r>
      <w:proofErr w:type="spellEnd"/>
      <w:r>
        <w:t xml:space="preserve">, с выделением инкубаторов и питомников, не только предоставляется в низком объеме, но и характеризуется весьма разнородным качеством. Аналогичная ситуация сложилась и в статистике трудовой занятости в области </w:t>
      </w:r>
      <w:proofErr w:type="spellStart"/>
      <w:r>
        <w:t>аквакультуры</w:t>
      </w:r>
      <w:proofErr w:type="spellEnd"/>
      <w:r>
        <w:t xml:space="preserve">, собираемой посредством отдельного вопросника. Примерно от половины стран поступает та или иная информация, однако лишь около 20 стран направляют сведения в разбивке по полу и с выделением полной и частичной занятости; некоторые страны с наличием </w:t>
      </w:r>
      <w:proofErr w:type="spellStart"/>
      <w:r>
        <w:t>аквакультуры</w:t>
      </w:r>
      <w:proofErr w:type="spellEnd"/>
      <w:r>
        <w:t xml:space="preserve"> не сообщают численность работников в данной области производства. </w:t>
      </w:r>
    </w:p>
    <w:p w:rsidR="00571FBC" w:rsidRPr="00755740" w:rsidRDefault="00571FBC" w:rsidP="00C21534">
      <w:pPr>
        <w:pStyle w:val="NewPara"/>
        <w:jc w:val="both"/>
      </w:pPr>
      <w:r>
        <w:t xml:space="preserve">По всей вероятности, одной из причин относительно медленного прогресса в деле улучшения общего потенциала в области мониторинга и статистики в секторе </w:t>
      </w:r>
      <w:proofErr w:type="spellStart"/>
      <w:r>
        <w:t>аквакультуры</w:t>
      </w:r>
      <w:proofErr w:type="spellEnd"/>
      <w:r>
        <w:t xml:space="preserve"> является отсутствие стандартных методик и руководящих принципов в отношении сбора данных. Поэтому преобладающая часть усилий, кратко изложенных в последующих разделах, была направлена на формирование стандартных концепций о том, как проводить мониторинг деятельности сектора и его устойчивости в целом, а также на разработку практических методов сбора необходимой информации.</w:t>
      </w:r>
    </w:p>
    <w:p w:rsidR="00571FBC" w:rsidRPr="00755740" w:rsidRDefault="00571FBC" w:rsidP="001563A9">
      <w:pPr>
        <w:pStyle w:val="NewPara"/>
        <w:jc w:val="both"/>
      </w:pPr>
      <w:proofErr w:type="gramStart"/>
      <w:r>
        <w:lastRenderedPageBreak/>
        <w:t xml:space="preserve">Наиболее авторитетным и регулярно издаваемым источником аналитических данных и информации ФАО по </w:t>
      </w:r>
      <w:proofErr w:type="spellStart"/>
      <w:r>
        <w:t>аквакультуре</w:t>
      </w:r>
      <w:proofErr w:type="spellEnd"/>
      <w:r>
        <w:t xml:space="preserve"> является выпускаемая каждые два года флагманская публикация Департамента рыболовства и </w:t>
      </w:r>
      <w:proofErr w:type="spellStart"/>
      <w:r>
        <w:t>аквакультуры</w:t>
      </w:r>
      <w:proofErr w:type="spellEnd"/>
      <w:r>
        <w:t xml:space="preserve"> </w:t>
      </w:r>
      <w:r w:rsidR="001563A9">
        <w:rPr>
          <w:rFonts w:cs="Times New Roman"/>
        </w:rPr>
        <w:t>"</w:t>
      </w:r>
      <w:r>
        <w:t xml:space="preserve">Состояние мирового рыболовства и </w:t>
      </w:r>
      <w:proofErr w:type="spellStart"/>
      <w:r>
        <w:t>аквакультуры</w:t>
      </w:r>
      <w:proofErr w:type="spellEnd"/>
      <w:r w:rsidR="001563A9">
        <w:rPr>
          <w:rFonts w:cs="Times New Roman"/>
        </w:rPr>
        <w:t>"</w:t>
      </w:r>
      <w:r>
        <w:rPr>
          <w:rStyle w:val="FootnoteReference"/>
        </w:rPr>
        <w:footnoteReference w:id="1"/>
      </w:r>
      <w:r>
        <w:t xml:space="preserve">. ФАО распространяет статистические данные, информацию и другие пособия, касающиеся </w:t>
      </w:r>
      <w:proofErr w:type="spellStart"/>
      <w:r>
        <w:t>аквакультуры</w:t>
      </w:r>
      <w:proofErr w:type="spellEnd"/>
      <w:r>
        <w:t xml:space="preserve"> через веб-сайт Департамента рыболовства и </w:t>
      </w:r>
      <w:proofErr w:type="spellStart"/>
      <w:r>
        <w:t>аквакультуры</w:t>
      </w:r>
      <w:proofErr w:type="spellEnd"/>
      <w:r>
        <w:rPr>
          <w:rStyle w:val="FootnoteReference"/>
        </w:rPr>
        <w:footnoteReference w:id="2"/>
      </w:r>
      <w:r>
        <w:t xml:space="preserve">, тематическую страницу ФАО, посвященную </w:t>
      </w:r>
      <w:proofErr w:type="spellStart"/>
      <w:r>
        <w:t>аквакультуре</w:t>
      </w:r>
      <w:proofErr w:type="spellEnd"/>
      <w:r>
        <w:rPr>
          <w:rStyle w:val="FootnoteReference"/>
        </w:rPr>
        <w:footnoteReference w:id="3"/>
      </w:r>
      <w:r>
        <w:t xml:space="preserve">, ежеквартальные электронные бюллетени по </w:t>
      </w:r>
      <w:proofErr w:type="spellStart"/>
      <w:r>
        <w:t>аквакультуре</w:t>
      </w:r>
      <w:proofErr w:type="spellEnd"/>
      <w:r>
        <w:t xml:space="preserve"> и выпускаемые два раза в</w:t>
      </w:r>
      <w:proofErr w:type="gramEnd"/>
      <w:r>
        <w:t xml:space="preserve"> год в печатном и электронном виде информационные бюллетени ФАО по </w:t>
      </w:r>
      <w:proofErr w:type="spellStart"/>
      <w:r>
        <w:t>аквакультуре</w:t>
      </w:r>
      <w:proofErr w:type="spellEnd"/>
      <w:r>
        <w:t>.</w:t>
      </w:r>
    </w:p>
    <w:p w:rsidR="00571FBC" w:rsidRPr="00755740" w:rsidRDefault="00571FBC" w:rsidP="00057694">
      <w:pPr>
        <w:pStyle w:val="NewPara"/>
        <w:jc w:val="both"/>
      </w:pPr>
      <w:r>
        <w:t>В частности, за период после 2003 года, в свете рекомендаций 3-й сессии КРХ-ПКА (</w:t>
      </w:r>
      <w:proofErr w:type="spellStart"/>
      <w:r>
        <w:t>Тронхейм</w:t>
      </w:r>
      <w:proofErr w:type="spellEnd"/>
      <w:r>
        <w:t>, Норвегия, 7</w:t>
      </w:r>
      <w:r w:rsidR="00057694" w:rsidRPr="006B08BA">
        <w:t>-</w:t>
      </w:r>
      <w:r>
        <w:t>11 августа 2003 года), ФАО распространила два набора фактографических справок: Обзор национального рыбоводческого сектора (НАСО)</w:t>
      </w:r>
      <w:r>
        <w:rPr>
          <w:rStyle w:val="FootnoteReference"/>
        </w:rPr>
        <w:footnoteReference w:id="4"/>
      </w:r>
      <w:r>
        <w:t xml:space="preserve"> и Обзор национальных законов в области </w:t>
      </w:r>
      <w:proofErr w:type="spellStart"/>
      <w:r>
        <w:t>аквакультуры</w:t>
      </w:r>
      <w:proofErr w:type="spellEnd"/>
      <w:r>
        <w:t xml:space="preserve"> (НАЛО)</w:t>
      </w:r>
      <w:r>
        <w:rPr>
          <w:rStyle w:val="FootnoteReference"/>
        </w:rPr>
        <w:footnoteReference w:id="5"/>
      </w:r>
      <w:r>
        <w:t xml:space="preserve">. НАСО дает общий обзор национального состояния </w:t>
      </w:r>
      <w:proofErr w:type="spellStart"/>
      <w:r>
        <w:t>аквакультуры</w:t>
      </w:r>
      <w:proofErr w:type="spellEnd"/>
      <w:r>
        <w:t xml:space="preserve"> и рыбного хозяйства на основе </w:t>
      </w:r>
      <w:proofErr w:type="spellStart"/>
      <w:r>
        <w:t>аквакультуры</w:t>
      </w:r>
      <w:proofErr w:type="spellEnd"/>
      <w:r>
        <w:t xml:space="preserve"> и в настоящее время содержит 106 фактографических справок. Процесс комплектования и обновления НАСО осуществляется в рамках консолидированного партнерства между ФАО и странами-членами Организации, направленного на обеспечение эффективного обмена информацией в области </w:t>
      </w:r>
      <w:proofErr w:type="spellStart"/>
      <w:r>
        <w:t>аквакультуры</w:t>
      </w:r>
      <w:proofErr w:type="spellEnd"/>
      <w:r>
        <w:t xml:space="preserve"> в целях улучшения мониторинга состояния и динамики развития </w:t>
      </w:r>
      <w:proofErr w:type="spellStart"/>
      <w:r>
        <w:t>аквакультуры</w:t>
      </w:r>
      <w:proofErr w:type="spellEnd"/>
      <w:r>
        <w:t xml:space="preserve"> на национальном и региональном уровнях. </w:t>
      </w:r>
    </w:p>
    <w:p w:rsidR="00571FBC" w:rsidRPr="00755740" w:rsidRDefault="00571FBC" w:rsidP="00C21534">
      <w:pPr>
        <w:pStyle w:val="NewPara"/>
        <w:jc w:val="both"/>
      </w:pPr>
      <w:r>
        <w:t xml:space="preserve">НАЛО состоит из серии сопоставимых национальных обзоров законодательства и нормативов по вопросам </w:t>
      </w:r>
      <w:proofErr w:type="spellStart"/>
      <w:r>
        <w:t>аквакультуры</w:t>
      </w:r>
      <w:proofErr w:type="spellEnd"/>
      <w:r>
        <w:t xml:space="preserve"> из стран-производителей </w:t>
      </w:r>
      <w:proofErr w:type="spellStart"/>
      <w:r>
        <w:t>аквакультуры</w:t>
      </w:r>
      <w:proofErr w:type="spellEnd"/>
      <w:r>
        <w:t>, которые составляются в сотрудничестве с Подотделом ФАО по вопросам права в целях развития. Подготовка обзоров осуществляется, в первую очередь, на основе ФАОЛЕКС</w:t>
      </w:r>
      <w:r>
        <w:rPr>
          <w:rStyle w:val="FootnoteReference"/>
        </w:rPr>
        <w:footnoteReference w:id="6"/>
      </w:r>
      <w:r>
        <w:t xml:space="preserve"> – базы данных, содержащей в электронном виде крупнейший в мире массив национальных законов и подзаконных актов в сфере продовольствия и сельского хозяйства. Кроме того используются дополнительные материалы, поступающие из национальных источников. В настоящее время НАЛО содержит 59 обзоров. </w:t>
      </w:r>
    </w:p>
    <w:p w:rsidR="00571FBC" w:rsidRPr="00755740" w:rsidRDefault="00571FBC" w:rsidP="00C21534">
      <w:pPr>
        <w:pStyle w:val="NewPara"/>
        <w:jc w:val="both"/>
      </w:pPr>
      <w:proofErr w:type="gramStart"/>
      <w:r>
        <w:t xml:space="preserve">Статистика продукции </w:t>
      </w:r>
      <w:proofErr w:type="spellStart"/>
      <w:r>
        <w:t>аквакультуры</w:t>
      </w:r>
      <w:proofErr w:type="spellEnd"/>
      <w:r>
        <w:t xml:space="preserve"> распространяется посредством таблиц Ежегодника, выпущенного в формате CD-ROM, по онлайновым запросам и с применением компьютерного приложения </w:t>
      </w:r>
      <w:proofErr w:type="spellStart"/>
      <w:r>
        <w:t>FishStatJ</w:t>
      </w:r>
      <w:proofErr w:type="spellEnd"/>
      <w:r>
        <w:t>, позволяющего извлекать и агрегировать временные ряды статистических данных по рыбоводству</w:t>
      </w:r>
      <w:r>
        <w:rPr>
          <w:rStyle w:val="FootnoteReference"/>
        </w:rPr>
        <w:footnoteReference w:id="7"/>
      </w:r>
      <w:r>
        <w:t xml:space="preserve">. Действующая в настоящее время система распространения статистических данных по рыболовству и </w:t>
      </w:r>
      <w:proofErr w:type="spellStart"/>
      <w:r>
        <w:t>аквакультуре</w:t>
      </w:r>
      <w:proofErr w:type="spellEnd"/>
      <w:r>
        <w:t xml:space="preserve"> предусматривает ввод целостных количественных параметров (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values</w:t>
      </w:r>
      <w:proofErr w:type="spellEnd"/>
      <w:r>
        <w:t>) в целях условного исчисления, что сопряжено с возникновением серьезных проблем, если</w:t>
      </w:r>
      <w:proofErr w:type="gramEnd"/>
      <w:r>
        <w:t xml:space="preserve"> наборы данных содержат значительную долю пропусков или отличаются низким качеством. По этой причине информация о нагульных хозяйствах, о продукции инкубаторов и о трудовой занятости в секторе </w:t>
      </w:r>
      <w:proofErr w:type="spellStart"/>
      <w:r>
        <w:t>аквакультуры</w:t>
      </w:r>
      <w:proofErr w:type="spellEnd"/>
      <w:r>
        <w:t xml:space="preserve"> пока не распространяется в виде статистических данных, хотя ее сбор систематически проводится и она используется в целях общего анализа. В то же время четко осознается, что такая практика противоречит принципу надлежащего распространения всей информации, получаемой из стран. В этой связи ФАО планирует модифицировать свою систему, так чтобы она позволяла распространять наборы данных без использования условного исчисления в дополнение к регулярному распространению серий данных мировой статистики с полномасштабным использованием расчетных данных. </w:t>
      </w:r>
    </w:p>
    <w:p w:rsidR="00571FBC" w:rsidRPr="00755740" w:rsidRDefault="00571FBC" w:rsidP="00C21534">
      <w:pPr>
        <w:pStyle w:val="NewPara"/>
        <w:jc w:val="both"/>
      </w:pPr>
      <w:r>
        <w:lastRenderedPageBreak/>
        <w:t xml:space="preserve">ФАО претворяет в жизнь инициативу по разработке индикаторов мировой продуктивности сектора </w:t>
      </w:r>
      <w:proofErr w:type="spellStart"/>
      <w:r>
        <w:t>аквакультуры</w:t>
      </w:r>
      <w:proofErr w:type="spellEnd"/>
      <w:r>
        <w:t xml:space="preserve"> (WAPI), удобного инструмента для оценки и мониторинга деятельности сектора </w:t>
      </w:r>
      <w:proofErr w:type="spellStart"/>
      <w:r>
        <w:t>аквакультуры</w:t>
      </w:r>
      <w:proofErr w:type="spellEnd"/>
      <w:r>
        <w:rPr>
          <w:rStyle w:val="FootnoteReference"/>
        </w:rPr>
        <w:footnoteReference w:id="8"/>
      </w:r>
      <w:r>
        <w:t xml:space="preserve">. Данный инструмент будет отображать состояние и динамику развития </w:t>
      </w:r>
      <w:proofErr w:type="spellStart"/>
      <w:r>
        <w:t>аквакультуры</w:t>
      </w:r>
      <w:proofErr w:type="spellEnd"/>
      <w:r>
        <w:t xml:space="preserve"> в форме наглядных таблиц и графиков, характеризующих наиболее актуальные аспекты для управления сектором </w:t>
      </w:r>
      <w:proofErr w:type="spellStart"/>
      <w:r>
        <w:t>аквакультуры</w:t>
      </w:r>
      <w:proofErr w:type="spellEnd"/>
      <w:r>
        <w:t xml:space="preserve">. Недавно был разработан и в настоящее время готов к применению в тестовом режиме модуль WAPI по продукции </w:t>
      </w:r>
      <w:proofErr w:type="spellStart"/>
      <w:r>
        <w:t>аквакультуры</w:t>
      </w:r>
      <w:proofErr w:type="spellEnd"/>
      <w:r>
        <w:t xml:space="preserve">. На сегодняшний день модуль охватывает продукцию </w:t>
      </w:r>
      <w:proofErr w:type="spellStart"/>
      <w:r>
        <w:t>аквакультуры</w:t>
      </w:r>
      <w:proofErr w:type="spellEnd"/>
      <w:r>
        <w:t xml:space="preserve"> (в </w:t>
      </w:r>
      <w:proofErr w:type="gramStart"/>
      <w:r>
        <w:t>показателях</w:t>
      </w:r>
      <w:proofErr w:type="gramEnd"/>
      <w:r>
        <w:t xml:space="preserve"> как объема, так и стоимости) по примерно 900 видам и видовым группам на национальном, региональном и глобальном уровнях за период с 1950 года по настоящее время</w:t>
      </w:r>
      <w:r>
        <w:rPr>
          <w:rStyle w:val="FootnoteReference"/>
        </w:rPr>
        <w:footnoteReference w:id="9"/>
      </w:r>
      <w:r>
        <w:t xml:space="preserve">. На следующем этапе планируется включить в инструмент WAPI модули по потреблению рыбы и показателям трудовой занятости. </w:t>
      </w:r>
    </w:p>
    <w:p w:rsidR="00571FBC" w:rsidRPr="00755740" w:rsidRDefault="00571FBC" w:rsidP="00C21534"/>
    <w:p w:rsidR="00571FBC" w:rsidRPr="00755740" w:rsidRDefault="00571FBC" w:rsidP="00C21534">
      <w:pPr>
        <w:pStyle w:val="Heading2"/>
        <w:numPr>
          <w:ilvl w:val="0"/>
          <w:numId w:val="0"/>
        </w:numPr>
        <w:ind w:left="1"/>
        <w:jc w:val="left"/>
      </w:pPr>
      <w:r>
        <w:t>ДЕЯТЕЛЬНОСТЬ КРГ-ГА</w:t>
      </w:r>
    </w:p>
    <w:p w:rsidR="00571FBC" w:rsidRPr="00755740" w:rsidRDefault="00571FBC" w:rsidP="00C21534">
      <w:pPr>
        <w:pStyle w:val="NewPara"/>
        <w:jc w:val="both"/>
      </w:pPr>
      <w:r>
        <w:t xml:space="preserve">На 23-й сессии Координационной рабочей группы по статистике рыбного хозяйства (КРГ), состоявшейся в </w:t>
      </w:r>
      <w:proofErr w:type="spellStart"/>
      <w:r>
        <w:t>Хобарте</w:t>
      </w:r>
      <w:proofErr w:type="spellEnd"/>
      <w:r>
        <w:t xml:space="preserve">, Австралия, 22–26 февраля 2010 года, была учреждена Тематическая группа по </w:t>
      </w:r>
      <w:proofErr w:type="spellStart"/>
      <w:r>
        <w:t>аквакультуре</w:t>
      </w:r>
      <w:proofErr w:type="spellEnd"/>
      <w:r>
        <w:t xml:space="preserve"> (КРГ-ГА). Эта мера была принята в соответствии со Стратегией и общим планом по улучшению информации о положении дел и тенденциях в области </w:t>
      </w:r>
      <w:proofErr w:type="spellStart"/>
      <w:r>
        <w:t>аквакультуры</w:t>
      </w:r>
      <w:proofErr w:type="spellEnd"/>
      <w:r>
        <w:t xml:space="preserve"> (Стратегия STA)</w:t>
      </w:r>
      <w:r>
        <w:rPr>
          <w:rStyle w:val="FootnoteReference"/>
        </w:rPr>
        <w:footnoteReference w:id="10"/>
      </w:r>
      <w:r>
        <w:t xml:space="preserve">, которые были утверждены на сессии Подкомитета КРХ по </w:t>
      </w:r>
      <w:proofErr w:type="spellStart"/>
      <w:r>
        <w:t>аквакультуре</w:t>
      </w:r>
      <w:proofErr w:type="spellEnd"/>
      <w:r>
        <w:t xml:space="preserve"> в Нью-Дели в 2006 году. </w:t>
      </w:r>
    </w:p>
    <w:p w:rsidR="00571FBC" w:rsidRPr="00755740" w:rsidRDefault="00571FBC" w:rsidP="00C21534">
      <w:pPr>
        <w:pStyle w:val="NewPara"/>
        <w:jc w:val="both"/>
      </w:pPr>
      <w:proofErr w:type="gramStart"/>
      <w:r>
        <w:t xml:space="preserve">Деятельность КРГ-ГА направлена на решение следующих задач: i) обзор потребностей в статистической информации и данных по </w:t>
      </w:r>
      <w:proofErr w:type="spellStart"/>
      <w:r>
        <w:t>аквакультуре</w:t>
      </w:r>
      <w:proofErr w:type="spellEnd"/>
      <w:r>
        <w:t xml:space="preserve"> для целей научных исследований, разработки политики и управления; </w:t>
      </w:r>
      <w:proofErr w:type="spellStart"/>
      <w:r>
        <w:t>ii</w:t>
      </w:r>
      <w:proofErr w:type="spellEnd"/>
      <w:r>
        <w:t xml:space="preserve">) разработка стандартных концепций, определений, классификаций и методик для сбора, систематизации, анализа и распространения данных </w:t>
      </w:r>
      <w:proofErr w:type="spellStart"/>
      <w:r>
        <w:t>аквакультуры</w:t>
      </w:r>
      <w:proofErr w:type="spellEnd"/>
      <w:r>
        <w:t>;</w:t>
      </w:r>
      <w:proofErr w:type="gramEnd"/>
      <w:r>
        <w:t xml:space="preserve"> </w:t>
      </w:r>
      <w:proofErr w:type="spellStart"/>
      <w:proofErr w:type="gramStart"/>
      <w:r>
        <w:t>iii</w:t>
      </w:r>
      <w:proofErr w:type="spellEnd"/>
      <w:r>
        <w:t xml:space="preserve">) формулирование рекомендаций по вопросам координации и гармонизации процессов сбора, анализа и распространения статистических данных и информации, относящихся к </w:t>
      </w:r>
      <w:proofErr w:type="spellStart"/>
      <w:r>
        <w:t>аквакультуре</w:t>
      </w:r>
      <w:proofErr w:type="spellEnd"/>
      <w:r>
        <w:t>.</w:t>
      </w:r>
      <w:proofErr w:type="gramEnd"/>
      <w:r>
        <w:t xml:space="preserve"> Стандарты, концепции, руководящие принципы и классификации, разрабатываемые тематическим группами, включая КРГ-ГА, проходят утверждение на сессиях КРГ и затем становятся стандартами КРГ применительно к статистике рыбного хозяйства.</w:t>
      </w:r>
    </w:p>
    <w:p w:rsidR="00571FBC" w:rsidRPr="00755740" w:rsidRDefault="00571FBC" w:rsidP="0036464A">
      <w:pPr>
        <w:pStyle w:val="NewPara"/>
        <w:jc w:val="both"/>
      </w:pPr>
      <w:r>
        <w:t xml:space="preserve">Группа по </w:t>
      </w:r>
      <w:proofErr w:type="spellStart"/>
      <w:r>
        <w:t>аквакультуре</w:t>
      </w:r>
      <w:proofErr w:type="spellEnd"/>
      <w:r>
        <w:t xml:space="preserve"> начала действовать еще до формального утверждения своего статуса на КРГ-23, проведя два специальных совещания (в Пуэрто-</w:t>
      </w:r>
      <w:proofErr w:type="spellStart"/>
      <w:r>
        <w:t>Варас</w:t>
      </w:r>
      <w:proofErr w:type="spellEnd"/>
      <w:r>
        <w:t>, Чили, 3</w:t>
      </w:r>
      <w:r w:rsidR="0036464A" w:rsidRPr="00F33592">
        <w:t>-</w:t>
      </w:r>
      <w:r>
        <w:t xml:space="preserve">4 октября 2008 года, и в Риме, Италия, 6 марта 2009 года). </w:t>
      </w:r>
    </w:p>
    <w:p w:rsidR="00571FBC" w:rsidRDefault="00571FBC" w:rsidP="00F33592">
      <w:pPr>
        <w:pStyle w:val="NewPara"/>
        <w:jc w:val="both"/>
      </w:pPr>
      <w:r>
        <w:t xml:space="preserve">После официального учреждения КРГ-ГА сосредоточила свои усилия на завершении разработки Справочника КРГ по </w:t>
      </w:r>
      <w:proofErr w:type="spellStart"/>
      <w:r>
        <w:t>аквакультуре</w:t>
      </w:r>
      <w:proofErr w:type="spellEnd"/>
      <w:r>
        <w:t xml:space="preserve">, структура которого была составлена на экспертном семинаре, состоявшемся в Бухте </w:t>
      </w:r>
      <w:proofErr w:type="spellStart"/>
      <w:r>
        <w:t>Халонг</w:t>
      </w:r>
      <w:proofErr w:type="spellEnd"/>
      <w:r>
        <w:t>, Вьетнам, 10</w:t>
      </w:r>
      <w:r w:rsidR="00F33592" w:rsidRPr="00B42E52">
        <w:t>-</w:t>
      </w:r>
      <w:r>
        <w:t xml:space="preserve">14 ноября 2009 года. Эта работа проводилась в течение первого межсессионного периода (с февраля 2010 года по февраль 2013 года) под совместным руководством со стороны ФАО и Центра развития рыбного хозяйства в Юго-Восточной Азии (SEAFDEC). </w:t>
      </w:r>
    </w:p>
    <w:p w:rsidR="00571FBC" w:rsidRDefault="00571FBC" w:rsidP="00C21534">
      <w:pPr>
        <w:pStyle w:val="NewPara"/>
        <w:jc w:val="both"/>
      </w:pPr>
      <w:r>
        <w:t xml:space="preserve">Первое совещание Группы по </w:t>
      </w:r>
      <w:proofErr w:type="spellStart"/>
      <w:r>
        <w:t>аквакультуре</w:t>
      </w:r>
      <w:proofErr w:type="spellEnd"/>
      <w:r>
        <w:t xml:space="preserve"> состоялось 2 октября 2010 года в </w:t>
      </w:r>
      <w:proofErr w:type="spellStart"/>
      <w:r>
        <w:t>Пхукете</w:t>
      </w:r>
      <w:proofErr w:type="spellEnd"/>
      <w:r>
        <w:t xml:space="preserve">, Таиланд, второе – 14 июля 2012 года в Риме, Италия. </w:t>
      </w:r>
    </w:p>
    <w:p w:rsidR="00571FBC" w:rsidRPr="00755740" w:rsidRDefault="00571FBC" w:rsidP="00DD6836">
      <w:pPr>
        <w:pStyle w:val="NewPara"/>
        <w:jc w:val="both"/>
      </w:pPr>
      <w:r>
        <w:lastRenderedPageBreak/>
        <w:t xml:space="preserve">Третье совещание Группы прошло 5 февраля 2013 года, перед 24-й сессией КРГ </w:t>
      </w:r>
      <w:r w:rsidR="00BA1B01" w:rsidRPr="00003914">
        <w:br/>
      </w:r>
      <w:r>
        <w:t>(КРГ-24; 7</w:t>
      </w:r>
      <w:r w:rsidR="00AC624B" w:rsidRPr="00DD6836">
        <w:t>-</w:t>
      </w:r>
      <w:r>
        <w:t xml:space="preserve">8 февраля 2013 года, Рим, Италия). Группа завершила разработку раздела </w:t>
      </w:r>
      <w:proofErr w:type="spellStart"/>
      <w:r>
        <w:t>аквакультуры</w:t>
      </w:r>
      <w:proofErr w:type="spellEnd"/>
      <w:r>
        <w:t xml:space="preserve"> для Справочника КРГ, который </w:t>
      </w:r>
      <w:proofErr w:type="gramStart"/>
      <w:r>
        <w:t>был</w:t>
      </w:r>
      <w:proofErr w:type="gramEnd"/>
      <w:r>
        <w:t xml:space="preserve"> затем утвержден на КРГ-24. Краткое содержание Справочника КРГ по </w:t>
      </w:r>
      <w:proofErr w:type="spellStart"/>
      <w:r>
        <w:t>аквакультуре</w:t>
      </w:r>
      <w:proofErr w:type="spellEnd"/>
      <w:r>
        <w:t xml:space="preserve"> приведено ниже, в отдельной рубрике. На совещании были согласованы приоритетные направления работы, включая распространение Справочника по </w:t>
      </w:r>
      <w:proofErr w:type="spellStart"/>
      <w:r>
        <w:t>аквакультуре</w:t>
      </w:r>
      <w:proofErr w:type="spellEnd"/>
      <w:r>
        <w:t xml:space="preserve"> с надлежащим языковым охватом, пересмотр стандартных вопросников и соответствующих руководящих принципов, а также продолжение усилий по осуществлению Стратегии STA. Была создана целевая группа для разработки стандартного вопросника по </w:t>
      </w:r>
      <w:proofErr w:type="spellStart"/>
      <w:r>
        <w:t>аквакультуре</w:t>
      </w:r>
      <w:proofErr w:type="spellEnd"/>
      <w:r>
        <w:t xml:space="preserve"> и соответствующих руководящих принципов. </w:t>
      </w:r>
      <w:proofErr w:type="spellStart"/>
      <w:r>
        <w:t>Евростат</w:t>
      </w:r>
      <w:proofErr w:type="spellEnd"/>
      <w:r>
        <w:t xml:space="preserve"> и ГФКМ взяли на себя обязанности координатора КРГ-ГА на период между 24-й и 25-й сессиями КРГ (2013</w:t>
      </w:r>
      <w:r w:rsidR="00DD6836" w:rsidRPr="009E2413">
        <w:t>-</w:t>
      </w:r>
      <w:r>
        <w:t>2016 годы).</w:t>
      </w:r>
    </w:p>
    <w:p w:rsidR="00571FBC" w:rsidRPr="00755740" w:rsidRDefault="00571FBC" w:rsidP="00C21534">
      <w:pPr>
        <w:pStyle w:val="NewPara"/>
        <w:jc w:val="both"/>
      </w:pPr>
      <w:r>
        <w:t xml:space="preserve">Целевая группа по разработке вопросников начала свою деятельность в 2014 году, проведя ряд заседаний и последующих совместных мероприятий. Она сравнила вопросники, применяемые различными организациями, и подтвердила их общую согласованность друг с другом. В настоящее время целевая группа разрабатывает проект стандартных вопросников и прилагаемого к ним методического пособия, с </w:t>
      </w:r>
      <w:proofErr w:type="gramStart"/>
      <w:r>
        <w:t>тем</w:t>
      </w:r>
      <w:proofErr w:type="gramEnd"/>
      <w:r>
        <w:t xml:space="preserve"> чтобы представить эти документы на обсуждение на очередном совещании КРГ-ГА, которое планируется провести непосредственно перед данной сессией Подкомитета. Последний проект вопросников содержит основные таблицы уловов в разбивке по таким параметрам, как популяции взрослого поголовья, рыбопосадочный материал искусственного и естественного происхождения, зоны/объекты </w:t>
      </w:r>
      <w:proofErr w:type="spellStart"/>
      <w:r>
        <w:t>аквакультуры</w:t>
      </w:r>
      <w:proofErr w:type="spellEnd"/>
      <w:r>
        <w:t xml:space="preserve">, а также дополнительные таблицы со сведениями о текущих запасах, непредвиденных потерях и социально-экономических аспектах деятельности в области </w:t>
      </w:r>
      <w:proofErr w:type="spellStart"/>
      <w:r>
        <w:t>аквакультуры</w:t>
      </w:r>
      <w:proofErr w:type="spellEnd"/>
      <w:r>
        <w:t xml:space="preserve">. </w:t>
      </w:r>
    </w:p>
    <w:p w:rsidR="00571FBC" w:rsidRPr="00755740" w:rsidRDefault="00571FBC" w:rsidP="00C21534">
      <w:pPr>
        <w:pStyle w:val="NewPara"/>
        <w:jc w:val="both"/>
      </w:pPr>
      <w:r>
        <w:t>В разработке стандарта основное внимание уделено определению минимального набора основных показателей, обеспечивающих глобальную сопоставимость собираемых данных, но также стимулированию стран к сбору более подробной и комплексной информации. Вспомогательное пособие должно включить четкое описание каждой позиции и целенаправленный охват отдельных таблиц, вопросов конфиденциальности и возможных мер смягчения, но без ущерба для последовательности и сопоставимости данных в целях более интегрированных, прагматичных предложений по сбору и систематизации данных, а также освещение терминологических аспектов.</w:t>
      </w:r>
    </w:p>
    <w:p w:rsidR="00571FBC" w:rsidRPr="00755740" w:rsidRDefault="00571FBC" w:rsidP="00C21534">
      <w:pPr>
        <w:pStyle w:val="NewPara"/>
        <w:jc w:val="both"/>
      </w:pPr>
      <w:r>
        <w:t xml:space="preserve">В целях обеспечения максимального уровня участия экспертов по </w:t>
      </w:r>
      <w:proofErr w:type="spellStart"/>
      <w:r>
        <w:t>аквакультуре</w:t>
      </w:r>
      <w:proofErr w:type="spellEnd"/>
      <w:r>
        <w:t xml:space="preserve"> в совещаниях КРГ-ГА Группа имеет право проводить их в привязке к сессиям КРХ-ПКА. Однако в реальности после формального учреждения КРГ-ГА два из четырех ее совещаний были отменены, поскольку на них не смогли присутствовать члены КРГ, не являющиеся сотрудниками ФАО. Участие национальных экспертов по </w:t>
      </w:r>
      <w:proofErr w:type="spellStart"/>
      <w:r>
        <w:t>аквакультуре</w:t>
      </w:r>
      <w:proofErr w:type="spellEnd"/>
      <w:r>
        <w:t xml:space="preserve"> также остается низким. ФАО рассчитывает получить мнение Подкомитета относительно перспектив деятельности КРГ-ГА и его рекомендации в отношении оптимальных механизмов для поддержания активности Группы на надлежащем уровне.</w:t>
      </w:r>
    </w:p>
    <w:p w:rsidR="00571FBC" w:rsidRPr="00755740" w:rsidRDefault="00571FBC" w:rsidP="00C21534">
      <w:pPr>
        <w:pStyle w:val="NewPara"/>
        <w:jc w:val="both"/>
      </w:pPr>
      <w:r>
        <w:t xml:space="preserve">Что касается вышеупомянутого Справочника, в нем должен быть освещен ряд основных концепций, приведены определения понятий, стандартные классификации и соответствующие коды, применимые для сбора данных и статистики по </w:t>
      </w:r>
      <w:proofErr w:type="spellStart"/>
      <w:r>
        <w:t>аквакультуре</w:t>
      </w:r>
      <w:proofErr w:type="spellEnd"/>
      <w:r>
        <w:t xml:space="preserve">, а также изложены международные принципы. Ниже </w:t>
      </w:r>
      <w:proofErr w:type="gramStart"/>
      <w:r>
        <w:t>приведены</w:t>
      </w:r>
      <w:proofErr w:type="gramEnd"/>
      <w:r>
        <w:t xml:space="preserve"> структура и основное содержание Справочника: </w:t>
      </w:r>
    </w:p>
    <w:p w:rsidR="00571FBC" w:rsidRPr="00755740" w:rsidRDefault="00571FBC" w:rsidP="009E2413">
      <w:pPr>
        <w:pStyle w:val="BulletList"/>
      </w:pPr>
      <w:r>
        <w:t xml:space="preserve">Глава 1: определение понятия </w:t>
      </w:r>
      <w:r w:rsidR="009E2413">
        <w:rPr>
          <w:rFonts w:cs="Times New Roman"/>
        </w:rPr>
        <w:t>"</w:t>
      </w:r>
      <w:proofErr w:type="spellStart"/>
      <w:r>
        <w:t>аквакультура</w:t>
      </w:r>
      <w:proofErr w:type="spellEnd"/>
      <w:r w:rsidR="009E2413">
        <w:rPr>
          <w:rFonts w:cs="Times New Roman"/>
        </w:rPr>
        <w:t>"</w:t>
      </w:r>
      <w:r>
        <w:t>, включая ее различные типы.</w:t>
      </w:r>
    </w:p>
    <w:p w:rsidR="00571FBC" w:rsidRPr="00755740" w:rsidRDefault="00571FBC" w:rsidP="00C21534">
      <w:pPr>
        <w:pStyle w:val="BulletList"/>
      </w:pPr>
      <w:r>
        <w:t xml:space="preserve">Глава 2: разъяснение определяющих характеристик деятельности и продукции </w:t>
      </w:r>
      <w:proofErr w:type="spellStart"/>
      <w:r>
        <w:t>аквакультуры</w:t>
      </w:r>
      <w:proofErr w:type="spellEnd"/>
      <w:r>
        <w:t xml:space="preserve"> для статистических целей, в том числе таких, как права собственности, особенности местной культуры, расположение и классификация производственных систем.</w:t>
      </w:r>
    </w:p>
    <w:p w:rsidR="00571FBC" w:rsidRPr="00755740" w:rsidRDefault="00571FBC" w:rsidP="00C21534">
      <w:pPr>
        <w:pStyle w:val="BulletList"/>
      </w:pPr>
      <w:r>
        <w:lastRenderedPageBreak/>
        <w:t xml:space="preserve">Главы 3–5: основные концепции оценки ресурсов, необходимых для производства </w:t>
      </w:r>
      <w:proofErr w:type="spellStart"/>
      <w:r>
        <w:t>аквакультуры</w:t>
      </w:r>
      <w:proofErr w:type="spellEnd"/>
      <w:r>
        <w:t xml:space="preserve">, и производственных показателей </w:t>
      </w:r>
      <w:proofErr w:type="spellStart"/>
      <w:r>
        <w:t>аквакультуры</w:t>
      </w:r>
      <w:proofErr w:type="spellEnd"/>
      <w:r>
        <w:t xml:space="preserve"> для статистических нужд.</w:t>
      </w:r>
    </w:p>
    <w:p w:rsidR="00571FBC" w:rsidRPr="00755740" w:rsidRDefault="00571FBC" w:rsidP="00C21534">
      <w:pPr>
        <w:pStyle w:val="BulletList"/>
      </w:pPr>
      <w:r>
        <w:t xml:space="preserve">Глава 6: определение минимальных требований к отчетности для сбора национальной статистики по </w:t>
      </w:r>
      <w:proofErr w:type="spellStart"/>
      <w:r>
        <w:t>аквакультуре</w:t>
      </w:r>
      <w:proofErr w:type="spellEnd"/>
      <w:r>
        <w:t>.</w:t>
      </w:r>
    </w:p>
    <w:p w:rsidR="00571FBC" w:rsidRPr="00755740" w:rsidRDefault="00571FBC" w:rsidP="00C21534">
      <w:pPr>
        <w:pStyle w:val="BulletList"/>
      </w:pPr>
      <w:r>
        <w:t xml:space="preserve">Глава 7: информация об инструментах и методиках сбора данных, которые могут быть особенно полезными при сборе данных по </w:t>
      </w:r>
      <w:proofErr w:type="spellStart"/>
      <w:r>
        <w:t>аквакультуре</w:t>
      </w:r>
      <w:proofErr w:type="spellEnd"/>
      <w:r>
        <w:t>.</w:t>
      </w:r>
    </w:p>
    <w:p w:rsidR="00571FBC" w:rsidRPr="00755740" w:rsidRDefault="00571FBC" w:rsidP="00C21534">
      <w:pPr>
        <w:pStyle w:val="BulletList"/>
      </w:pPr>
      <w:r>
        <w:t xml:space="preserve">Глава 8: общие сведения о концепциях и классификациях, обычно используемых для нужд статистики рыболовства и </w:t>
      </w:r>
      <w:proofErr w:type="spellStart"/>
      <w:r>
        <w:t>аквакультуры</w:t>
      </w:r>
      <w:proofErr w:type="spellEnd"/>
      <w:r>
        <w:t xml:space="preserve">.     </w:t>
      </w:r>
    </w:p>
    <w:p w:rsidR="00571FBC" w:rsidRPr="00755740" w:rsidRDefault="00571FBC" w:rsidP="00C21534">
      <w:pPr>
        <w:pStyle w:val="NewPara"/>
        <w:jc w:val="both"/>
      </w:pPr>
      <w:r>
        <w:t xml:space="preserve">В Справочнике рекомендуется в качестве минимальных требований для мониторинга сектора </w:t>
      </w:r>
      <w:proofErr w:type="spellStart"/>
      <w:r>
        <w:t>аквакультуры</w:t>
      </w:r>
      <w:proofErr w:type="spellEnd"/>
      <w:r>
        <w:t xml:space="preserve"> в странах проводить сбор данных по следующим показателям: объем и стоимость вкладываемых ресурсов (то есть рыбопосадочного материала), отдельно дикого и искусственного происхождения; выходные параметры системы </w:t>
      </w:r>
      <w:proofErr w:type="spellStart"/>
      <w:r>
        <w:t>аквакультуры</w:t>
      </w:r>
      <w:proofErr w:type="spellEnd"/>
      <w:r>
        <w:t xml:space="preserve"> (обычно показатели продукции) в разбивке по биологическим видам, условиям окружающей среды, системам разведения и основному предназначению продукции (для пищевого и непищевого применения, а в случае производства рыбопосадочного материала – в качестве искусственно выведенных мальков или для пополнения поголовья); численность работников, занятых в </w:t>
      </w:r>
      <w:proofErr w:type="spellStart"/>
      <w:r>
        <w:t>аквакультуре</w:t>
      </w:r>
      <w:proofErr w:type="spellEnd"/>
      <w:r>
        <w:t xml:space="preserve">; сведения о хозяйствах </w:t>
      </w:r>
      <w:proofErr w:type="spellStart"/>
      <w:r>
        <w:t>аквакультуры</w:t>
      </w:r>
      <w:proofErr w:type="spellEnd"/>
      <w:r>
        <w:t xml:space="preserve">. </w:t>
      </w:r>
      <w:proofErr w:type="gramStart"/>
      <w:r>
        <w:t xml:space="preserve">Для целей статистики предлагаются следующие пять групп систем разведения: i) пруды; </w:t>
      </w:r>
      <w:proofErr w:type="spellStart"/>
      <w:r>
        <w:t>ii</w:t>
      </w:r>
      <w:proofErr w:type="spellEnd"/>
      <w:r>
        <w:t xml:space="preserve">) садки, лотки, рыбоводческие участки; </w:t>
      </w:r>
      <w:proofErr w:type="spellStart"/>
      <w:r>
        <w:t>iii</w:t>
      </w:r>
      <w:proofErr w:type="spellEnd"/>
      <w:r>
        <w:t xml:space="preserve">) озера, водохранилища, дамбы, плотины, поймы, ирригационные системы; </w:t>
      </w:r>
      <w:proofErr w:type="spellStart"/>
      <w:r>
        <w:t>iv</w:t>
      </w:r>
      <w:proofErr w:type="spellEnd"/>
      <w:r>
        <w:t xml:space="preserve">) затопляемые рисовые поля; v) подвесные системы, придонные системы, </w:t>
      </w:r>
      <w:proofErr w:type="spellStart"/>
      <w:r>
        <w:t>наддонные</w:t>
      </w:r>
      <w:proofErr w:type="spellEnd"/>
      <w:r>
        <w:t xml:space="preserve"> системы. </w:t>
      </w:r>
      <w:proofErr w:type="gramEnd"/>
    </w:p>
    <w:p w:rsidR="00571FBC" w:rsidRPr="00755740" w:rsidRDefault="00571FBC" w:rsidP="00C21534">
      <w:pPr>
        <w:pStyle w:val="NewPara"/>
        <w:jc w:val="both"/>
      </w:pPr>
      <w:r>
        <w:t xml:space="preserve">В настоящее время Справочник имеется только на английском языке, но будут предприняты все усилия для его перевода в ближайшие месяцы на другие официальные языки ФАО. </w:t>
      </w:r>
    </w:p>
    <w:p w:rsidR="00571FBC" w:rsidRPr="00755740" w:rsidRDefault="00571FBC" w:rsidP="00C21534"/>
    <w:p w:rsidR="00571FBC" w:rsidRPr="00755740" w:rsidRDefault="00571FBC" w:rsidP="00C21534">
      <w:pPr>
        <w:pStyle w:val="Heading2"/>
        <w:numPr>
          <w:ilvl w:val="0"/>
          <w:numId w:val="0"/>
        </w:numPr>
        <w:ind w:left="1"/>
        <w:jc w:val="left"/>
      </w:pPr>
      <w:r>
        <w:t>ВНЕСЕНИЕ ИЗМЕНЕНИЙ В ГЛОБАЛЬНЫЕ СТАНДАРТЫ И</w:t>
      </w:r>
      <w:r w:rsidR="00BA1B01">
        <w:rPr>
          <w:lang w:val="da-DK"/>
        </w:rPr>
        <w:t> </w:t>
      </w:r>
      <w:r>
        <w:t xml:space="preserve">КЛАССИФИКАЦИИ, ИМЕЮЩИЕ ОТНОШЕНИЕ К АКВАКУЛЬТУРЕ </w:t>
      </w:r>
    </w:p>
    <w:p w:rsidR="00571FBC" w:rsidRPr="00755740" w:rsidRDefault="00571FBC" w:rsidP="00CC540C">
      <w:pPr>
        <w:pStyle w:val="NewPara"/>
        <w:jc w:val="both"/>
      </w:pPr>
      <w:r w:rsidRPr="005038DD">
        <w:t>Пересмотр Классификации основных продуктов Организации Объединенных Наций (CPC). Классификация основных продуктов Организации Объединенных Наций (CPC) является международной классификацией</w:t>
      </w:r>
      <w:r>
        <w:t xml:space="preserve"> товаров и услуг. Продукция подсектора рыболовства и </w:t>
      </w:r>
      <w:proofErr w:type="spellStart"/>
      <w:r>
        <w:t>аквакультуры</w:t>
      </w:r>
      <w:proofErr w:type="spellEnd"/>
      <w:r>
        <w:t xml:space="preserve"> охватывается, главным образом, в разделе 04 </w:t>
      </w:r>
      <w:r w:rsidR="00CC540C">
        <w:rPr>
          <w:rFonts w:cs="Times New Roman"/>
        </w:rPr>
        <w:t>"</w:t>
      </w:r>
      <w:r>
        <w:t>Рыба и другая рыбная продукция</w:t>
      </w:r>
      <w:r w:rsidR="00CC540C">
        <w:rPr>
          <w:rFonts w:cs="Times New Roman"/>
        </w:rPr>
        <w:t>"</w:t>
      </w:r>
      <w:r>
        <w:t xml:space="preserve"> и в разделе 212 </w:t>
      </w:r>
      <w:r w:rsidR="00CC540C">
        <w:rPr>
          <w:rFonts w:cs="Times New Roman"/>
        </w:rPr>
        <w:t>"</w:t>
      </w:r>
      <w:r>
        <w:t>Приготовленная и консервированная рыба, ракообразные, моллюски и другие водные беспозвоночные</w:t>
      </w:r>
      <w:r w:rsidR="00CC540C">
        <w:rPr>
          <w:rFonts w:cs="Times New Roman"/>
        </w:rPr>
        <w:t>"</w:t>
      </w:r>
      <w:r>
        <w:t xml:space="preserve">. В рамках усилий по гармонизации статистической классификации, используемой учреждениями ООН и другими межправительственными организациями, ФАО в 2011 году выдвинула предложение о пересмотре СРС, так чтобы ее можно было использовать для учета первичной сельскохозяйственной продукции, в частности в секторе рыболовства и </w:t>
      </w:r>
      <w:proofErr w:type="spellStart"/>
      <w:r>
        <w:t>аквакультуры</w:t>
      </w:r>
      <w:proofErr w:type="spellEnd"/>
      <w:r>
        <w:t>. В 2012 году Статистическая комиссия Организации Объединенных Наций (СК</w:t>
      </w:r>
      <w:r w:rsidR="00BA1B01">
        <w:rPr>
          <w:lang w:val="en-US"/>
        </w:rPr>
        <w:t> </w:t>
      </w:r>
      <w:r>
        <w:t xml:space="preserve">ООН) приняла это предложение наряду с другими предложениями по пересмотру. Недавно </w:t>
      </w:r>
      <w:proofErr w:type="gramStart"/>
      <w:r>
        <w:t>были завершены процессы технического рецензирования и редактирования и версия 2.1 СРС вскоре будет</w:t>
      </w:r>
      <w:proofErr w:type="gramEnd"/>
      <w:r>
        <w:t xml:space="preserve"> включена в публикуемый реестр классификаций ООН</w:t>
      </w:r>
      <w:r>
        <w:rPr>
          <w:rStyle w:val="FootnoteReference"/>
        </w:rPr>
        <w:footnoteReference w:id="11"/>
      </w:r>
      <w:r>
        <w:t>.</w:t>
      </w:r>
    </w:p>
    <w:p w:rsidR="00571FBC" w:rsidRPr="00755740" w:rsidRDefault="00571FBC" w:rsidP="00C21534">
      <w:pPr>
        <w:pStyle w:val="NewPara"/>
        <w:jc w:val="both"/>
      </w:pPr>
      <w:r>
        <w:t xml:space="preserve">В версии 2.1 СРС отдельно </w:t>
      </w:r>
      <w:proofErr w:type="spellStart"/>
      <w:r>
        <w:t>рубрифицируется</w:t>
      </w:r>
      <w:proofErr w:type="spellEnd"/>
      <w:r>
        <w:t xml:space="preserve"> рыбная продукция, получаемая путем </w:t>
      </w:r>
      <w:proofErr w:type="spellStart"/>
      <w:r>
        <w:t>аквакультуры</w:t>
      </w:r>
      <w:proofErr w:type="spellEnd"/>
      <w:r>
        <w:t xml:space="preserve"> и путем рыбного промысла. Также отдельно рассматриваются рыбы для декоративного использования, рыбная продукция пищевого назначения и для других целей, в том числе в качестве рыбопосадочного материала или корма для </w:t>
      </w:r>
      <w:proofErr w:type="spellStart"/>
      <w:r>
        <w:t>аквакультуры</w:t>
      </w:r>
      <w:proofErr w:type="spellEnd"/>
      <w:r>
        <w:t xml:space="preserve">. Уровень таксономической детализации соответствует тому, что использован в Гармонизированной системе описания и кодирования товаров (обычно упоминается как Гармонизированная система (ГС)) Всемирной таможенной организации (ВТАО). Соответственно, когда сбор </w:t>
      </w:r>
      <w:r>
        <w:lastRenderedPageBreak/>
        <w:t xml:space="preserve">данных о продукции </w:t>
      </w:r>
      <w:proofErr w:type="spellStart"/>
      <w:r>
        <w:t>аквакультуры</w:t>
      </w:r>
      <w:proofErr w:type="spellEnd"/>
      <w:r>
        <w:t xml:space="preserve"> осуществляется в широких рамках, с охватом многочисленных секторов производства, СРС-2.1 может служить механизмом, обеспечивающим сопоставимость на мировом уровне, который также отвечает требованиям к данным по </w:t>
      </w:r>
      <w:proofErr w:type="spellStart"/>
      <w:r>
        <w:t>аквакультуре</w:t>
      </w:r>
      <w:proofErr w:type="spellEnd"/>
      <w:r>
        <w:t xml:space="preserve">. СПС-2.1 также даст методическую основу для возможного агрегирования конкретных биологических видов в одну статистическую группу в тех случаях, когда у стран возникают трудности в сборе и/или подаче сведений о продукции в разбивке по отдельным видам. </w:t>
      </w:r>
    </w:p>
    <w:p w:rsidR="00571FBC" w:rsidRPr="00692F75" w:rsidRDefault="00571FBC" w:rsidP="00C21534">
      <w:pPr>
        <w:rPr>
          <w:u w:val="single"/>
        </w:rPr>
      </w:pPr>
      <w:r>
        <w:rPr>
          <w:u w:val="single"/>
        </w:rPr>
        <w:t>Классификация землепользования ССЭУ</w:t>
      </w:r>
    </w:p>
    <w:p w:rsidR="00571FBC" w:rsidRPr="00755740" w:rsidRDefault="00571FBC" w:rsidP="005C7B69">
      <w:pPr>
        <w:pStyle w:val="NewPara"/>
        <w:jc w:val="both"/>
      </w:pPr>
      <w:r>
        <w:t>В 2014 году Статистический отдел Организации Объединенных Наций (СОООН) завершил процесс пересмотра Центральной основы системы экологического и экономического учета Организации Объединенных Наций (СЭЭУ)</w:t>
      </w:r>
      <w:r>
        <w:rPr>
          <w:rStyle w:val="FootnoteReference"/>
        </w:rPr>
        <w:footnoteReference w:id="12"/>
      </w:r>
      <w:r>
        <w:t xml:space="preserve">, в приложении I-В которого содержится классификация землепользования, разработанная на основе предложения ФАО. В нее введена новая рубрика </w:t>
      </w:r>
      <w:r w:rsidR="00C870A0">
        <w:rPr>
          <w:rFonts w:cs="Times New Roman"/>
        </w:rPr>
        <w:t>"</w:t>
      </w:r>
      <w:r>
        <w:t xml:space="preserve">Земли, используемые для </w:t>
      </w:r>
      <w:proofErr w:type="spellStart"/>
      <w:r>
        <w:t>аквакультуры</w:t>
      </w:r>
      <w:proofErr w:type="spellEnd"/>
      <w:r w:rsidR="00C870A0">
        <w:rPr>
          <w:rFonts w:cs="Times New Roman"/>
        </w:rPr>
        <w:t>"</w:t>
      </w:r>
      <w:r>
        <w:t xml:space="preserve"> с двумя подрубриками: </w:t>
      </w:r>
      <w:r w:rsidR="00C870A0">
        <w:rPr>
          <w:rFonts w:cs="Times New Roman"/>
        </w:rPr>
        <w:t>"</w:t>
      </w:r>
      <w:r>
        <w:t>Земли, используемые для нерестовых садков/прудков</w:t>
      </w:r>
      <w:r w:rsidR="00C870A0">
        <w:rPr>
          <w:rFonts w:cs="Times New Roman"/>
        </w:rPr>
        <w:t>"</w:t>
      </w:r>
      <w:r>
        <w:t xml:space="preserve"> и </w:t>
      </w:r>
      <w:r w:rsidR="00C870A0">
        <w:rPr>
          <w:rFonts w:cs="Times New Roman"/>
        </w:rPr>
        <w:t>"</w:t>
      </w:r>
      <w:r>
        <w:t>Управляемые объекты по выращиванию, находящиеся на земле</w:t>
      </w:r>
      <w:r w:rsidR="00C870A0">
        <w:rPr>
          <w:rFonts w:cs="Times New Roman"/>
        </w:rPr>
        <w:t>"</w:t>
      </w:r>
      <w:r>
        <w:t xml:space="preserve">. Кроме того, в рубрике внутренних вод выделены четыре следующие подрубрики: </w:t>
      </w:r>
      <w:r w:rsidR="00C870A0">
        <w:rPr>
          <w:rFonts w:cs="Times New Roman"/>
        </w:rPr>
        <w:t>"</w:t>
      </w:r>
      <w:r>
        <w:t xml:space="preserve">Внутренние воды, используемые для </w:t>
      </w:r>
      <w:proofErr w:type="spellStart"/>
      <w:r>
        <w:t>аквакультуры</w:t>
      </w:r>
      <w:proofErr w:type="spellEnd"/>
      <w:r>
        <w:t xml:space="preserve"> или ведения хозяйственной деятельности</w:t>
      </w:r>
      <w:r w:rsidR="00C870A0">
        <w:rPr>
          <w:rFonts w:cs="Times New Roman"/>
        </w:rPr>
        <w:t>"</w:t>
      </w:r>
      <w:r>
        <w:t xml:space="preserve">, </w:t>
      </w:r>
      <w:r w:rsidR="00C870A0">
        <w:rPr>
          <w:rFonts w:cs="Times New Roman"/>
        </w:rPr>
        <w:t>"</w:t>
      </w:r>
      <w:r>
        <w:t>Внутренние воды, используемые для поддержания и восстановления экологических функций</w:t>
      </w:r>
      <w:r w:rsidR="005C7B69">
        <w:rPr>
          <w:rFonts w:cs="Times New Roman"/>
        </w:rPr>
        <w:t>"</w:t>
      </w:r>
      <w:r>
        <w:t xml:space="preserve">, </w:t>
      </w:r>
      <w:r w:rsidR="005C7B69">
        <w:rPr>
          <w:rFonts w:cs="Times New Roman"/>
        </w:rPr>
        <w:t>"</w:t>
      </w:r>
      <w:r>
        <w:t>Прочие виды использования внутренних вод</w:t>
      </w:r>
      <w:r w:rsidR="005C7B69">
        <w:rPr>
          <w:rFonts w:cs="Times New Roman"/>
        </w:rPr>
        <w:t>"</w:t>
      </w:r>
      <w:r>
        <w:t xml:space="preserve"> и </w:t>
      </w:r>
      <w:r w:rsidR="005C7B69">
        <w:rPr>
          <w:rFonts w:cs="Times New Roman"/>
        </w:rPr>
        <w:t>"</w:t>
      </w:r>
      <w:r>
        <w:t>Неиспользуемые внутренние воды</w:t>
      </w:r>
      <w:r w:rsidR="005C7B69">
        <w:rPr>
          <w:rFonts w:cs="Times New Roman"/>
        </w:rPr>
        <w:t>"</w:t>
      </w:r>
      <w:r>
        <w:t xml:space="preserve">. Также добавлены классы для анализа прибрежных вод и исключительных экономических зон (ИЭЗ) в целях расширенного анализа экономической территории страны помимо земель и внутренних вод с использованием того же набора подрубрик, что и для внутренних вод. </w:t>
      </w:r>
    </w:p>
    <w:p w:rsidR="00571FBC" w:rsidRPr="00755740" w:rsidRDefault="00571FBC" w:rsidP="00C21534">
      <w:pPr>
        <w:pStyle w:val="NewPara"/>
        <w:jc w:val="both"/>
      </w:pPr>
      <w:r>
        <w:t xml:space="preserve">В этой связи ФАО в 2014 году внесла изменения в свой вопросник по землепользованию в целях отражения в нем новой классификации землепользования СЭЭУ. Включены также дополнительные вопросы в отношении внутренних водоемов для учета сезонных колебаний размеров водного зеркала и </w:t>
      </w:r>
      <w:proofErr w:type="gramStart"/>
      <w:r>
        <w:t>площади</w:t>
      </w:r>
      <w:proofErr w:type="gramEnd"/>
      <w:r>
        <w:t xml:space="preserve"> рисовых полей. Отдел статистики Департамента экономического и социального развития (ESS) ФАО направил пересмотренный вопросник в страны, и семь из них в 2014 году предоставили соответствующие сведения по внутренним водам, однако ни из одной страны не поступила информация об использовании земельных и водных ресурсов для нужд </w:t>
      </w:r>
      <w:proofErr w:type="spellStart"/>
      <w:r>
        <w:t>аквакультуры</w:t>
      </w:r>
      <w:proofErr w:type="spellEnd"/>
      <w:r>
        <w:t xml:space="preserve">. </w:t>
      </w:r>
    </w:p>
    <w:p w:rsidR="00571FBC" w:rsidRPr="00BA7B61" w:rsidRDefault="00571FBC" w:rsidP="00C21534"/>
    <w:p w:rsidR="00571FBC" w:rsidRPr="00755740" w:rsidRDefault="00571FBC" w:rsidP="002C2211">
      <w:pPr>
        <w:pStyle w:val="Heading2"/>
        <w:numPr>
          <w:ilvl w:val="0"/>
          <w:numId w:val="0"/>
        </w:numPr>
        <w:ind w:left="1"/>
        <w:jc w:val="left"/>
      </w:pPr>
      <w:r>
        <w:t>ПОВЫШЕНИЕ УРОВНЯ ИНФОРМАЦИОННОЙ ГРАМОТНОСТИ В</w:t>
      </w:r>
      <w:r w:rsidR="004A7FA8">
        <w:rPr>
          <w:lang w:val="en-US"/>
        </w:rPr>
        <w:t> </w:t>
      </w:r>
      <w:r>
        <w:t xml:space="preserve">ПОДДЕРЖКУ ВНЕДРЕНИЯ ИНИЦИАТИВЫ </w:t>
      </w:r>
      <w:r w:rsidR="002C2211">
        <w:rPr>
          <w:rFonts w:cs="Times New Roman"/>
        </w:rPr>
        <w:t>"</w:t>
      </w:r>
      <w:r>
        <w:t>ГОЛУБОЙ РОСТ</w:t>
      </w:r>
      <w:r w:rsidR="002C2211">
        <w:rPr>
          <w:rFonts w:cs="Times New Roman"/>
        </w:rPr>
        <w:t>"</w:t>
      </w:r>
    </w:p>
    <w:p w:rsidR="00571FBC" w:rsidRPr="00755740" w:rsidRDefault="00571FBC" w:rsidP="004C4A27">
      <w:pPr>
        <w:pStyle w:val="NewPara"/>
        <w:jc w:val="both"/>
      </w:pPr>
      <w:proofErr w:type="gramStart"/>
      <w:r>
        <w:t xml:space="preserve">ФАО оказывает содействие в реализации инициативы </w:t>
      </w:r>
      <w:r w:rsidR="002C2211">
        <w:rPr>
          <w:rFonts w:cs="Times New Roman"/>
        </w:rPr>
        <w:t>"</w:t>
      </w:r>
      <w:r>
        <w:t>Голубой рост</w:t>
      </w:r>
      <w:r w:rsidR="002C2211">
        <w:rPr>
          <w:rFonts w:cs="Times New Roman"/>
        </w:rPr>
        <w:t>"</w:t>
      </w:r>
      <w:r>
        <w:t xml:space="preserve">, которая определяется как </w:t>
      </w:r>
      <w:r w:rsidR="002C2211">
        <w:rPr>
          <w:rFonts w:cs="Times New Roman"/>
        </w:rPr>
        <w:t>"</w:t>
      </w:r>
      <w:r>
        <w:t>устойчивый рост и развитие, связанные с экономической деятельностью в океанах, водных путях и прибрежных зонах, которые сведут к минимуму негативные последствия для окружающей среды, потери биоразнообразия и нерациональное использование живых водных ресурсов с одной стороны и обеспечат получение максимальных экономических и социальных выгод с другой</w:t>
      </w:r>
      <w:r w:rsidR="002C2211">
        <w:rPr>
          <w:rFonts w:cs="Times New Roman"/>
        </w:rPr>
        <w:t>"</w:t>
      </w:r>
      <w:r>
        <w:t>, что достигается посредством ответственной</w:t>
      </w:r>
      <w:proofErr w:type="gramEnd"/>
      <w:r>
        <w:t xml:space="preserve"> и устойчивой деятельности в области рыболовства и </w:t>
      </w:r>
      <w:proofErr w:type="spellStart"/>
      <w:r>
        <w:t>аквакультуры</w:t>
      </w:r>
      <w:proofErr w:type="spellEnd"/>
      <w:r>
        <w:t xml:space="preserve">. Своевременное поступление надежной информации – важнейший первый шаг в процессе осуществления инициативы </w:t>
      </w:r>
      <w:r w:rsidR="004C4A27">
        <w:rPr>
          <w:rFonts w:cs="Times New Roman"/>
        </w:rPr>
        <w:t>"</w:t>
      </w:r>
      <w:r>
        <w:t>Голубой рост</w:t>
      </w:r>
      <w:r w:rsidR="004C4A27">
        <w:rPr>
          <w:rFonts w:cs="Times New Roman"/>
        </w:rPr>
        <w:t>"</w:t>
      </w:r>
      <w:r>
        <w:t xml:space="preserve">. Информация при этом должна быть сопоставимой и легко распространяемой среди различных сегментов, секторов и заинтересованных сторон. </w:t>
      </w:r>
    </w:p>
    <w:p w:rsidR="00571FBC" w:rsidRPr="00755740" w:rsidRDefault="00571FBC" w:rsidP="00D25EEA">
      <w:pPr>
        <w:pStyle w:val="NewPara"/>
        <w:jc w:val="both"/>
      </w:pPr>
      <w:r>
        <w:t xml:space="preserve">В качестве возможного практического подхода, для того чтобы получить всестороннюю картину влияния и вклада маломасштабного рыбного промысла и </w:t>
      </w:r>
      <w:proofErr w:type="spellStart"/>
      <w:r>
        <w:t>аквакультуры</w:t>
      </w:r>
      <w:proofErr w:type="spellEnd"/>
      <w:r>
        <w:t xml:space="preserve">, ФАО разработала </w:t>
      </w:r>
      <w:r w:rsidR="00D25EEA">
        <w:rPr>
          <w:rFonts w:cs="Times New Roman"/>
        </w:rPr>
        <w:t>"</w:t>
      </w:r>
      <w:r>
        <w:t xml:space="preserve">Руководство по совершенствованию статистики в сфере рыболовства и </w:t>
      </w:r>
      <w:proofErr w:type="spellStart"/>
      <w:r>
        <w:lastRenderedPageBreak/>
        <w:t>аквакультуры</w:t>
      </w:r>
      <w:proofErr w:type="spellEnd"/>
      <w:r>
        <w:t xml:space="preserve"> через систему переписи</w:t>
      </w:r>
      <w:r w:rsidR="00D25EEA">
        <w:rPr>
          <w:rFonts w:cs="Times New Roman"/>
        </w:rPr>
        <w:t>"</w:t>
      </w:r>
      <w:r>
        <w:rPr>
          <w:rStyle w:val="FootnoteReference"/>
        </w:rPr>
        <w:footnoteReference w:id="13"/>
      </w:r>
      <w:r>
        <w:t xml:space="preserve">. Эта работала </w:t>
      </w:r>
      <w:proofErr w:type="gramStart"/>
      <w:r>
        <w:t>осуществлялась</w:t>
      </w:r>
      <w:proofErr w:type="gramEnd"/>
      <w:r>
        <w:t xml:space="preserve"> в контексте научно-исследовательской деятельности, финансируемой в рамках Глобальной стратегии. Структура Руководства в своих основных чертах соответствует концепциям, принятым во Всемирной сельскохозяйственной переписи, включая иерархию вопросов на уровне переписи населения, за которыми следуют вопросы анкетирования на уровне местных сообществ и домохозяйств. При этом в целях большего удобства и сокращения издержек на проведение используется модульный подход.</w:t>
      </w:r>
    </w:p>
    <w:p w:rsidR="00571FBC" w:rsidRPr="00755740" w:rsidRDefault="00571FBC" w:rsidP="005F36A9">
      <w:pPr>
        <w:pStyle w:val="NewPara"/>
        <w:jc w:val="both"/>
      </w:pPr>
      <w:r>
        <w:t xml:space="preserve">В Руководстве в качестве опросной единицы используется домохозяйство и сведена к минимуму раздельная регистрация </w:t>
      </w:r>
      <w:proofErr w:type="spellStart"/>
      <w:r>
        <w:t>аквакультуры</w:t>
      </w:r>
      <w:proofErr w:type="spellEnd"/>
      <w:r>
        <w:t xml:space="preserve">, рыболовного промысла и переработки рыбной продукции с учетом того, что члены одного домохозяйства могут параллельно участвовать во всех трех видах деятельности, особенно в случае маломасштабного производства. Сделана попытка охватить широкий спектр вопросов (в виде модулей) в целях удовлетворения потребностей всестороннего мониторинга в поддержку реализации инициативы </w:t>
      </w:r>
      <w:r w:rsidR="005F36A9">
        <w:rPr>
          <w:rFonts w:cs="Times New Roman"/>
        </w:rPr>
        <w:t>"</w:t>
      </w:r>
      <w:r>
        <w:t>Голубой рост</w:t>
      </w:r>
      <w:r w:rsidR="005F36A9">
        <w:rPr>
          <w:rFonts w:cs="Times New Roman"/>
        </w:rPr>
        <w:t>"</w:t>
      </w:r>
      <w:r>
        <w:t xml:space="preserve"> с позиций </w:t>
      </w:r>
      <w:proofErr w:type="spellStart"/>
      <w:r>
        <w:t>экосистемного</w:t>
      </w:r>
      <w:proofErr w:type="spellEnd"/>
      <w:r>
        <w:t xml:space="preserve"> управления. Предусматривается, что страны будут разрабатывать свои собственные опросы населения, отбирая необходимые модули и типы вопросов по конкретным категориям в соответствии с местными интересами, потребностями политики и наличием средств. Руководство готово для распространения через веб-сайт Глобальной стратегии в целях получения отзывов и ожидаемого экспериментального применения на местах. </w:t>
      </w:r>
    </w:p>
    <w:p w:rsidR="00571FBC" w:rsidRPr="00755740" w:rsidRDefault="00571FBC" w:rsidP="00C21534">
      <w:pPr>
        <w:pStyle w:val="NewPara"/>
        <w:jc w:val="both"/>
      </w:pPr>
      <w:r>
        <w:t xml:space="preserve">Доступ к водным ресурсам – это одно из ключевых ограничений для развития </w:t>
      </w:r>
      <w:proofErr w:type="spellStart"/>
      <w:r>
        <w:t>аквакультуры</w:t>
      </w:r>
      <w:proofErr w:type="spellEnd"/>
      <w:r>
        <w:t xml:space="preserve">, которая вынуждена конкурировать с другими секторами, включая ирригацию, использование воды для городских и промышленных нужд, сооружение дамб при строительстве гидроэлектростанций и создании водохранилищ. Кроме того имеет место загрязнение водоемов. Для того чтобы определить индикаторы, адекватно отражающие важность водных ресурсов для рыболовства и </w:t>
      </w:r>
      <w:proofErr w:type="spellStart"/>
      <w:r>
        <w:t>аквакультуры</w:t>
      </w:r>
      <w:proofErr w:type="spellEnd"/>
      <w:r>
        <w:t xml:space="preserve"> в целом, ФАО составила перечень индикаторов, связанных с водой, для 18 ведущих стран-производителей рыбной продукции в Азии и Африке. Были отобраны индикаторы, охватывающие четыре аспекта – социальную сферу, экономику, экологию и питание – применимые для оценки рыбного промысла и </w:t>
      </w:r>
      <w:proofErr w:type="spellStart"/>
      <w:r>
        <w:t>аквакультуры</w:t>
      </w:r>
      <w:proofErr w:type="spellEnd"/>
      <w:r>
        <w:t xml:space="preserve"> во внутренних водах на национальном уровне. Готов к публикации доклад, содержащий фактическое обоснование важности рыболовства и </w:t>
      </w:r>
      <w:proofErr w:type="spellStart"/>
      <w:r>
        <w:t>аквакультуры</w:t>
      </w:r>
      <w:proofErr w:type="spellEnd"/>
      <w:r>
        <w:t xml:space="preserve"> во внутренних водоемах для продовольственной безопасности, трудоустройства и улучшения питания населения. Приводимая информация поможет привлечь к данному сектору дополнительное внимание и повысить его приоритетность на повестке дня местной и национальной политики.</w:t>
      </w:r>
    </w:p>
    <w:p w:rsidR="00571FBC" w:rsidRPr="00755740" w:rsidRDefault="00571FBC" w:rsidP="00C21534">
      <w:pPr>
        <w:pStyle w:val="NewPara"/>
        <w:jc w:val="both"/>
      </w:pPr>
      <w:r>
        <w:t xml:space="preserve">Важным шагом является составление систематических перечней по локализации и состоянию существующих (в том числе заброшенных) ферм и зон фермерского рыбоводства, что может содействовать улучшению работ по размещению объектов </w:t>
      </w:r>
      <w:proofErr w:type="spellStart"/>
      <w:r>
        <w:t>аквакультуры</w:t>
      </w:r>
      <w:proofErr w:type="spellEnd"/>
      <w:r>
        <w:t xml:space="preserve"> и управлению ими. Такие перечни можно сопоставлять с описаниями чувствительных экосистем и среды обитания для определения потенциального воздействия, а также использовать их в процессе лицензирования для обнаружения незарегистрированных и незаконных ферм. Мощным инструментом для получения визуальной информации, в частности о локализации и размере объектов </w:t>
      </w:r>
      <w:proofErr w:type="spellStart"/>
      <w:r>
        <w:t>аквакультуры</w:t>
      </w:r>
      <w:proofErr w:type="spellEnd"/>
      <w:r>
        <w:t xml:space="preserve">, является использование спутниковых данных. В этой связи ФАО в сотрудничестве с заинтересованными странами-членами разрабатывает систематические описания объектов </w:t>
      </w:r>
      <w:proofErr w:type="spellStart"/>
      <w:r>
        <w:t>аквакультуры</w:t>
      </w:r>
      <w:proofErr w:type="spellEnd"/>
      <w:r>
        <w:t xml:space="preserve"> – коллекцию карт Обзора национального рыбоводческого сектора (карты НАСО), составляемых на основе технологии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Earth</w:t>
      </w:r>
      <w:proofErr w:type="spellEnd"/>
      <w:r>
        <w:t>/</w:t>
      </w:r>
      <w:proofErr w:type="spellStart"/>
      <w:r>
        <w:t>maps</w:t>
      </w:r>
      <w:proofErr w:type="spellEnd"/>
      <w:r>
        <w:t xml:space="preserve">. Карты НАСО содержат информацию о биологических видах, системах разведения и продукции наряду с локализацией отдельных фермерских хозяйств. Помимо карт НАСО, ФАО также располагает базой данных, содержащей визуальные материалы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и сведения о локализации объектов </w:t>
      </w:r>
      <w:proofErr w:type="spellStart"/>
      <w:r>
        <w:t>аквакультуры</w:t>
      </w:r>
      <w:proofErr w:type="spellEnd"/>
      <w:r>
        <w:t xml:space="preserve">, которые планируется обнародовать в 2016 году. </w:t>
      </w:r>
    </w:p>
    <w:p w:rsidR="00571FBC" w:rsidRPr="00755740" w:rsidRDefault="00571FBC" w:rsidP="006B7777">
      <w:pPr>
        <w:pStyle w:val="NewPara"/>
        <w:jc w:val="both"/>
      </w:pPr>
      <w:r>
        <w:lastRenderedPageBreak/>
        <w:t xml:space="preserve">ФАО удалось заручиться финансовой поддержкой со стороны Европейской комиссии в контексте информационного содействия в реализации инициативы </w:t>
      </w:r>
      <w:r w:rsidR="006B7777">
        <w:rPr>
          <w:rFonts w:cs="Times New Roman"/>
        </w:rPr>
        <w:t>"</w:t>
      </w:r>
      <w:r>
        <w:t>Голубой рост</w:t>
      </w:r>
      <w:r w:rsidR="006B7777">
        <w:rPr>
          <w:rFonts w:cs="Times New Roman"/>
        </w:rPr>
        <w:t>"</w:t>
      </w:r>
      <w:r>
        <w:t xml:space="preserve"> в целях обеспечения стабильного благоприятного экологического статуса (GES) морей и пресноводных ресурсов. Такой мониторинг требует углубленного понимания ключевых аспектов эксплуатации водных ресурсов, включая </w:t>
      </w:r>
      <w:proofErr w:type="spellStart"/>
      <w:r>
        <w:t>аквакультуру</w:t>
      </w:r>
      <w:proofErr w:type="spellEnd"/>
      <w:r>
        <w:t xml:space="preserve">. Один из двух компонентов нового проекта под названием </w:t>
      </w:r>
      <w:r w:rsidR="006B7777">
        <w:rPr>
          <w:rFonts w:cs="Times New Roman"/>
        </w:rPr>
        <w:t>"</w:t>
      </w:r>
      <w:r>
        <w:t>Создание научно-исследовательской основы для инноваций, принятия решений, управления и образования</w:t>
      </w:r>
      <w:r w:rsidR="006B7777">
        <w:rPr>
          <w:rFonts w:cs="Times New Roman"/>
        </w:rPr>
        <w:t>"</w:t>
      </w:r>
      <w:r>
        <w:t xml:space="preserve"> (</w:t>
      </w:r>
      <w:proofErr w:type="spellStart"/>
      <w:r>
        <w:t>BlueBRIDGE</w:t>
      </w:r>
      <w:proofErr w:type="spellEnd"/>
      <w:r>
        <w:t xml:space="preserve">) будет специально посвящен разработке Атласа </w:t>
      </w:r>
      <w:proofErr w:type="spellStart"/>
      <w:r>
        <w:t>аквакультуры</w:t>
      </w:r>
      <w:proofErr w:type="spellEnd"/>
      <w:r>
        <w:t xml:space="preserve">, обеспечив инновационную среду для простого, эффективного и экономного составления атласа фермерской деятельности и природных зон с использованием спутниковой информации. Этот атлас будет использоваться в поддержку и в дополнение к картам НАСО. </w:t>
      </w:r>
    </w:p>
    <w:p w:rsidR="00571FBC" w:rsidRPr="00755740" w:rsidRDefault="00571FBC" w:rsidP="008F346C">
      <w:pPr>
        <w:pStyle w:val="NewPara"/>
        <w:jc w:val="both"/>
      </w:pPr>
      <w:r>
        <w:t xml:space="preserve">Первым и основным условием для объективно обоснованного управления является наличие надежной и своевременной информации. Первичная задача национальной статистики – служить поддержкой для управления и принятия решений в странах, а не просто направлять сведения в ФАО. В частности, в рамках инициативы </w:t>
      </w:r>
      <w:r w:rsidR="00915CE5">
        <w:rPr>
          <w:rFonts w:cs="Times New Roman"/>
        </w:rPr>
        <w:t>"</w:t>
      </w:r>
      <w:r>
        <w:t>Голубой рост</w:t>
      </w:r>
      <w:r w:rsidR="00915CE5">
        <w:rPr>
          <w:rFonts w:cs="Times New Roman"/>
        </w:rPr>
        <w:t>"</w:t>
      </w:r>
      <w:r>
        <w:t xml:space="preserve">, где имеется настоятельная необходимость всеобъемлющего понимания общей ситуации, которая включает интересы заинтересованных сторон и потребности сохранения окружающей среды, для каждой страны становится чрезвычайно важным определять собственные приоритеты и разрабатывать на их основе системы сбора данных, сохраняя их сопоставимость с глобальными показателями. К сожалению, во многих странах национальный потенциал мониторинга сектора </w:t>
      </w:r>
      <w:proofErr w:type="spellStart"/>
      <w:r>
        <w:t>аквакультуры</w:t>
      </w:r>
      <w:proofErr w:type="spellEnd"/>
      <w:r>
        <w:t xml:space="preserve">, по-видимому, отстает от процесса расширения самого сектора. Некоторые страны даже не имеют установленных механизмов регулярного сбора данных по </w:t>
      </w:r>
      <w:proofErr w:type="spellStart"/>
      <w:r>
        <w:t>аквакультуре</w:t>
      </w:r>
      <w:proofErr w:type="spellEnd"/>
      <w:r>
        <w:t xml:space="preserve"> и всецело полагаются на административную информацию. Все описанные выше проекты направлены на реализацию инициативы </w:t>
      </w:r>
      <w:r w:rsidR="008F346C">
        <w:rPr>
          <w:rFonts w:cs="Times New Roman"/>
        </w:rPr>
        <w:t>"</w:t>
      </w:r>
      <w:r>
        <w:t>Голубой рост</w:t>
      </w:r>
      <w:r w:rsidR="008F346C">
        <w:rPr>
          <w:rFonts w:cs="Times New Roman"/>
        </w:rPr>
        <w:t>"</w:t>
      </w:r>
      <w:bookmarkStart w:id="4" w:name="_GoBack"/>
      <w:bookmarkEnd w:id="4"/>
      <w:r>
        <w:t xml:space="preserve"> и находятся на стадии готовности к внедрению на местах. ФАО надеется узнать о проявлениях заинтересованности в участии, установлении партнерских отношений, предоставлении технической и финансовой поддержки или же о необходимости в помощи.</w:t>
      </w:r>
    </w:p>
    <w:p w:rsidR="00571FBC" w:rsidRPr="00755740" w:rsidRDefault="00571FBC" w:rsidP="00C21534"/>
    <w:p w:rsidR="00571FBC" w:rsidRPr="00755740" w:rsidRDefault="00571FBC" w:rsidP="00C21534">
      <w:pPr>
        <w:pStyle w:val="SummaryBoxText"/>
      </w:pPr>
    </w:p>
    <w:p w:rsidR="00DC60D2" w:rsidRPr="00571FBC" w:rsidRDefault="00DC60D2" w:rsidP="00571FBC"/>
    <w:sectPr w:rsidR="00DC60D2" w:rsidRPr="00571FBC" w:rsidSect="00571FBC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D1" w:rsidRDefault="005209D1" w:rsidP="00571FBC">
      <w:pPr>
        <w:spacing w:after="0"/>
      </w:pPr>
      <w:r>
        <w:separator/>
      </w:r>
    </w:p>
  </w:endnote>
  <w:endnote w:type="continuationSeparator" w:id="0">
    <w:p w:rsidR="005209D1" w:rsidRDefault="005209D1" w:rsidP="00571F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930612" w:rsidTr="00E510BB">
      <w:tc>
        <w:tcPr>
          <w:tcW w:w="9071" w:type="dxa"/>
        </w:tcPr>
        <w:p w:rsidR="00930612" w:rsidRDefault="00571FBC" w:rsidP="00A726B7">
          <w:pPr>
            <w:pStyle w:val="Note"/>
            <w:textboxTightWrap w:val="allLines"/>
          </w:pPr>
          <w:bookmarkStart w:id="11" w:name="NotesBookmark"/>
          <w:r>
            <w:t>В целях сведения к минимуму воздействия процессов ФАО на окружающую среду и достижения климатической нейтральности настоящий документ напечатан в ограниченном количестве экземпляров. Просьба к делегатам и наблюдателям приносить на заседания свои экземпляры документа и не запрашивать дополнительных копий. Большинство документов к заседаниям ФАО размещено в</w:t>
          </w:r>
          <w:r w:rsidR="00A726B7">
            <w:rPr>
              <w:lang w:val="da-DK"/>
            </w:rPr>
            <w:t> </w:t>
          </w:r>
          <w:r>
            <w:t xml:space="preserve">Интернете по адресу: www.fao.org </w:t>
          </w:r>
          <w:bookmarkEnd w:id="11"/>
        </w:p>
      </w:tc>
    </w:tr>
  </w:tbl>
  <w:p w:rsidR="009C0B0C" w:rsidRPr="009C0B0C" w:rsidRDefault="00571FBC" w:rsidP="00755740">
    <w:bookmarkStart w:id="12" w:name="FooterInformationBookmark"/>
    <w:r>
      <w:t xml:space="preserve"> </w:t>
    </w:r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D1" w:rsidRDefault="005209D1" w:rsidP="00571FBC">
      <w:pPr>
        <w:spacing w:after="0"/>
      </w:pPr>
      <w:r>
        <w:separator/>
      </w:r>
    </w:p>
  </w:footnote>
  <w:footnote w:type="continuationSeparator" w:id="0">
    <w:p w:rsidR="005209D1" w:rsidRDefault="005209D1" w:rsidP="00571FBC">
      <w:pPr>
        <w:spacing w:after="0"/>
      </w:pPr>
      <w:r>
        <w:continuationSeparator/>
      </w:r>
    </w:p>
  </w:footnote>
  <w:footnote w:id="1">
    <w:p w:rsidR="00571FBC" w:rsidRPr="00BA1B01" w:rsidRDefault="00571FBC" w:rsidP="00571FBC">
      <w:pPr>
        <w:pStyle w:val="FootnoteText"/>
        <w:rPr>
          <w:sz w:val="18"/>
          <w:szCs w:val="18"/>
          <w:lang w:val="it-IT"/>
        </w:rPr>
      </w:pPr>
      <w:r w:rsidRPr="00BA1B01">
        <w:rPr>
          <w:rStyle w:val="FootnoteReference"/>
          <w:szCs w:val="18"/>
        </w:rPr>
        <w:footnoteRef/>
      </w:r>
      <w:r w:rsidRPr="00BA1B01">
        <w:rPr>
          <w:sz w:val="18"/>
          <w:szCs w:val="18"/>
        </w:rPr>
        <w:t xml:space="preserve"> </w:t>
      </w:r>
      <w:hyperlink r:id="rId1">
        <w:r w:rsidRPr="00BA1B01">
          <w:rPr>
            <w:sz w:val="18"/>
            <w:szCs w:val="18"/>
          </w:rPr>
          <w:t>http://www.fao.org/3/a-i3720r/index.html</w:t>
        </w:r>
      </w:hyperlink>
    </w:p>
  </w:footnote>
  <w:footnote w:id="2">
    <w:p w:rsidR="00571FBC" w:rsidRPr="00BA1B01" w:rsidRDefault="00571FBC" w:rsidP="00571FBC">
      <w:pPr>
        <w:pStyle w:val="FootnoteText"/>
        <w:rPr>
          <w:sz w:val="18"/>
          <w:szCs w:val="18"/>
        </w:rPr>
      </w:pPr>
      <w:r w:rsidRPr="00BA1B01">
        <w:rPr>
          <w:rStyle w:val="FootnoteReference"/>
          <w:szCs w:val="18"/>
        </w:rPr>
        <w:footnoteRef/>
      </w:r>
      <w:r w:rsidRPr="00BA1B01">
        <w:rPr>
          <w:sz w:val="18"/>
          <w:szCs w:val="18"/>
        </w:rPr>
        <w:t xml:space="preserve"> </w:t>
      </w:r>
      <w:hyperlink r:id="rId2">
        <w:r w:rsidRPr="00BA1B01">
          <w:rPr>
            <w:sz w:val="18"/>
            <w:szCs w:val="18"/>
          </w:rPr>
          <w:t>Http://www.fao.org/fishery/statistics/ru</w:t>
        </w:r>
      </w:hyperlink>
      <w:r w:rsidRPr="00BA1B01">
        <w:rPr>
          <w:sz w:val="18"/>
          <w:szCs w:val="18"/>
        </w:rPr>
        <w:t xml:space="preserve"> и http://</w:t>
      </w:r>
      <w:hyperlink r:id="rId3">
        <w:r w:rsidRPr="00BA1B01">
          <w:rPr>
            <w:sz w:val="18"/>
            <w:szCs w:val="18"/>
          </w:rPr>
          <w:t>www.fao.org/fishery/aquaculture/ru</w:t>
        </w:r>
      </w:hyperlink>
      <w:r w:rsidRPr="00BA1B01">
        <w:rPr>
          <w:sz w:val="18"/>
          <w:szCs w:val="18"/>
        </w:rPr>
        <w:t xml:space="preserve"> </w:t>
      </w:r>
    </w:p>
  </w:footnote>
  <w:footnote w:id="3">
    <w:p w:rsidR="00571FBC" w:rsidRPr="00BA1B01" w:rsidRDefault="00571FBC" w:rsidP="00571FBC">
      <w:pPr>
        <w:pStyle w:val="FootnoteText"/>
        <w:rPr>
          <w:sz w:val="18"/>
          <w:szCs w:val="18"/>
        </w:rPr>
      </w:pPr>
      <w:r w:rsidRPr="00BA1B01">
        <w:rPr>
          <w:rStyle w:val="FootnoteReference"/>
          <w:szCs w:val="18"/>
        </w:rPr>
        <w:footnoteRef/>
      </w:r>
      <w:r w:rsidRPr="00BA1B01">
        <w:rPr>
          <w:sz w:val="18"/>
          <w:szCs w:val="18"/>
        </w:rPr>
        <w:t xml:space="preserve"> </w:t>
      </w:r>
      <w:hyperlink r:id="rId4">
        <w:r w:rsidRPr="00BA1B01">
          <w:rPr>
            <w:sz w:val="18"/>
            <w:szCs w:val="18"/>
          </w:rPr>
          <w:t>http://www.fao.org/aquaculture/ru</w:t>
        </w:r>
      </w:hyperlink>
      <w:r w:rsidRPr="00BA1B01">
        <w:rPr>
          <w:sz w:val="18"/>
          <w:szCs w:val="18"/>
        </w:rPr>
        <w:t xml:space="preserve"> </w:t>
      </w:r>
    </w:p>
  </w:footnote>
  <w:footnote w:id="4">
    <w:p w:rsidR="00571FBC" w:rsidRPr="00BA1B01" w:rsidRDefault="00571FBC" w:rsidP="00571FBC">
      <w:pPr>
        <w:pStyle w:val="FootnoteText"/>
        <w:rPr>
          <w:sz w:val="18"/>
          <w:szCs w:val="18"/>
        </w:rPr>
      </w:pPr>
      <w:r w:rsidRPr="00BA1B01">
        <w:rPr>
          <w:rStyle w:val="FootnoteReference"/>
          <w:szCs w:val="18"/>
        </w:rPr>
        <w:footnoteRef/>
      </w:r>
      <w:r w:rsidRPr="00BA1B01">
        <w:rPr>
          <w:sz w:val="18"/>
          <w:szCs w:val="18"/>
        </w:rPr>
        <w:t xml:space="preserve"> </w:t>
      </w:r>
      <w:hyperlink r:id="rId5">
        <w:r w:rsidRPr="00BA1B01">
          <w:rPr>
            <w:sz w:val="18"/>
            <w:szCs w:val="18"/>
          </w:rPr>
          <w:t>http://www.fao.org/fishery/naso/search/ru</w:t>
        </w:r>
      </w:hyperlink>
      <w:r w:rsidRPr="00BA1B01">
        <w:rPr>
          <w:sz w:val="18"/>
          <w:szCs w:val="18"/>
        </w:rPr>
        <w:t xml:space="preserve"> </w:t>
      </w:r>
    </w:p>
  </w:footnote>
  <w:footnote w:id="5">
    <w:p w:rsidR="00571FBC" w:rsidRPr="00BA1B01" w:rsidRDefault="00571FBC" w:rsidP="00571FBC">
      <w:pPr>
        <w:pStyle w:val="FootnoteText"/>
        <w:rPr>
          <w:sz w:val="18"/>
          <w:szCs w:val="18"/>
        </w:rPr>
      </w:pPr>
      <w:r w:rsidRPr="00BA1B01">
        <w:rPr>
          <w:rStyle w:val="FootnoteReference"/>
          <w:szCs w:val="18"/>
        </w:rPr>
        <w:footnoteRef/>
      </w:r>
      <w:r w:rsidRPr="00BA1B01">
        <w:rPr>
          <w:sz w:val="18"/>
          <w:szCs w:val="18"/>
        </w:rPr>
        <w:t xml:space="preserve"> http://</w:t>
      </w:r>
      <w:hyperlink r:id="rId6">
        <w:r w:rsidRPr="00BA1B01">
          <w:rPr>
            <w:spacing w:val="-3"/>
            <w:w w:val="105"/>
            <w:sz w:val="18"/>
            <w:szCs w:val="18"/>
          </w:rPr>
          <w:t>www.fao.org/fishery/nalo/search/ru</w:t>
        </w:r>
      </w:hyperlink>
      <w:r w:rsidRPr="00BA1B01">
        <w:rPr>
          <w:sz w:val="18"/>
          <w:szCs w:val="18"/>
        </w:rPr>
        <w:t xml:space="preserve"> </w:t>
      </w:r>
    </w:p>
  </w:footnote>
  <w:footnote w:id="6">
    <w:p w:rsidR="00571FBC" w:rsidRPr="00BA1B01" w:rsidRDefault="00571FBC" w:rsidP="00571FBC">
      <w:pPr>
        <w:pStyle w:val="FootnoteText"/>
        <w:rPr>
          <w:rFonts w:eastAsia="SimSun"/>
          <w:color w:val="000000"/>
          <w:sz w:val="18"/>
          <w:szCs w:val="18"/>
        </w:rPr>
      </w:pPr>
      <w:r w:rsidRPr="00BA1B01">
        <w:rPr>
          <w:rStyle w:val="FootnoteReference"/>
          <w:szCs w:val="18"/>
        </w:rPr>
        <w:footnoteRef/>
      </w:r>
      <w:r w:rsidRPr="00BA1B01">
        <w:rPr>
          <w:sz w:val="18"/>
          <w:szCs w:val="18"/>
        </w:rPr>
        <w:t xml:space="preserve"> </w:t>
      </w:r>
      <w:hyperlink r:id="rId7">
        <w:r w:rsidRPr="00BA1B01">
          <w:rPr>
            <w:sz w:val="18"/>
            <w:szCs w:val="18"/>
          </w:rPr>
          <w:t>http://faolex.fao.org/faolex/index.htm</w:t>
        </w:r>
      </w:hyperlink>
    </w:p>
  </w:footnote>
  <w:footnote w:id="7">
    <w:p w:rsidR="00571FBC" w:rsidRPr="00BA1B01" w:rsidRDefault="00571FBC" w:rsidP="00571FBC">
      <w:pPr>
        <w:pStyle w:val="FootnoteText"/>
        <w:rPr>
          <w:sz w:val="18"/>
          <w:szCs w:val="18"/>
        </w:rPr>
      </w:pPr>
      <w:r w:rsidRPr="00BA1B01">
        <w:rPr>
          <w:rStyle w:val="FootnoteReference"/>
          <w:szCs w:val="18"/>
        </w:rPr>
        <w:footnoteRef/>
      </w:r>
      <w:r w:rsidR="00A726B7" w:rsidRPr="00BA1B01">
        <w:rPr>
          <w:sz w:val="18"/>
          <w:szCs w:val="18"/>
          <w:lang w:val="da-DK"/>
        </w:rPr>
        <w:t xml:space="preserve"> </w:t>
      </w:r>
      <w:r w:rsidRPr="00BA1B01">
        <w:rPr>
          <w:sz w:val="18"/>
          <w:szCs w:val="18"/>
        </w:rPr>
        <w:t xml:space="preserve">Статистика </w:t>
      </w:r>
      <w:proofErr w:type="spellStart"/>
      <w:r w:rsidRPr="00BA1B01">
        <w:rPr>
          <w:sz w:val="18"/>
          <w:szCs w:val="18"/>
        </w:rPr>
        <w:t>аквакультуры</w:t>
      </w:r>
      <w:proofErr w:type="spellEnd"/>
      <w:r w:rsidRPr="00BA1B01">
        <w:rPr>
          <w:sz w:val="18"/>
          <w:szCs w:val="18"/>
        </w:rPr>
        <w:t xml:space="preserve">: </w:t>
      </w:r>
      <w:hyperlink r:id="rId8">
        <w:r w:rsidRPr="00BA1B01">
          <w:rPr>
            <w:sz w:val="18"/>
            <w:szCs w:val="18"/>
          </w:rPr>
          <w:t>http://www.fao.org/fishery/statistics/global-aquaculture-production/ru</w:t>
        </w:r>
      </w:hyperlink>
      <w:r w:rsidRPr="00BA1B01">
        <w:rPr>
          <w:sz w:val="18"/>
          <w:szCs w:val="18"/>
        </w:rPr>
        <w:t xml:space="preserve">; Ежегодник на компакт-диске: </w:t>
      </w:r>
      <w:hyperlink r:id="rId9">
        <w:r w:rsidRPr="00BA1B01">
          <w:rPr>
            <w:sz w:val="18"/>
            <w:szCs w:val="18"/>
          </w:rPr>
          <w:t>ftp://ftp.fao.org/fi/cdrom/cd_yearbook_2012/index.htm</w:t>
        </w:r>
      </w:hyperlink>
      <w:r w:rsidRPr="00BA1B01">
        <w:rPr>
          <w:sz w:val="18"/>
          <w:szCs w:val="18"/>
        </w:rPr>
        <w:t>; онлайновый запрос:</w:t>
      </w:r>
      <w:r w:rsidR="00A726B7" w:rsidRPr="00BA1B01">
        <w:rPr>
          <w:sz w:val="18"/>
          <w:szCs w:val="18"/>
          <w:lang w:val="da-DK"/>
        </w:rPr>
        <w:t xml:space="preserve"> </w:t>
      </w:r>
      <w:hyperlink r:id="rId10" w:history="1">
        <w:r w:rsidR="00A726B7" w:rsidRPr="00BA1B01">
          <w:rPr>
            <w:sz w:val="18"/>
            <w:szCs w:val="18"/>
          </w:rPr>
          <w:t>http://www.fao.org/fishery/statistics/global-aquaculture-production/query/en</w:t>
        </w:r>
      </w:hyperlink>
      <w:r w:rsidRPr="00BA1B01">
        <w:rPr>
          <w:sz w:val="18"/>
          <w:szCs w:val="18"/>
        </w:rPr>
        <w:t xml:space="preserve">; </w:t>
      </w:r>
      <w:proofErr w:type="spellStart"/>
      <w:r w:rsidRPr="00BA1B01">
        <w:rPr>
          <w:sz w:val="18"/>
          <w:szCs w:val="18"/>
        </w:rPr>
        <w:t>FishStatJ</w:t>
      </w:r>
      <w:proofErr w:type="spellEnd"/>
      <w:r w:rsidRPr="00BA1B01">
        <w:rPr>
          <w:sz w:val="18"/>
          <w:szCs w:val="18"/>
        </w:rPr>
        <w:t xml:space="preserve">:  </w:t>
      </w:r>
      <w:hyperlink r:id="rId11">
        <w:r w:rsidRPr="00BA1B01">
          <w:rPr>
            <w:sz w:val="18"/>
            <w:szCs w:val="18"/>
          </w:rPr>
          <w:t>http://www.fao.org/fishery/statistics/software/fishstatj/en</w:t>
        </w:r>
      </w:hyperlink>
      <w:r w:rsidRPr="00BA1B01">
        <w:rPr>
          <w:sz w:val="18"/>
          <w:szCs w:val="18"/>
        </w:rPr>
        <w:t xml:space="preserve">   </w:t>
      </w:r>
    </w:p>
  </w:footnote>
  <w:footnote w:id="8">
    <w:p w:rsidR="00571FBC" w:rsidRPr="00003914" w:rsidRDefault="00571FBC" w:rsidP="00F61683">
      <w:pPr>
        <w:pStyle w:val="FootnoteText"/>
        <w:rPr>
          <w:rFonts w:cs="Times New Roman"/>
          <w:sz w:val="18"/>
          <w:szCs w:val="18"/>
        </w:rPr>
      </w:pPr>
      <w:r w:rsidRPr="00BA1B01">
        <w:rPr>
          <w:rStyle w:val="FootnoteReference"/>
          <w:rFonts w:ascii="Times New Roman" w:hAnsi="Times New Roman" w:cs="Times New Roman"/>
          <w:szCs w:val="18"/>
        </w:rPr>
        <w:footnoteRef/>
      </w:r>
      <w:r w:rsidRPr="00BA1B01">
        <w:rPr>
          <w:rFonts w:cs="Times New Roman"/>
          <w:sz w:val="18"/>
          <w:szCs w:val="18"/>
        </w:rPr>
        <w:t xml:space="preserve"> </w:t>
      </w:r>
      <w:proofErr w:type="gramStart"/>
      <w:r w:rsidRPr="00BA1B01">
        <w:rPr>
          <w:rFonts w:cs="Times New Roman"/>
          <w:sz w:val="18"/>
          <w:szCs w:val="18"/>
        </w:rPr>
        <w:t xml:space="preserve">Инициатива осуществляется в соответствии с пунктом 6 повестки дня 6-й сессии КРХ-ПКА </w:t>
      </w:r>
      <w:r w:rsidR="00F61683">
        <w:rPr>
          <w:rFonts w:cs="Times New Roman"/>
          <w:sz w:val="18"/>
          <w:szCs w:val="18"/>
        </w:rPr>
        <w:t>"</w:t>
      </w:r>
      <w:r w:rsidRPr="00BA1B01">
        <w:rPr>
          <w:rFonts w:cs="Times New Roman"/>
          <w:sz w:val="18"/>
          <w:szCs w:val="18"/>
        </w:rPr>
        <w:t xml:space="preserve">Оценка и мониторинг продуктивности сектора </w:t>
      </w:r>
      <w:proofErr w:type="spellStart"/>
      <w:r w:rsidRPr="00BA1B01">
        <w:rPr>
          <w:rFonts w:cs="Times New Roman"/>
          <w:sz w:val="18"/>
          <w:szCs w:val="18"/>
        </w:rPr>
        <w:t>аквакультуры</w:t>
      </w:r>
      <w:proofErr w:type="spellEnd"/>
      <w:r w:rsidRPr="00BA1B01">
        <w:rPr>
          <w:rFonts w:cs="Times New Roman"/>
          <w:sz w:val="18"/>
          <w:szCs w:val="18"/>
        </w:rPr>
        <w:t>: актуальные вопросы и проблемы</w:t>
      </w:r>
      <w:r w:rsidR="00F61683">
        <w:rPr>
          <w:rFonts w:cs="Times New Roman"/>
          <w:sz w:val="18"/>
          <w:szCs w:val="18"/>
        </w:rPr>
        <w:t>"</w:t>
      </w:r>
      <w:r w:rsidRPr="00BA1B01">
        <w:rPr>
          <w:rFonts w:cs="Times New Roman"/>
          <w:sz w:val="18"/>
          <w:szCs w:val="18"/>
        </w:rPr>
        <w:t xml:space="preserve"> (COFI:</w:t>
      </w:r>
      <w:proofErr w:type="gramEnd"/>
      <w:r w:rsidRPr="00BA1B01">
        <w:rPr>
          <w:rFonts w:cs="Times New Roman"/>
          <w:sz w:val="18"/>
          <w:szCs w:val="18"/>
        </w:rPr>
        <w:t xml:space="preserve">AQ/VI/2012/5). Детальные сведения об этой инициативе и прототип инструмента WAPI приведены в Докладе о работе семинара экспертов ФАО по оценке и мониторинге сектора </w:t>
      </w:r>
      <w:proofErr w:type="spellStart"/>
      <w:r w:rsidRPr="00BA1B01">
        <w:rPr>
          <w:rFonts w:cs="Times New Roman"/>
          <w:sz w:val="18"/>
          <w:szCs w:val="18"/>
        </w:rPr>
        <w:t>аквакультуры</w:t>
      </w:r>
      <w:proofErr w:type="spellEnd"/>
      <w:r w:rsidRPr="00BA1B01">
        <w:rPr>
          <w:rFonts w:cs="Times New Roman"/>
          <w:sz w:val="18"/>
          <w:szCs w:val="18"/>
        </w:rPr>
        <w:t xml:space="preserve">, </w:t>
      </w:r>
      <w:proofErr w:type="spellStart"/>
      <w:r w:rsidRPr="00BA1B01">
        <w:rPr>
          <w:rFonts w:cs="Times New Roman"/>
          <w:sz w:val="18"/>
          <w:szCs w:val="18"/>
        </w:rPr>
        <w:t>Гаэта</w:t>
      </w:r>
      <w:proofErr w:type="spellEnd"/>
      <w:r w:rsidRPr="00BA1B01">
        <w:rPr>
          <w:rFonts w:cs="Times New Roman"/>
          <w:sz w:val="18"/>
          <w:szCs w:val="18"/>
        </w:rPr>
        <w:t>, Италия, 5</w:t>
      </w:r>
      <w:r w:rsidR="00B42E52" w:rsidRPr="00F61683">
        <w:rPr>
          <w:rFonts w:cs="Times New Roman"/>
          <w:sz w:val="18"/>
          <w:szCs w:val="18"/>
        </w:rPr>
        <w:t>-</w:t>
      </w:r>
      <w:r w:rsidRPr="00BA1B01">
        <w:rPr>
          <w:rFonts w:cs="Times New Roman"/>
          <w:sz w:val="18"/>
          <w:szCs w:val="18"/>
        </w:rPr>
        <w:t>7 ноября 2012 года (</w:t>
      </w:r>
      <w:hyperlink r:id="rId12">
        <w:r w:rsidRPr="00BA1B01">
          <w:rPr>
            <w:rFonts w:cs="Times New Roman"/>
            <w:sz w:val="18"/>
            <w:szCs w:val="18"/>
          </w:rPr>
          <w:t>http://www.fao.org/3/a-i3539e.pdf</w:t>
        </w:r>
      </w:hyperlink>
      <w:r w:rsidRPr="00BA1B01">
        <w:rPr>
          <w:rFonts w:cs="Times New Roman"/>
          <w:sz w:val="18"/>
          <w:szCs w:val="18"/>
        </w:rPr>
        <w:t xml:space="preserve">). </w:t>
      </w:r>
    </w:p>
  </w:footnote>
  <w:footnote w:id="9">
    <w:p w:rsidR="00571FBC" w:rsidRPr="00BA1B01" w:rsidRDefault="00571FBC" w:rsidP="00571FBC">
      <w:pPr>
        <w:tabs>
          <w:tab w:val="left" w:pos="450"/>
          <w:tab w:val="left" w:pos="9071"/>
        </w:tabs>
        <w:kinsoku w:val="0"/>
        <w:overflowPunct w:val="0"/>
        <w:spacing w:after="0"/>
        <w:rPr>
          <w:rFonts w:cs="Times New Roman"/>
          <w:spacing w:val="-3"/>
          <w:w w:val="105"/>
          <w:sz w:val="18"/>
          <w:szCs w:val="18"/>
        </w:rPr>
      </w:pPr>
      <w:r w:rsidRPr="00BA1B01">
        <w:rPr>
          <w:rStyle w:val="FootnoteReference"/>
          <w:rFonts w:ascii="Times New Roman" w:hAnsi="Times New Roman" w:cs="Times New Roman"/>
          <w:szCs w:val="18"/>
        </w:rPr>
        <w:footnoteRef/>
      </w:r>
      <w:r w:rsidRPr="00BA1B01">
        <w:rPr>
          <w:rFonts w:cs="Times New Roman"/>
          <w:sz w:val="18"/>
          <w:szCs w:val="18"/>
        </w:rPr>
        <w:t xml:space="preserve"> Запросы на тестирование модуля и/или на предоставление дополнительной информации о WAPI просьба направлять по адресу: </w:t>
      </w:r>
      <w:hyperlink r:id="rId13">
        <w:r w:rsidRPr="00BA1B01">
          <w:rPr>
            <w:rFonts w:cs="Times New Roman"/>
            <w:spacing w:val="-3"/>
            <w:w w:val="105"/>
            <w:sz w:val="18"/>
            <w:szCs w:val="18"/>
          </w:rPr>
          <w:t>WAPI@fao.org</w:t>
        </w:r>
      </w:hyperlink>
      <w:r w:rsidRPr="00BA1B01">
        <w:rPr>
          <w:rFonts w:cs="Times New Roman"/>
          <w:spacing w:val="-3"/>
          <w:w w:val="105"/>
          <w:sz w:val="18"/>
          <w:szCs w:val="18"/>
        </w:rPr>
        <w:t>.</w:t>
      </w:r>
    </w:p>
  </w:footnote>
  <w:footnote w:id="10">
    <w:p w:rsidR="00571FBC" w:rsidRPr="00003914" w:rsidRDefault="00571FBC" w:rsidP="00571FBC">
      <w:pPr>
        <w:pStyle w:val="FootnoteText"/>
        <w:rPr>
          <w:rFonts w:cs="Times New Roman"/>
          <w:sz w:val="18"/>
          <w:szCs w:val="18"/>
        </w:rPr>
      </w:pPr>
      <w:r w:rsidRPr="00BA1B01">
        <w:rPr>
          <w:rStyle w:val="FootnoteReference"/>
          <w:rFonts w:ascii="Times New Roman" w:hAnsi="Times New Roman" w:cs="Times New Roman"/>
          <w:szCs w:val="18"/>
        </w:rPr>
        <w:footnoteRef/>
      </w:r>
      <w:r w:rsidRPr="00BA1B01">
        <w:rPr>
          <w:rFonts w:cs="Times New Roman"/>
          <w:sz w:val="18"/>
          <w:szCs w:val="18"/>
        </w:rPr>
        <w:t xml:space="preserve"> Стратегия и общий план повышения качества информации о положении дел и тенденциях в области </w:t>
      </w:r>
      <w:proofErr w:type="spellStart"/>
      <w:r w:rsidRPr="00BA1B01">
        <w:rPr>
          <w:rFonts w:cs="Times New Roman"/>
          <w:sz w:val="18"/>
          <w:szCs w:val="18"/>
        </w:rPr>
        <w:t>аквакультуры</w:t>
      </w:r>
      <w:proofErr w:type="spellEnd"/>
      <w:r w:rsidRPr="00BA1B01">
        <w:rPr>
          <w:rFonts w:cs="Times New Roman"/>
          <w:sz w:val="18"/>
          <w:szCs w:val="18"/>
        </w:rPr>
        <w:t xml:space="preserve">: </w:t>
      </w:r>
      <w:hyperlink r:id="rId14">
        <w:r w:rsidRPr="00BA1B01">
          <w:rPr>
            <w:rFonts w:cs="Times New Roman"/>
            <w:sz w:val="18"/>
            <w:szCs w:val="18"/>
          </w:rPr>
          <w:t>http://www.fao.org/docrep/011/i0445t/i0445t00.htm</w:t>
        </w:r>
      </w:hyperlink>
      <w:r w:rsidRPr="00BA1B01">
        <w:rPr>
          <w:rFonts w:cs="Times New Roman"/>
          <w:sz w:val="18"/>
          <w:szCs w:val="18"/>
        </w:rPr>
        <w:t xml:space="preserve">. </w:t>
      </w:r>
    </w:p>
  </w:footnote>
  <w:footnote w:id="11">
    <w:p w:rsidR="00571FBC" w:rsidRPr="00646688" w:rsidRDefault="00571FBC" w:rsidP="00571F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">
        <w:r>
          <w:rPr>
            <w:sz w:val="18"/>
          </w:rPr>
          <w:t>http://unstats.un.org/unsd/cr/registry/default.asp?lg=1</w:t>
        </w:r>
      </w:hyperlink>
      <w:r>
        <w:t xml:space="preserve"> </w:t>
      </w:r>
    </w:p>
  </w:footnote>
  <w:footnote w:id="12">
    <w:p w:rsidR="00571FBC" w:rsidRDefault="00571FBC" w:rsidP="00571F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">
        <w:r>
          <w:rPr>
            <w:sz w:val="18"/>
          </w:rPr>
          <w:t>http://unstats.un.org/unsd/envaccounting/seearev/</w:t>
        </w:r>
      </w:hyperlink>
      <w:r>
        <w:t xml:space="preserve"> </w:t>
      </w:r>
    </w:p>
  </w:footnote>
  <w:footnote w:id="13">
    <w:p w:rsidR="00571FBC" w:rsidRDefault="00571FBC" w:rsidP="00571F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">
        <w:r>
          <w:rPr>
            <w:sz w:val="18"/>
          </w:rPr>
          <w:t>http://www.gsars.org/guidelines-to-enhance-fisheries-and-aquaculture-statistics-through-a-census-framework/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CA" w:rsidRPr="001A0BFF" w:rsidRDefault="00571FBC" w:rsidP="001A0BFF">
    <w:pPr>
      <w:pStyle w:val="Underlined"/>
    </w:pPr>
    <w:r>
      <w:fldChar w:fldCharType="begin"/>
    </w:r>
    <w:r>
      <w:instrText xml:space="preserve"> PAGE  \* Arabic  \* MERGEFORMAT </w:instrText>
    </w:r>
    <w:r>
      <w:fldChar w:fldCharType="separate"/>
    </w:r>
    <w:r w:rsidR="006B7777">
      <w:rPr>
        <w:noProof/>
      </w:rPr>
      <w:t>8</w:t>
    </w:r>
    <w:r>
      <w:rPr>
        <w:noProof/>
      </w:rPr>
      <w:fldChar w:fldCharType="end"/>
    </w:r>
    <w:r>
      <w:ptab w:relativeTo="margin" w:alignment="right" w:leader="none"/>
    </w:r>
    <w:r>
      <w:t xml:space="preserve"> </w:t>
    </w:r>
    <w:bookmarkStart w:id="5" w:name="EvenIdentificationBookmark"/>
    <w:r>
      <w:t xml:space="preserve">COFI:AQ/VIII/2015/10  </w:t>
    </w:r>
    <w:bookmarkEnd w:id="5"/>
  </w:p>
  <w:p w:rsidR="00F52C5D" w:rsidRPr="00B262CA" w:rsidRDefault="008F346C" w:rsidP="00B262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CA" w:rsidRPr="001A0BFF" w:rsidRDefault="00571FBC" w:rsidP="001A0BFF">
    <w:pPr>
      <w:pStyle w:val="Underlined"/>
    </w:pPr>
    <w:bookmarkStart w:id="6" w:name="OddIdentificationBookmark"/>
    <w:r>
      <w:t xml:space="preserve">COFI:AQ/VIII/2015/10  </w:t>
    </w:r>
    <w:bookmarkEnd w:id="6"/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8F346C">
      <w:rPr>
        <w:noProof/>
      </w:rPr>
      <w:t>9</w:t>
    </w:r>
    <w:r>
      <w:rPr>
        <w:noProof/>
      </w:rPr>
      <w:fldChar w:fldCharType="end"/>
    </w:r>
  </w:p>
  <w:p w:rsidR="001A0BFF" w:rsidRPr="00B262CA" w:rsidRDefault="008F346C" w:rsidP="00B262CA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E" w:rsidRPr="00734C44" w:rsidRDefault="00571FBC" w:rsidP="00734C44">
    <w:pPr>
      <w:pStyle w:val="LanguageSymbol"/>
      <w:framePr w:wrap="around"/>
    </w:pPr>
    <w:bookmarkStart w:id="7" w:name="LanguageSymbolBookmark"/>
    <w:r>
      <w:t>R</w:t>
    </w: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8E01CD" w:rsidTr="001918B1">
      <w:trPr>
        <w:jc w:val="center"/>
      </w:trPr>
      <w:tc>
        <w:tcPr>
          <w:tcW w:w="2500" w:type="pct"/>
          <w:noWrap/>
          <w:tcMar>
            <w:left w:w="0" w:type="dxa"/>
          </w:tcMar>
        </w:tcPr>
        <w:p w:rsidR="008E01CD" w:rsidRDefault="00571FBC" w:rsidP="00F2216D">
          <w:bookmarkStart w:id="8" w:name="PublicationDateBookmark"/>
          <w:bookmarkEnd w:id="7"/>
          <w:r>
            <w:t xml:space="preserve">Июль 2015 года </w:t>
          </w:r>
          <w:bookmarkEnd w:id="8"/>
        </w:p>
      </w:tc>
      <w:tc>
        <w:tcPr>
          <w:tcW w:w="2500" w:type="pct"/>
          <w:noWrap/>
          <w:tcMar>
            <w:right w:w="0" w:type="dxa"/>
          </w:tcMar>
        </w:tcPr>
        <w:p w:rsidR="008E01CD" w:rsidRDefault="00571FBC" w:rsidP="00F2216D">
          <w:pPr>
            <w:jc w:val="right"/>
          </w:pPr>
          <w:bookmarkStart w:id="9" w:name="FirstCoverIdentificationBookmark"/>
          <w:r>
            <w:t xml:space="preserve">COFI:AQ/VIII/2015/10  </w:t>
          </w:r>
          <w:bookmarkEnd w:id="9"/>
        </w:p>
      </w:tc>
    </w:tr>
  </w:tbl>
  <w:p w:rsidR="00AE4D6E" w:rsidRPr="008E01CD" w:rsidRDefault="008F346C" w:rsidP="008E01CD">
    <w:pPr>
      <w:pBdr>
        <w:bottom w:val="single" w:sz="12" w:space="0" w:color="auto"/>
      </w:pBdr>
      <w:contextualSpacing/>
      <w:rPr>
        <w:sz w:val="4"/>
      </w:rPr>
    </w:pPr>
  </w:p>
  <w:p w:rsidR="00DF0451" w:rsidRDefault="00571FBC" w:rsidP="008E01CD">
    <w:pPr>
      <w:jc w:val="center"/>
    </w:pPr>
    <w:bookmarkStart w:id="10" w:name="LogoBookmark"/>
    <w:r>
      <w:rPr>
        <w:noProof/>
        <w:lang w:val="en-US" w:eastAsia="zh-CN" w:bidi="ar-SA"/>
      </w:rPr>
      <w:drawing>
        <wp:inline distT="0" distB="0" distL="0" distR="0" wp14:anchorId="44FEF16D" wp14:editId="0380BFE3">
          <wp:extent cx="5760085" cy="79438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13A7370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1" w:firstLine="0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1" w:firstLine="0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0" w:hanging="708"/>
      </w:pPr>
    </w:lvl>
  </w:abstractNum>
  <w:abstractNum w:abstractNumId="1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A4880"/>
    <w:multiLevelType w:val="multilevel"/>
    <w:tmpl w:val="1F5C6FCC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FBC"/>
    <w:rsid w:val="00003914"/>
    <w:rsid w:val="00057694"/>
    <w:rsid w:val="000A22B4"/>
    <w:rsid w:val="001036D7"/>
    <w:rsid w:val="001563A9"/>
    <w:rsid w:val="001C6A85"/>
    <w:rsid w:val="00293FBE"/>
    <w:rsid w:val="002C2211"/>
    <w:rsid w:val="0036464A"/>
    <w:rsid w:val="003A5235"/>
    <w:rsid w:val="0046279D"/>
    <w:rsid w:val="004A7FA8"/>
    <w:rsid w:val="004B1861"/>
    <w:rsid w:val="004C4A27"/>
    <w:rsid w:val="005038DD"/>
    <w:rsid w:val="005209D1"/>
    <w:rsid w:val="00571FBC"/>
    <w:rsid w:val="005C7B69"/>
    <w:rsid w:val="005F36A9"/>
    <w:rsid w:val="00612354"/>
    <w:rsid w:val="00623250"/>
    <w:rsid w:val="006B08BA"/>
    <w:rsid w:val="006B7777"/>
    <w:rsid w:val="008F346C"/>
    <w:rsid w:val="00915CE5"/>
    <w:rsid w:val="009E2413"/>
    <w:rsid w:val="00A726B7"/>
    <w:rsid w:val="00AC624B"/>
    <w:rsid w:val="00B42E52"/>
    <w:rsid w:val="00BA1B01"/>
    <w:rsid w:val="00BE151C"/>
    <w:rsid w:val="00C15262"/>
    <w:rsid w:val="00C870A0"/>
    <w:rsid w:val="00C87914"/>
    <w:rsid w:val="00CC540C"/>
    <w:rsid w:val="00D25EEA"/>
    <w:rsid w:val="00DC60D2"/>
    <w:rsid w:val="00DD6836"/>
    <w:rsid w:val="00E15CDB"/>
    <w:rsid w:val="00E160D7"/>
    <w:rsid w:val="00F33592"/>
    <w:rsid w:val="00F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1FBC"/>
    <w:pPr>
      <w:spacing w:line="240" w:lineRule="auto"/>
    </w:pPr>
    <w:rPr>
      <w:rFonts w:ascii="Times New Roman" w:hAnsi="Times New Roman" w:cs="Akhbar MT"/>
      <w:szCs w:val="30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571FBC"/>
    <w:pPr>
      <w:keepNext/>
      <w:numPr>
        <w:numId w:val="1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571FBC"/>
    <w:pPr>
      <w:keepNext/>
      <w:numPr>
        <w:ilvl w:val="1"/>
        <w:numId w:val="1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rsid w:val="00571FBC"/>
    <w:rPr>
      <w:rFonts w:ascii="Times New Roman Bold" w:eastAsia="Times New Roman" w:hAnsi="Times New Roman Bold" w:cs="Akhbar MT"/>
      <w:b/>
      <w:bCs/>
      <w:sz w:val="26"/>
      <w:szCs w:val="36"/>
      <w:lang w:val="ru-RU"/>
    </w:rPr>
  </w:style>
  <w:style w:type="character" w:customStyle="1" w:styleId="Heading2Char">
    <w:name w:val="Heading 2 Char"/>
    <w:aliases w:val="Chpt Char"/>
    <w:basedOn w:val="DefaultParagraphFont"/>
    <w:link w:val="Heading2"/>
    <w:rsid w:val="00571FBC"/>
    <w:rPr>
      <w:rFonts w:ascii="Times New Roman Bold" w:eastAsia="Times New Roman" w:hAnsi="Times New Roman Bold" w:cs="Akhbar MT"/>
      <w:b/>
      <w:bCs/>
      <w:sz w:val="24"/>
      <w:szCs w:val="3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571F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FBC"/>
    <w:rPr>
      <w:rFonts w:ascii="Times New Roman" w:hAnsi="Times New Roman" w:cs="Akhbar MT"/>
      <w:szCs w:val="3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71F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FBC"/>
    <w:rPr>
      <w:rFonts w:ascii="Times New Roman" w:hAnsi="Times New Roman" w:cs="Akhbar MT"/>
      <w:szCs w:val="30"/>
      <w:lang w:val="ru-RU"/>
    </w:rPr>
  </w:style>
  <w:style w:type="paragraph" w:customStyle="1" w:styleId="Note">
    <w:name w:val="Note"/>
    <w:basedOn w:val="Normal"/>
    <w:link w:val="NoteChar"/>
    <w:autoRedefine/>
    <w:qFormat/>
    <w:rsid w:val="00571FBC"/>
    <w:pPr>
      <w:pBdr>
        <w:top w:val="single" w:sz="4" w:space="0" w:color="auto"/>
      </w:pBdr>
      <w:jc w:val="center"/>
    </w:pPr>
    <w:rPr>
      <w:i/>
      <w:sz w:val="20"/>
      <w:szCs w:val="28"/>
    </w:rPr>
  </w:style>
  <w:style w:type="character" w:customStyle="1" w:styleId="NoteChar">
    <w:name w:val="Note Char"/>
    <w:basedOn w:val="DefaultParagraphFont"/>
    <w:link w:val="Note"/>
    <w:rsid w:val="00571FBC"/>
    <w:rPr>
      <w:rFonts w:ascii="Times New Roman" w:hAnsi="Times New Roman" w:cs="Akhbar MT"/>
      <w:i/>
      <w:sz w:val="20"/>
      <w:szCs w:val="28"/>
      <w:lang w:val="ru-RU"/>
    </w:rPr>
  </w:style>
  <w:style w:type="paragraph" w:customStyle="1" w:styleId="DocTitle">
    <w:name w:val="DocTitle"/>
    <w:basedOn w:val="Normal"/>
    <w:link w:val="DocTitleChar"/>
    <w:qFormat/>
    <w:rsid w:val="00571FB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DefaultParagraphFont"/>
    <w:link w:val="DocTitle"/>
    <w:rsid w:val="00571FBC"/>
    <w:rPr>
      <w:rFonts w:ascii="Times New Roman" w:hAnsi="Times New Roman" w:cs="Akhbar MT"/>
      <w:bCs/>
      <w:color w:val="7F7F7F" w:themeColor="text1" w:themeTint="80"/>
      <w:sz w:val="56"/>
      <w:szCs w:val="72"/>
      <w:lang w:val="ru-RU"/>
    </w:rPr>
  </w:style>
  <w:style w:type="paragraph" w:customStyle="1" w:styleId="NewPara">
    <w:name w:val="NewPara"/>
    <w:basedOn w:val="ListParagraph"/>
    <w:link w:val="NewParaChar"/>
    <w:qFormat/>
    <w:rsid w:val="00571FBC"/>
    <w:pPr>
      <w:numPr>
        <w:numId w:val="2"/>
      </w:numPr>
      <w:contextualSpacing w:val="0"/>
    </w:pPr>
  </w:style>
  <w:style w:type="character" w:customStyle="1" w:styleId="NewParaChar">
    <w:name w:val="NewPara Char"/>
    <w:basedOn w:val="DefaultParagraphFont"/>
    <w:link w:val="NewPara"/>
    <w:rsid w:val="00571FBC"/>
    <w:rPr>
      <w:rFonts w:ascii="Times New Roman" w:hAnsi="Times New Roman" w:cs="Akhbar MT"/>
      <w:szCs w:val="30"/>
      <w:lang w:val="ru-RU"/>
    </w:rPr>
  </w:style>
  <w:style w:type="paragraph" w:customStyle="1" w:styleId="BulletList">
    <w:name w:val="Bullet List"/>
    <w:basedOn w:val="ListParagraph"/>
    <w:link w:val="BulletListChar"/>
    <w:qFormat/>
    <w:rsid w:val="00571FBC"/>
    <w:pPr>
      <w:numPr>
        <w:numId w:val="3"/>
      </w:numPr>
      <w:ind w:left="714" w:hanging="357"/>
    </w:pPr>
  </w:style>
  <w:style w:type="character" w:customStyle="1" w:styleId="BulletListChar">
    <w:name w:val="Bullet List Char"/>
    <w:basedOn w:val="DefaultParagraphFont"/>
    <w:link w:val="BulletList"/>
    <w:rsid w:val="00571FBC"/>
    <w:rPr>
      <w:rFonts w:ascii="Times New Roman" w:hAnsi="Times New Roman" w:cs="Akhbar MT"/>
      <w:szCs w:val="30"/>
      <w:lang w:val="ru-RU"/>
    </w:rPr>
  </w:style>
  <w:style w:type="paragraph" w:customStyle="1" w:styleId="SummaryBoxText">
    <w:name w:val="Summary Box Text"/>
    <w:basedOn w:val="Normal"/>
    <w:link w:val="SummaryBoxTextChar"/>
    <w:qFormat/>
    <w:rsid w:val="00571FBC"/>
    <w:pPr>
      <w:spacing w:line="360" w:lineRule="auto"/>
    </w:pPr>
  </w:style>
  <w:style w:type="character" w:customStyle="1" w:styleId="SummaryBoxTextChar">
    <w:name w:val="Summary Box Text Char"/>
    <w:basedOn w:val="DefaultParagraphFont"/>
    <w:link w:val="SummaryBoxText"/>
    <w:rsid w:val="00571FBC"/>
    <w:rPr>
      <w:rFonts w:ascii="Times New Roman" w:hAnsi="Times New Roman" w:cs="Akhbar MT"/>
      <w:szCs w:val="30"/>
      <w:lang w:val="ru-RU"/>
    </w:rPr>
  </w:style>
  <w:style w:type="paragraph" w:customStyle="1" w:styleId="Underlined">
    <w:name w:val="Underlined"/>
    <w:basedOn w:val="Normal"/>
    <w:link w:val="UnderlinedChar"/>
    <w:qFormat/>
    <w:rsid w:val="00571FB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571FBC"/>
    <w:rPr>
      <w:rFonts w:ascii="Times New Roman" w:hAnsi="Times New Roman" w:cs="Akhbar MT"/>
      <w:szCs w:val="30"/>
      <w:lang w:val="ru-RU"/>
    </w:rPr>
  </w:style>
  <w:style w:type="paragraph" w:customStyle="1" w:styleId="MeetingInfo">
    <w:name w:val="MeetingInfo"/>
    <w:basedOn w:val="Normal"/>
    <w:link w:val="MeetingInfoChar"/>
    <w:qFormat/>
    <w:rsid w:val="00571FB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DefaultParagraphFont"/>
    <w:link w:val="MeetingInfo"/>
    <w:rsid w:val="00571FBC"/>
    <w:rPr>
      <w:rFonts w:ascii="Times New Roman Bold" w:hAnsi="Times New Roman Bold" w:cs="Akhbar MT"/>
      <w:b/>
      <w:bCs/>
      <w:sz w:val="28"/>
      <w:szCs w:val="36"/>
      <w:lang w:val="ru-RU"/>
    </w:rPr>
  </w:style>
  <w:style w:type="paragraph" w:customStyle="1" w:styleId="Hidden">
    <w:name w:val="Hidden"/>
    <w:basedOn w:val="Normal"/>
    <w:link w:val="HiddenChar"/>
    <w:qFormat/>
    <w:rsid w:val="00571FBC"/>
    <w:pPr>
      <w:spacing w:line="20" w:lineRule="exact"/>
    </w:pPr>
    <w:rPr>
      <w:sz w:val="2"/>
    </w:rPr>
  </w:style>
  <w:style w:type="character" w:customStyle="1" w:styleId="HiddenChar">
    <w:name w:val="Hidden Char"/>
    <w:basedOn w:val="DefaultParagraphFont"/>
    <w:link w:val="Hidden"/>
    <w:rsid w:val="00571FBC"/>
    <w:rPr>
      <w:rFonts w:ascii="Times New Roman" w:hAnsi="Times New Roman" w:cs="Akhbar MT"/>
      <w:sz w:val="2"/>
      <w:szCs w:val="30"/>
      <w:lang w:val="ru-RU"/>
    </w:rPr>
  </w:style>
  <w:style w:type="paragraph" w:customStyle="1" w:styleId="LanguageSymbol">
    <w:name w:val="LanguageSymbol"/>
    <w:basedOn w:val="Normal"/>
    <w:link w:val="LanguageSymbolChar"/>
    <w:qFormat/>
    <w:rsid w:val="00571FB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rsid w:val="00571FBC"/>
    <w:rPr>
      <w:rFonts w:ascii="Times New Roman" w:hAnsi="Times New Roman" w:cs="Akhbar MT"/>
      <w:b/>
      <w:color w:val="808080"/>
      <w:sz w:val="56"/>
      <w:szCs w:val="56"/>
      <w:lang w:val="ru-RU"/>
    </w:rPr>
  </w:style>
  <w:style w:type="table" w:styleId="TableGrid">
    <w:name w:val="Table Grid"/>
    <w:basedOn w:val="TableNormal"/>
    <w:uiPriority w:val="59"/>
    <w:rsid w:val="0057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71FBC"/>
  </w:style>
  <w:style w:type="paragraph" w:styleId="FootnoteText">
    <w:name w:val="footnote text"/>
    <w:basedOn w:val="Normal"/>
    <w:link w:val="FootnoteTextChar"/>
    <w:unhideWhenUsed/>
    <w:rsid w:val="00571FB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1FBC"/>
    <w:rPr>
      <w:rFonts w:ascii="Times New Roman" w:hAnsi="Times New Roman" w:cs="Akhbar MT"/>
      <w:sz w:val="20"/>
      <w:szCs w:val="20"/>
      <w:lang w:val="ru-RU"/>
    </w:rPr>
  </w:style>
  <w:style w:type="character" w:styleId="FootnoteReference">
    <w:name w:val="footnote reference"/>
    <w:aliases w:val="stylish"/>
    <w:rsid w:val="00571FBC"/>
    <w:rPr>
      <w:rFonts w:ascii="Book Antiqua" w:eastAsia="SimSun" w:hAnsi="Book Antiqua"/>
      <w:smallCaps/>
      <w:sz w:val="18"/>
      <w:szCs w:val="24"/>
      <w:vertAlign w:val="superscript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FBC"/>
    <w:rPr>
      <w:rFonts w:asciiTheme="majorHAnsi" w:eastAsiaTheme="majorEastAsia" w:hAnsiTheme="majorHAnsi" w:cstheme="majorBidi"/>
      <w:b/>
      <w:bCs/>
      <w:color w:val="4F81BD" w:themeColor="accent1"/>
      <w:szCs w:val="30"/>
      <w:lang w:val="ru-RU"/>
    </w:rPr>
  </w:style>
  <w:style w:type="paragraph" w:styleId="ListParagraph">
    <w:name w:val="List Paragraph"/>
    <w:basedOn w:val="Normal"/>
    <w:uiPriority w:val="34"/>
    <w:qFormat/>
    <w:rsid w:val="00571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6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2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fishery/statistics/global-aquaculture-production/ru" TargetMode="External"/><Relationship Id="rId13" Type="http://schemas.openxmlformats.org/officeDocument/2006/relationships/hyperlink" Target="mailto:WAPI@fao.org" TargetMode="External"/><Relationship Id="rId3" Type="http://schemas.openxmlformats.org/officeDocument/2006/relationships/hyperlink" Target="http://www.fao.org/fishery/aquaculture/ru" TargetMode="External"/><Relationship Id="rId7" Type="http://schemas.openxmlformats.org/officeDocument/2006/relationships/hyperlink" Target="http://faolex.fao.org/faolex/index.htm" TargetMode="External"/><Relationship Id="rId12" Type="http://schemas.openxmlformats.org/officeDocument/2006/relationships/hyperlink" Target="http://www.fao.org/3/a-i3539e.pdf" TargetMode="External"/><Relationship Id="rId17" Type="http://schemas.openxmlformats.org/officeDocument/2006/relationships/hyperlink" Target="http://www.gsars.org/guidelines-to-enhance-fisheries-and-aquaculture-statistics-through-a-census-framework/" TargetMode="External"/><Relationship Id="rId2" Type="http://schemas.openxmlformats.org/officeDocument/2006/relationships/hyperlink" Target="http://www.fao.org/fishery/statistics/ru" TargetMode="External"/><Relationship Id="rId16" Type="http://schemas.openxmlformats.org/officeDocument/2006/relationships/hyperlink" Target="http://unstats.un.org/unsd/envaccounting/seearev/" TargetMode="External"/><Relationship Id="rId1" Type="http://schemas.openxmlformats.org/officeDocument/2006/relationships/hyperlink" Target="http://www.fao.org/3/a-i3720r/index.html" TargetMode="External"/><Relationship Id="rId6" Type="http://schemas.openxmlformats.org/officeDocument/2006/relationships/hyperlink" Target="http://www.fao.org/fishery/nalo/search/ru" TargetMode="External"/><Relationship Id="rId11" Type="http://schemas.openxmlformats.org/officeDocument/2006/relationships/hyperlink" Target="http://www.fao.org/fishery/statistics/software/fishstatj/en" TargetMode="External"/><Relationship Id="rId5" Type="http://schemas.openxmlformats.org/officeDocument/2006/relationships/hyperlink" Target="http://www.fao.org/fishery/naso/search/ru" TargetMode="External"/><Relationship Id="rId15" Type="http://schemas.openxmlformats.org/officeDocument/2006/relationships/hyperlink" Target="http://unstats.un.org/unsd/cr/registry/default.asp?Lg=1" TargetMode="External"/><Relationship Id="rId10" Type="http://schemas.openxmlformats.org/officeDocument/2006/relationships/hyperlink" Target="http://www.fao.org/fishery/%20statistics/global-aquaculture-production/query/en" TargetMode="External"/><Relationship Id="rId4" Type="http://schemas.openxmlformats.org/officeDocument/2006/relationships/hyperlink" Target="http://www.fao.org/aquaculture/ru" TargetMode="External"/><Relationship Id="rId9" Type="http://schemas.openxmlformats.org/officeDocument/2006/relationships/hyperlink" Target="ftp://ftp.fao.org/FI/CDrom/CD_yearbook_2012/index.htm" TargetMode="External"/><Relationship Id="rId14" Type="http://schemas.openxmlformats.org/officeDocument/2006/relationships/hyperlink" Target="http://www.fao.org/docrep/011/i0445t/i0445t00.ht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3980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DiNicola (CPAM)</dc:creator>
  <cp:keywords/>
  <dc:description/>
  <cp:lastModifiedBy>Olga Bratus (CPAM)</cp:lastModifiedBy>
  <cp:revision>39</cp:revision>
  <dcterms:created xsi:type="dcterms:W3CDTF">2015-07-23T09:47:00Z</dcterms:created>
  <dcterms:modified xsi:type="dcterms:W3CDTF">2015-08-05T14:09:00Z</dcterms:modified>
</cp:coreProperties>
</file>