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BB" w:rsidRPr="00F90DCD" w:rsidRDefault="00104DBB" w:rsidP="008C4283">
      <w:pPr>
        <w:pStyle w:val="Hidden"/>
      </w:pPr>
    </w:p>
    <w:p w:rsidR="00104DBB" w:rsidRPr="00F90DCD" w:rsidRDefault="003F6007" w:rsidP="008C4283">
      <w:pPr>
        <w:pStyle w:val="DocTitle"/>
        <w:rPr>
          <w:smallCaps/>
          <w:color w:val="7F7F7F" w:themeColor="text1" w:themeTint="80"/>
          <w:lang w:eastAsia="en-US"/>
        </w:rPr>
      </w:pPr>
      <w:bookmarkStart w:id="0" w:name="CoverTitleBookmark"/>
      <w:bookmarkStart w:id="1" w:name="CoverBookmark"/>
      <w:r w:rsidRPr="00F90DCD">
        <w:rPr>
          <w:smallCaps/>
          <w:color w:val="7F7F7F" w:themeColor="text1" w:themeTint="80"/>
          <w:lang w:eastAsia="en-US"/>
        </w:rPr>
        <w:t>Комитет по рыбному хозяйству</w:t>
      </w:r>
    </w:p>
    <w:bookmarkEnd w:id="0"/>
    <w:p w:rsidR="00104DBB" w:rsidRPr="00F90DCD" w:rsidRDefault="003F6007" w:rsidP="008C4283">
      <w:pPr>
        <w:pStyle w:val="MeetingInfo"/>
        <w:pBdr>
          <w:bar w:val="none" w:sz="0" w:color="auto"/>
        </w:pBdr>
      </w:pPr>
      <w:r w:rsidRPr="00F90DCD">
        <w:t>ПОДКОМИТЕТ ПО АКВАКУЛЬТУРЕ</w:t>
      </w:r>
    </w:p>
    <w:p w:rsidR="00104DBB" w:rsidRPr="00F90DCD" w:rsidRDefault="003F6007" w:rsidP="008C4283">
      <w:pPr>
        <w:pStyle w:val="MeetingInfo"/>
        <w:pBdr>
          <w:bar w:val="none" w:sz="0" w:color="auto"/>
        </w:pBdr>
      </w:pPr>
      <w:r w:rsidRPr="00F90DCD">
        <w:t>Восьмая сессия</w:t>
      </w:r>
    </w:p>
    <w:p w:rsidR="00104DBB" w:rsidRPr="00F90DCD" w:rsidRDefault="003F6007" w:rsidP="008C4283">
      <w:pPr>
        <w:pStyle w:val="MeetingInfo"/>
        <w:pBdr>
          <w:bar w:val="none" w:sz="0" w:color="auto"/>
        </w:pBdr>
      </w:pPr>
      <w:r w:rsidRPr="00F90DCD">
        <w:t>Бразилиа,</w:t>
      </w:r>
      <w:r w:rsidR="00F90DCD" w:rsidRPr="00F90DCD">
        <w:t xml:space="preserve"> Бразилия,</w:t>
      </w:r>
      <w:r w:rsidRPr="00F90DCD">
        <w:t xml:space="preserve"> 5-9 октября 2015 года</w:t>
      </w:r>
    </w:p>
    <w:p w:rsidR="00104DBB" w:rsidRPr="00F90DCD" w:rsidRDefault="003F6007" w:rsidP="008C4283">
      <w:pPr>
        <w:pStyle w:val="MeetingInfo"/>
        <w:pBdr>
          <w:bar w:val="none" w:sz="0" w:color="auto"/>
        </w:pBdr>
      </w:pPr>
      <w:r w:rsidRPr="00F90DCD">
        <w:t xml:space="preserve">МЕРЫ ДЕПАРТАМЕНТА РЫБНОГО ХОЗЯЙСТВА И АКВАКУЛЬТУРЫ ФАО ПО ОСУЩЕСТВЛЕНИЮ РЕКОМЕНДАЦИЙ ПРОШЛЫХ СЕССИЙ ПОДКОМИТЕТА КРХ </w:t>
      </w:r>
      <w:r w:rsidR="00292D25">
        <w:rPr>
          <w:rFonts w:asciiTheme="minorHAnsi" w:hAnsiTheme="minorHAnsi"/>
        </w:rPr>
        <w:br/>
      </w:r>
      <w:r w:rsidRPr="00F90DCD">
        <w:t xml:space="preserve">ПО АКВАКУЛЬТУРЕ </w:t>
      </w:r>
    </w:p>
    <w:p w:rsidR="00104DBB" w:rsidRPr="00F90DCD" w:rsidRDefault="003F6007" w:rsidP="008C4283">
      <w:r w:rsidRPr="00F90DCD">
        <w:t xml:space="preserve"> </w:t>
      </w:r>
      <w:bookmarkEnd w:id="1"/>
      <w:r w:rsidRPr="00F90DCD">
        <w:t xml:space="preserve"> </w:t>
      </w:r>
      <w:bookmarkStart w:id="2" w:name="TableOfContentsRangeBookmark"/>
      <w:r w:rsidRPr="00F90DCD">
        <w:t xml:space="preserve"> </w:t>
      </w:r>
      <w:bookmarkEnd w:id="2"/>
      <w:r w:rsidRPr="00F90DCD">
        <w:t xml:space="preserve"> </w:t>
      </w:r>
      <w:bookmarkStart w:id="3" w:name="SummaryBoxBookmark"/>
      <w:r w:rsidRPr="00F90DCD">
        <w:t xml:space="preserve"> </w:t>
      </w:r>
      <w:bookmarkEnd w:id="3"/>
    </w:p>
    <w:p w:rsidR="00104DBB" w:rsidRPr="00F90DCD" w:rsidRDefault="00EA6BF8" w:rsidP="008C4283">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-58420</wp:posOffset>
                </wp:positionV>
                <wp:extent cx="5762625" cy="1952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952625"/>
                        </a:xfrm>
                        <a:prstGeom prst="rect">
                          <a:avLst/>
                        </a:prstGeom>
                        <a:solidFill>
                          <a:srgbClr val="FFFFFF"/>
                        </a:solidFill>
                        <a:ln w="9525">
                          <a:solidFill>
                            <a:srgbClr val="000000"/>
                          </a:solidFill>
                          <a:miter lim="800000"/>
                          <a:headEnd/>
                          <a:tailEnd/>
                        </a:ln>
                      </wps:spPr>
                      <wps:txbx>
                        <w:txbxContent>
                          <w:p w:rsidR="00104DBB" w:rsidRPr="00EF53BD" w:rsidRDefault="003F6007" w:rsidP="00104DBB">
                            <w:pPr>
                              <w:jc w:val="center"/>
                            </w:pPr>
                            <w:r>
                              <w:rPr>
                                <w:b/>
                              </w:rPr>
                              <w:t>РЕЗЮМЕ</w:t>
                            </w:r>
                          </w:p>
                          <w:p w:rsidR="00104DBB" w:rsidRDefault="003F6007" w:rsidP="00104DBB">
                            <w:pPr>
                              <w:pStyle w:val="NewPara"/>
                              <w:numPr>
                                <w:ilvl w:val="0"/>
                                <w:numId w:val="0"/>
                              </w:numPr>
                            </w:pPr>
                            <w:r>
                              <w:t xml:space="preserve">Настоящий документ содержит краткий обзор мер, принятых Департаментом рыбного хозяйства и </w:t>
                            </w:r>
                            <w:proofErr w:type="spellStart"/>
                            <w:r>
                              <w:t>аквакультуры</w:t>
                            </w:r>
                            <w:proofErr w:type="spellEnd"/>
                            <w:r>
                              <w:t xml:space="preserve"> ФАО для выполнения рекомендаций прошлых сессий Подкомитета по </w:t>
                            </w:r>
                            <w:proofErr w:type="spellStart"/>
                            <w:r>
                              <w:t>аквакультуре</w:t>
                            </w:r>
                            <w:proofErr w:type="spellEnd"/>
                            <w:r>
                              <w:t xml:space="preserve"> Комитета ФАО по рыбному хозяйству (ПКА КРХ).</w:t>
                            </w:r>
                          </w:p>
                          <w:p w:rsidR="00104DBB" w:rsidRDefault="00104DBB" w:rsidP="00104DBB">
                            <w:pPr>
                              <w:pStyle w:val="NewPara"/>
                              <w:numPr>
                                <w:ilvl w:val="0"/>
                                <w:numId w:val="0"/>
                              </w:numPr>
                            </w:pPr>
                          </w:p>
                          <w:p w:rsidR="00104DBB" w:rsidRPr="0033024C" w:rsidRDefault="003F6007" w:rsidP="00104DBB">
                            <w:pPr>
                              <w:pStyle w:val="NewPara"/>
                              <w:numPr>
                                <w:ilvl w:val="0"/>
                                <w:numId w:val="0"/>
                              </w:numPr>
                              <w:rPr>
                                <w:b/>
                              </w:rPr>
                            </w:pPr>
                            <w:r>
                              <w:rPr>
                                <w:b/>
                              </w:rPr>
                              <w:t xml:space="preserve">Подкомитету предлагается: </w:t>
                            </w:r>
                          </w:p>
                          <w:p w:rsidR="00104DBB" w:rsidRPr="0033024C" w:rsidRDefault="003F6007" w:rsidP="00104DBB">
                            <w:pPr>
                              <w:pStyle w:val="NewPara"/>
                              <w:numPr>
                                <w:ilvl w:val="0"/>
                                <w:numId w:val="0"/>
                              </w:numPr>
                            </w:pPr>
                            <w:r>
                              <w:t>Обсудить ход работы и при необходимости предоставить указания для повышения эффективности выполнения рекомендаций.</w:t>
                            </w:r>
                          </w:p>
                          <w:p w:rsidR="00104DBB" w:rsidRPr="00EF53BD" w:rsidRDefault="00104DBB" w:rsidP="00104D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4.6pt;width:453.75pt;height:15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">
                <v:textbox>
                  <w:txbxContent>
                    <w:p w:rsidR="00104DBB" w:rsidRPr="00EF53BD" w:rsidRDefault="003F6007" w:rsidP="00104DBB">
                      <w:pPr>
                        <w:jc w:val="center"/>
                      </w:pPr>
                      <w:r>
                        <w:rPr>
                          <w:b/>
                        </w:rPr>
                        <w:t>РЕЗЮМЕ</w:t>
                      </w:r>
                    </w:p>
                    <w:p w:rsidR="00104DBB" w:rsidRDefault="003F6007" w:rsidP="00104DBB">
                      <w:pPr>
                        <w:pStyle w:val="NewPara"/>
                        <w:numPr>
                          <w:ilvl w:val="0"/>
                          <w:numId w:val="0"/>
                        </w:numPr>
                      </w:pPr>
                      <w:r>
                        <w:t>Настоящий документ содержит краткий обзор мер, принятых Департаментом рыбного хозяйства и аквакультуры ФАО для выполнения рекомендаций прошлых сессий Подкомитета по аквакультуре Комитета ФАО по рыбному хозяйству (ПКА КРХ).</w:t>
                      </w:r>
                    </w:p>
                    <w:p w:rsidR="00104DBB" w:rsidRDefault="00104DBB" w:rsidP="00104DBB">
                      <w:pPr>
                        <w:pStyle w:val="NewPara"/>
                        <w:numPr>
                          <w:ilvl w:val="0"/>
                          <w:numId w:val="0"/>
                        </w:numPr>
                      </w:pPr>
                    </w:p>
                    <w:p w:rsidR="00104DBB" w:rsidRPr="0033024C" w:rsidRDefault="003F6007" w:rsidP="00104DBB">
                      <w:pPr>
                        <w:pStyle w:val="NewPara"/>
                        <w:numPr>
                          <w:ilvl w:val="0"/>
                          <w:numId w:val="0"/>
                        </w:numPr>
                        <w:rPr>
                          <w:b/>
                        </w:rPr>
                      </w:pPr>
                      <w:r>
                        <w:rPr>
                          <w:b/>
                        </w:rPr>
                        <w:t xml:space="preserve">Подкомитету предлагается: </w:t>
                      </w:r>
                    </w:p>
                    <w:p w:rsidR="00104DBB" w:rsidRPr="0033024C" w:rsidRDefault="003F6007" w:rsidP="00104DBB">
                      <w:pPr>
                        <w:pStyle w:val="NewPara"/>
                        <w:numPr>
                          <w:ilvl w:val="0"/>
                          <w:numId w:val="0"/>
                        </w:numPr>
                      </w:pPr>
                      <w:r>
                        <w:t>Обсудить ход работы и при необходимости предоставить указания для повышения эффективности выполнения рекомендаций.</w:t>
                      </w:r>
                    </w:p>
                    <w:p w:rsidR="00104DBB" w:rsidRPr="00EF53BD" w:rsidRDefault="00104DBB" w:rsidP="00104DBB"/>
                  </w:txbxContent>
                </v:textbox>
              </v:shape>
            </w:pict>
          </mc:Fallback>
        </mc:AlternateContent>
      </w:r>
    </w:p>
    <w:p w:rsidR="00104DBB" w:rsidRPr="00F90DCD" w:rsidRDefault="00104DBB" w:rsidP="008C4283"/>
    <w:p w:rsidR="00104DBB" w:rsidRPr="00F90DCD" w:rsidRDefault="00104DBB" w:rsidP="008C4283"/>
    <w:p w:rsidR="00104DBB" w:rsidRPr="00F90DCD" w:rsidRDefault="00104DBB" w:rsidP="008C4283"/>
    <w:p w:rsidR="00104DBB" w:rsidRPr="00F90DCD" w:rsidRDefault="00104DBB" w:rsidP="008C4283"/>
    <w:p w:rsidR="00104DBB" w:rsidRPr="00F90DCD" w:rsidRDefault="00104DBB" w:rsidP="008C4283"/>
    <w:p w:rsidR="00104DBB" w:rsidRPr="00F90DCD" w:rsidRDefault="00104DBB" w:rsidP="008C4283"/>
    <w:p w:rsidR="00104DBB" w:rsidRPr="00F90DCD" w:rsidRDefault="00104DBB" w:rsidP="008C4283"/>
    <w:p w:rsidR="00104DBB" w:rsidRPr="00F90DCD" w:rsidRDefault="00104DBB" w:rsidP="008C4283">
      <w:pPr>
        <w:pStyle w:val="Heading1"/>
        <w:numPr>
          <w:ilvl w:val="0"/>
          <w:numId w:val="0"/>
        </w:numPr>
        <w:ind w:left="1"/>
        <w:jc w:val="left"/>
      </w:pPr>
    </w:p>
    <w:p w:rsidR="00104DBB" w:rsidRPr="00F90DCD" w:rsidRDefault="003F6007" w:rsidP="008C4283">
      <w:pPr>
        <w:pStyle w:val="Heading2"/>
        <w:numPr>
          <w:ilvl w:val="0"/>
          <w:numId w:val="0"/>
        </w:numPr>
        <w:ind w:left="1"/>
        <w:jc w:val="left"/>
      </w:pPr>
      <w:r w:rsidRPr="00F90DCD">
        <w:t>ВВЕДЕНИЕ</w:t>
      </w:r>
    </w:p>
    <w:p w:rsidR="00104DBB" w:rsidRPr="00F90DCD" w:rsidRDefault="00104DBB" w:rsidP="008C4283"/>
    <w:p w:rsidR="00104DBB" w:rsidRPr="00F90DCD" w:rsidRDefault="003F6007" w:rsidP="008C4283">
      <w:pPr>
        <w:pStyle w:val="NewPara"/>
        <w:jc w:val="both"/>
      </w:pPr>
      <w:r w:rsidRPr="00F90DCD">
        <w:t xml:space="preserve">Седьмая сессия Подкомитета по </w:t>
      </w:r>
      <w:proofErr w:type="spellStart"/>
      <w:r w:rsidRPr="00F90DCD">
        <w:t>аквакультуре</w:t>
      </w:r>
      <w:proofErr w:type="spellEnd"/>
      <w:r w:rsidRPr="00F90DCD">
        <w:t xml:space="preserve"> прошла в Санкт-Петербурге, Российская Федерация, с 7 по 11 октября 2013 года по любезному приглашению правительства Российской Федерации. </w:t>
      </w:r>
      <w:proofErr w:type="gramStart"/>
      <w:r w:rsidRPr="00F90DCD">
        <w:t>Доклад о сессии представлен в качестве информационного документа (COFI:</w:t>
      </w:r>
      <w:proofErr w:type="gramEnd"/>
      <w:r w:rsidRPr="00F90DCD">
        <w:t>/AQ/VIII/2015/Inf.5).</w:t>
      </w:r>
    </w:p>
    <w:p w:rsidR="00104DBB" w:rsidRPr="00F90DCD" w:rsidRDefault="00104DBB" w:rsidP="008C4283"/>
    <w:p w:rsidR="00104DBB" w:rsidRPr="00F90DCD" w:rsidRDefault="00104DBB" w:rsidP="008C4283">
      <w:pPr>
        <w:pStyle w:val="Heading1"/>
        <w:numPr>
          <w:ilvl w:val="0"/>
          <w:numId w:val="0"/>
        </w:numPr>
        <w:ind w:left="1"/>
        <w:jc w:val="left"/>
      </w:pPr>
    </w:p>
    <w:p w:rsidR="00104DBB" w:rsidRPr="00F90DCD" w:rsidRDefault="003F6007" w:rsidP="008C4283">
      <w:pPr>
        <w:pStyle w:val="Heading2"/>
        <w:numPr>
          <w:ilvl w:val="0"/>
          <w:numId w:val="0"/>
        </w:numPr>
        <w:ind w:left="1"/>
        <w:jc w:val="left"/>
      </w:pPr>
      <w:r w:rsidRPr="00F90DCD">
        <w:t>ОСНОВНЫЕ РЕКОМЕНДАЦИИ И ПРЕДЛОЖЕНИЯ ПОДКОМИТЕТА</w:t>
      </w:r>
    </w:p>
    <w:p w:rsidR="00104DBB" w:rsidRPr="00F90DCD" w:rsidRDefault="00104DBB" w:rsidP="008C4283"/>
    <w:p w:rsidR="00104DBB" w:rsidRPr="00F90DCD" w:rsidRDefault="003F6007" w:rsidP="008C4283">
      <w:pPr>
        <w:pStyle w:val="NewPara"/>
        <w:jc w:val="both"/>
      </w:pPr>
      <w:proofErr w:type="gramStart"/>
      <w:r w:rsidRPr="00F90DCD">
        <w:t xml:space="preserve">Подкомитет высказал ряд предложений и рекомендаций, а также определил ряд приоритетных областей работы на будущее для обеспечения полного использования потенциала </w:t>
      </w:r>
      <w:proofErr w:type="spellStart"/>
      <w:r w:rsidRPr="00F90DCD">
        <w:t>аквакультуры</w:t>
      </w:r>
      <w:proofErr w:type="spellEnd"/>
      <w:r w:rsidRPr="00F90DCD">
        <w:t xml:space="preserve"> в целях формирования национальной, региональной и глобальной продовольственной безопасности, сокращения масштабов нищеты и обеспечения человеческого развития (см. COFI:</w:t>
      </w:r>
      <w:proofErr w:type="gramEnd"/>
      <w:r w:rsidRPr="00F90DCD">
        <w:t>AQ/VIII/2015/Inf.5).</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ФАО провела исследование, направленное на содействие в разработке системы показателей, которая сможет послужить руководством для стран, заинтересованных в проведении систематической оценки того, какими способами и в какой степени мелкомасштабная </w:t>
      </w:r>
      <w:proofErr w:type="spellStart"/>
      <w:r w:rsidRPr="00F90DCD">
        <w:t>аквакультура</w:t>
      </w:r>
      <w:proofErr w:type="spellEnd"/>
      <w:r w:rsidRPr="00F90DCD">
        <w:t xml:space="preserve"> (ММА) вносит вклад в развитие </w:t>
      </w:r>
      <w:proofErr w:type="spellStart"/>
      <w:r w:rsidRPr="00F90DCD">
        <w:t>аквакультуры</w:t>
      </w:r>
      <w:proofErr w:type="spellEnd"/>
      <w:r w:rsidRPr="00F90DCD">
        <w:t xml:space="preserve"> и источников сре</w:t>
      </w:r>
      <w:proofErr w:type="gramStart"/>
      <w:r w:rsidRPr="00F90DCD">
        <w:t>дств к с</w:t>
      </w:r>
      <w:proofErr w:type="gramEnd"/>
      <w:r w:rsidRPr="00F90DCD">
        <w:t>уществованию в сельских районах. Тематические исследования приносят неоценимо важные результаты, показывающие вклад ММА в устойчивое развитие сельских районов, однако в данном исследовании рассматривается процесс того, как была разработана система показателей и как были получены результаты. В нем приводятся данные, показывающие, что правительства могут проводить структурированные и систематические исследования, касающиеся вклада ММА, с измерением количественных показателей в своих странах. Кроме того, исследование показало, что после создания структурированной системы возможно формирование целого ряда инструментов,</w:t>
      </w:r>
      <w:r w:rsidR="00CA0E9F" w:rsidRPr="00F90DCD">
        <w:t xml:space="preserve"> примеров и возможных итогов.</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В соответствии со стратегической целью 3 ФАО по сокращению масштабов нищеты в сельской местности и, в частности, по обеспечению достойной занятости в сельских районах ФАО продолжила усиление работы по вопросам занятости и условий труда в области рыбного хозяйства и </w:t>
      </w:r>
      <w:proofErr w:type="spellStart"/>
      <w:r w:rsidRPr="00F90DCD">
        <w:t>аквакультуры</w:t>
      </w:r>
      <w:proofErr w:type="spellEnd"/>
      <w:r w:rsidRPr="00F90DCD">
        <w:t xml:space="preserve">. </w:t>
      </w:r>
      <w:proofErr w:type="gramStart"/>
      <w:r w:rsidRPr="00F90DCD">
        <w:t xml:space="preserve">Завершается работа над предварительным исследованием по вопросам достойного труда в области рыбного хозяйства и </w:t>
      </w:r>
      <w:proofErr w:type="spellStart"/>
      <w:r w:rsidRPr="00F90DCD">
        <w:t>аквакультуры</w:t>
      </w:r>
      <w:proofErr w:type="spellEnd"/>
      <w:r w:rsidRPr="00F90DCD">
        <w:t xml:space="preserve">, направленным на определение существующих международных трудовых норм, выявление основных вопросов и проблем, потребностей в информации, вероятных действий и возможностей сотрудничества между заинтересованными сторонами в целях обеспечения комплексного учета позиции ФАО по достойной занятости в сельской местности в работе над проблемами рыбного хозяйства и </w:t>
      </w:r>
      <w:proofErr w:type="spellStart"/>
      <w:r w:rsidRPr="00F90DCD">
        <w:t>аквакультуры</w:t>
      </w:r>
      <w:proofErr w:type="spellEnd"/>
      <w:r w:rsidRPr="00F90DCD">
        <w:t>, а</w:t>
      </w:r>
      <w:proofErr w:type="gramEnd"/>
      <w:r w:rsidRPr="00F90DCD">
        <w:t xml:space="preserve"> </w:t>
      </w:r>
      <w:proofErr w:type="gramStart"/>
      <w:r w:rsidRPr="00F90DCD">
        <w:t>такж</w:t>
      </w:r>
      <w:r w:rsidRPr="004C299A">
        <w:t xml:space="preserve">е </w:t>
      </w:r>
      <w:r w:rsidR="004C299A">
        <w:t xml:space="preserve">сотрудничества в рамках инициативы </w:t>
      </w:r>
      <w:r w:rsidRPr="00F90DCD">
        <w:t>ФАО "Голубой рост" (дополнительную информацию см. в документах COFI:</w:t>
      </w:r>
      <w:proofErr w:type="gramEnd"/>
      <w:r w:rsidRPr="00F90DCD">
        <w:t>AQ/VIII/2</w:t>
      </w:r>
      <w:r w:rsidR="00CA0E9F" w:rsidRPr="00F90DCD">
        <w:t>015/09 и COFI:</w:t>
      </w:r>
      <w:proofErr w:type="gramStart"/>
      <w:r w:rsidR="00CA0E9F" w:rsidRPr="00F90DCD">
        <w:t>AQ/VIII/2015/07).</w:t>
      </w:r>
      <w:proofErr w:type="gramEnd"/>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В рамках продолжающегося консультативного процесса в ходе тридцать первой сессии Комитета по рыбному хозяйству и </w:t>
      </w:r>
      <w:proofErr w:type="spellStart"/>
      <w:r w:rsidRPr="00F90DCD">
        <w:t>аквакультуре</w:t>
      </w:r>
      <w:proofErr w:type="spellEnd"/>
      <w:r w:rsidRPr="00F90DCD">
        <w:t xml:space="preserve"> (КРХ), проходившей с 9 по 13 июня 2014 года, было проведено параллельное мероприятие, приуроченное </w:t>
      </w:r>
      <w:proofErr w:type="gramStart"/>
      <w:r w:rsidRPr="00F90DCD">
        <w:t>ко</w:t>
      </w:r>
      <w:proofErr w:type="gramEnd"/>
      <w:r w:rsidRPr="00F90DCD">
        <w:t xml:space="preserve"> Всемирному дню борьбы с детск</w:t>
      </w:r>
      <w:r w:rsidR="003F3DA2">
        <w:t xml:space="preserve">им трудом, получившее название </w:t>
      </w:r>
      <w:r w:rsidR="003F3DA2" w:rsidRPr="00F90DCD">
        <w:t>«</w:t>
      </w:r>
      <w:r w:rsidRPr="00F90DCD">
        <w:t xml:space="preserve">Работа в рамках программы </w:t>
      </w:r>
      <w:r w:rsidR="003F3DA2">
        <w:t>"</w:t>
      </w:r>
      <w:r w:rsidRPr="00F90DCD">
        <w:t>Голубой рост</w:t>
      </w:r>
      <w:r w:rsidR="003F3DA2">
        <w:t>"</w:t>
      </w:r>
      <w:r w:rsidRPr="00F90DCD">
        <w:t xml:space="preserve">: почему важна достойная занятость в сфере рыбного хозяйства и </w:t>
      </w:r>
      <w:proofErr w:type="spellStart"/>
      <w:r w:rsidRPr="00F90DCD">
        <w:t>аквакультуры</w:t>
      </w:r>
      <w:proofErr w:type="spellEnd"/>
      <w:r w:rsidR="003F3DA2" w:rsidRPr="00F90DCD">
        <w:t>»</w:t>
      </w:r>
      <w:r w:rsidRPr="00F90DCD">
        <w:t xml:space="preserve">. В связи с Всемирным конгрессом производителей креветки, прошедшим в </w:t>
      </w:r>
      <w:proofErr w:type="spellStart"/>
      <w:r w:rsidRPr="00F90DCD">
        <w:t>Виго</w:t>
      </w:r>
      <w:proofErr w:type="spellEnd"/>
      <w:r w:rsidRPr="00F90DCD">
        <w:t xml:space="preserve">, Испания, 6 октября 2014 года, ФАО наряду с другими основными заинтересованными сторонами в области рыбного хозяйства и </w:t>
      </w:r>
      <w:proofErr w:type="spellStart"/>
      <w:r w:rsidRPr="00F90DCD">
        <w:t>аквакультуры</w:t>
      </w:r>
      <w:proofErr w:type="spellEnd"/>
      <w:r w:rsidRPr="00F90DCD">
        <w:t xml:space="preserve"> было предложено обсудить приоритетные вопросы и мероприятия, каса</w:t>
      </w:r>
      <w:r w:rsidR="00CA0E9F" w:rsidRPr="00F90DCD">
        <w:t>ющиеся условий труда в отрасли.</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На Региональной конференции ФАО для Африки 2014 года состоялось обсуждение проблем молодежи и развития </w:t>
      </w:r>
      <w:proofErr w:type="spellStart"/>
      <w:r w:rsidRPr="00F90DCD">
        <w:t>аквакультуры</w:t>
      </w:r>
      <w:proofErr w:type="spellEnd"/>
      <w:r w:rsidRPr="00F90DCD">
        <w:t xml:space="preserve"> и животноводства в Африке. Текущие инициативы ФАО направлены на обеспечение занятости и выявление возможностей трудоустройства молодежи в сфере </w:t>
      </w:r>
      <w:proofErr w:type="spellStart"/>
      <w:r w:rsidRPr="00F90DCD">
        <w:t>аквакультуры</w:t>
      </w:r>
      <w:proofErr w:type="spellEnd"/>
      <w:r w:rsidRPr="00F90DCD">
        <w:t xml:space="preserve"> за счет диверсификации сельскохозяйственной базы, в частности, в Бурунди, Кении, Либерии, Нигерии, Руанде, Сенегале и Уганде. В настоящее </w:t>
      </w:r>
      <w:r w:rsidRPr="00F90DCD">
        <w:lastRenderedPageBreak/>
        <w:t xml:space="preserve">время ФАО проводит исследование, в котором рассматриваются вопросы занятости и профилирования человеческих ресурсов в секторе </w:t>
      </w:r>
      <w:proofErr w:type="spellStart"/>
      <w:r w:rsidRPr="00F90DCD">
        <w:t>аквакультуры</w:t>
      </w:r>
      <w:proofErr w:type="spellEnd"/>
      <w:r w:rsidRPr="00F90DCD">
        <w:t xml:space="preserve"> и рыбного хозяйства Китая с целью определения связанных с рабочей силой издержек производства, а также </w:t>
      </w:r>
      <w:r w:rsidR="00955C75" w:rsidRPr="00F90DCD">
        <w:t>вклада сектора</w:t>
      </w:r>
      <w:r w:rsidR="00955C75" w:rsidRPr="00F90DCD">
        <w:t xml:space="preserve"> </w:t>
      </w:r>
      <w:r w:rsidR="00955C75">
        <w:t xml:space="preserve">в </w:t>
      </w:r>
      <w:r w:rsidRPr="00F90DCD">
        <w:t>социально-экономическо</w:t>
      </w:r>
      <w:r w:rsidR="00955C75">
        <w:t>е развитие</w:t>
      </w:r>
      <w:bookmarkStart w:id="4" w:name="_GoBack"/>
      <w:bookmarkEnd w:id="4"/>
      <w:r w:rsidRPr="00F90DCD">
        <w:t xml:space="preserve"> через создание рабочих мест.</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ФАО готовит первый доклад "О состоянии водных генетических ресурсов в мире для производства продовольствия и ведения сельского хозяйства</w:t>
      </w:r>
      <w:r w:rsidRPr="00194026">
        <w:t>" (СВГРМ)</w:t>
      </w:r>
      <w:r w:rsidRPr="00F90DCD">
        <w:t xml:space="preserve"> в рамках процесса, где ведущую роль играют страны. Он будет посвящен искусственно выращиваемым водным видам, а также их диким сородичам, обитающим в пределах национальной юрисдикции. Чтобы облегчить этот процесс, ФАО подготовила вопросник с целью подготовки национальных докладов для СВГРМ, который, как планируется, будет получен в декабре 2015 года. </w:t>
      </w:r>
      <w:proofErr w:type="gramStart"/>
      <w:r w:rsidRPr="00F90DCD">
        <w:t xml:space="preserve">В регионе Африки были проведены региональные практикумы по наращиванию потенциала для национальных координационных центров в сотрудничестве с Сетью центров по </w:t>
      </w:r>
      <w:proofErr w:type="spellStart"/>
      <w:r w:rsidRPr="00F90DCD">
        <w:t>аквакультуре</w:t>
      </w:r>
      <w:proofErr w:type="spellEnd"/>
      <w:r w:rsidRPr="00F90DCD">
        <w:t xml:space="preserve"> в Азиатско-Тихоокеанском регионе (НАКА) (Бангкок, март 2015 года), с Организацией Центральноамериканского перешейка по рыболовному сектору и </w:t>
      </w:r>
      <w:proofErr w:type="spellStart"/>
      <w:r w:rsidRPr="00F90DCD">
        <w:t>аквакультуре</w:t>
      </w:r>
      <w:proofErr w:type="spellEnd"/>
      <w:r w:rsidRPr="00F90DCD">
        <w:t xml:space="preserve"> (ОСПЕСКА) в регионе Латинской Америки и Карибского бассейна (Гватемала, май 2015 года) и с Организацией по рыболовству на озере Виктория (ОРОВ) (Энтеббе</w:t>
      </w:r>
      <w:proofErr w:type="gramEnd"/>
      <w:r w:rsidRPr="00F90DCD">
        <w:t xml:space="preserve">, июль 2015 года). Планируется, что первый доклад СВГРМ будет представлен в начале 2017 года на </w:t>
      </w:r>
      <w:r w:rsidR="003F3DA2">
        <w:br/>
      </w:r>
      <w:r w:rsidRPr="00F90DCD">
        <w:t xml:space="preserve">16-й очередной сессии Комиссии по генетическим ресурсам для производства продовольствия и ведения сельского хозяйства (КГРПСХ). Работа по подготовке доклада СВГРМ должна быть увязана с Кодексом ведения ответственного рыболовства ФАО и опираться на него. </w:t>
      </w:r>
      <w:proofErr w:type="gramStart"/>
      <w:r w:rsidRPr="00F90DCD">
        <w:t xml:space="preserve">Этот вопрос включен в повестку дня Консультативной рабочей группы по водным генетическим ресурсам и технологиям Комитета ФАО по рыбному хозяйству (КРХ), которая проводит свое первое совещание в Бразилиа с 1 по 2 октября 2015 года, в преддверии восьмой сессии Подкомитета по </w:t>
      </w:r>
      <w:proofErr w:type="spellStart"/>
      <w:r w:rsidRPr="00F90DCD">
        <w:t>аквакультуре</w:t>
      </w:r>
      <w:proofErr w:type="spellEnd"/>
      <w:r w:rsidRPr="00F90DCD">
        <w:t>.</w:t>
      </w:r>
      <w:proofErr w:type="gramEnd"/>
      <w:r w:rsidRPr="00F90DCD">
        <w:t xml:space="preserve"> Для содействия обмену информацией между КГРПСХ и консультативной рабочей группой пятнадцатой очередной сессии КГРПСХ были представлены соответствующие документы, а Секретариат КРХ регулярно представ</w:t>
      </w:r>
      <w:r w:rsidR="00CA0E9F" w:rsidRPr="00F90DCD">
        <w:t>ляет доклады бюро КРХ и КГРПСХ.</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proofErr w:type="gramStart"/>
      <w:r w:rsidRPr="00F90DCD">
        <w:t xml:space="preserve">В рамках стратегии по повышению устойчивости и экологических показателей сектора в ходе нормативной деятельности ФАО и с помощью непосредственного обучения осуществлялась деятельность по формированию потенциала для применения </w:t>
      </w:r>
      <w:proofErr w:type="spellStart"/>
      <w:r w:rsidRPr="00F90DCD">
        <w:t>экосистемного</w:t>
      </w:r>
      <w:proofErr w:type="spellEnd"/>
      <w:r w:rsidRPr="00F90DCD">
        <w:t xml:space="preserve"> подхода к </w:t>
      </w:r>
      <w:proofErr w:type="spellStart"/>
      <w:r w:rsidRPr="00F90DCD">
        <w:t>аквакультуре</w:t>
      </w:r>
      <w:proofErr w:type="spellEnd"/>
      <w:r w:rsidRPr="00F90DCD">
        <w:t xml:space="preserve"> (ЭПА), включая развитие </w:t>
      </w:r>
      <w:proofErr w:type="spellStart"/>
      <w:r w:rsidRPr="00F90DCD">
        <w:t>аквакультуры</w:t>
      </w:r>
      <w:proofErr w:type="spellEnd"/>
      <w:r w:rsidRPr="00F90DCD">
        <w:t xml:space="preserve"> как бизнеса в рамках ЭПА для отдельных стран Африки (Малави) и оказание помощи странам Центральной Америки (Никарагуа) в разработке и осуществлении планов управления в соответствии</w:t>
      </w:r>
      <w:proofErr w:type="gramEnd"/>
      <w:r w:rsidRPr="00F90DCD">
        <w:t xml:space="preserve"> с ЭПА. Восемь стран Центральной Америки прошли обучение и разработали планы управления разведением креветок в соответствии с </w:t>
      </w:r>
      <w:proofErr w:type="spellStart"/>
      <w:r w:rsidRPr="00F90DCD">
        <w:t>экосистемным</w:t>
      </w:r>
      <w:proofErr w:type="spellEnd"/>
      <w:r w:rsidRPr="00F90DCD">
        <w:t xml:space="preserve"> подходом к рыбному хозяйству и </w:t>
      </w:r>
      <w:proofErr w:type="spellStart"/>
      <w:r w:rsidRPr="00F90DCD">
        <w:t>аквакультуре</w:t>
      </w:r>
      <w:proofErr w:type="spellEnd"/>
      <w:r w:rsidRPr="00F90DCD">
        <w:t xml:space="preserve">. Было опубликовано пять докладов о различных процессах и накопленном опыте. Кроме того, </w:t>
      </w:r>
      <w:proofErr w:type="gramStart"/>
      <w:r w:rsidRPr="00F90DCD">
        <w:t>предпринимаются специальные усилия</w:t>
      </w:r>
      <w:proofErr w:type="gramEnd"/>
      <w:r w:rsidRPr="00F90DCD">
        <w:t xml:space="preserve"> по формированию потенциала с опорой на ЭПА путем включения ЭПА в качестве неотъемлемой части в территориальное планирование </w:t>
      </w:r>
      <w:proofErr w:type="spellStart"/>
      <w:r w:rsidRPr="00F90DCD">
        <w:t>аквакультуры</w:t>
      </w:r>
      <w:proofErr w:type="spellEnd"/>
      <w:r w:rsidRPr="00F90DCD">
        <w:t xml:space="preserve"> и проекты, касающиеся изменения климата.</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В рамках инициативы "Голубой рост" ФАО оказывает содействие Кении в развитии </w:t>
      </w:r>
      <w:proofErr w:type="spellStart"/>
      <w:r w:rsidRPr="00F90DCD">
        <w:t>марикультуры</w:t>
      </w:r>
      <w:proofErr w:type="spellEnd"/>
      <w:r w:rsidRPr="00F90DCD">
        <w:t xml:space="preserve"> с применением </w:t>
      </w:r>
      <w:proofErr w:type="spellStart"/>
      <w:r w:rsidRPr="00F90DCD">
        <w:t>экосистемного</w:t>
      </w:r>
      <w:proofErr w:type="spellEnd"/>
      <w:r w:rsidRPr="00F90DCD">
        <w:t xml:space="preserve"> подхода и </w:t>
      </w:r>
      <w:proofErr w:type="gramStart"/>
      <w:r w:rsidRPr="00F90DCD">
        <w:t>предпринимает усилия</w:t>
      </w:r>
      <w:proofErr w:type="gramEnd"/>
      <w:r w:rsidRPr="00F90DCD">
        <w:t xml:space="preserve"> по объединению сектора с рыбным хозяйством и </w:t>
      </w:r>
      <w:proofErr w:type="spellStart"/>
      <w:r w:rsidRPr="00F90DCD">
        <w:t>аквакультурой</w:t>
      </w:r>
      <w:proofErr w:type="spellEnd"/>
      <w:r w:rsidRPr="00F90DCD">
        <w:t>, туризмом, лесным хозяйством и други</w:t>
      </w:r>
      <w:r w:rsidR="003F3DA2">
        <w:t>ми отраслями –</w:t>
      </w:r>
      <w:r w:rsidRPr="00F90DCD">
        <w:t xml:space="preserve"> пользователями водосборных бассейнов и прибрежных зон, включая работу по урегулированию конфликтов в сфере владения землей.</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proofErr w:type="gramStart"/>
      <w:r w:rsidRPr="00F90DCD">
        <w:t xml:space="preserve">В период с 26 по 28 января 2015 года в штаб-квартире ФАО в Риме состоялась глобальная конференция по внутреннему рыбному промыслу (www.inlandfisheries.org), организованная совместно с Университетом штата Мичиган, Соединенные Штаты Америки, на </w:t>
      </w:r>
      <w:r w:rsidRPr="00F90DCD">
        <w:lastRenderedPageBreak/>
        <w:t xml:space="preserve">которой было представлено множество материалов в поддержку </w:t>
      </w:r>
      <w:proofErr w:type="spellStart"/>
      <w:r w:rsidRPr="00F90DCD">
        <w:t>экосистемного</w:t>
      </w:r>
      <w:proofErr w:type="spellEnd"/>
      <w:r w:rsidRPr="00F90DCD">
        <w:t xml:space="preserve"> подхода, в соответствии с которым признается потенциал </w:t>
      </w:r>
      <w:proofErr w:type="spellStart"/>
      <w:r w:rsidRPr="00F90DCD">
        <w:t>аквакультуры</w:t>
      </w:r>
      <w:proofErr w:type="spellEnd"/>
      <w:r w:rsidRPr="00F90DCD">
        <w:t xml:space="preserve"> в области продовольственной безопасности и обеспечения источников средств к существованию</w:t>
      </w:r>
      <w:proofErr w:type="gramEnd"/>
      <w:r w:rsidRPr="00F90DCD">
        <w:t>. ФАО и Университет вступили в официальные партнерские отношения.</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ФАО в сотрудничестве с различными заинтересованными сторонами содействует государственно-частным партнерствам в ряде стран, в частности, с помощью нескольких программ технического сотрудничества (Бангладеш</w:t>
      </w:r>
      <w:r w:rsidRPr="00F90DCD">
        <w:rPr>
          <w:rStyle w:val="FootnoteReference"/>
          <w:rFonts w:cs="Akhbar MT"/>
          <w:smallCaps w:val="0"/>
          <w:sz w:val="18"/>
        </w:rPr>
        <w:footnoteReference w:id="1"/>
      </w:r>
      <w:r w:rsidRPr="00F90DCD">
        <w:t>, Кыргызстан</w:t>
      </w:r>
      <w:r w:rsidRPr="00F90DCD">
        <w:rPr>
          <w:rStyle w:val="FootnoteReference"/>
          <w:rFonts w:cs="Akhbar MT"/>
          <w:smallCaps w:val="0"/>
          <w:sz w:val="18"/>
        </w:rPr>
        <w:footnoteReference w:id="2"/>
      </w:r>
      <w:r w:rsidRPr="00F90DCD">
        <w:t>, Шри-Ланка</w:t>
      </w:r>
      <w:r w:rsidRPr="00F90DCD">
        <w:rPr>
          <w:rStyle w:val="FootnoteReference"/>
          <w:rFonts w:cs="Akhbar MT"/>
          <w:smallCaps w:val="0"/>
          <w:sz w:val="18"/>
        </w:rPr>
        <w:footnoteReference w:id="3"/>
      </w:r>
      <w:r w:rsidRPr="00F90DCD">
        <w:t>) и программы сотрудничества с правительством (Кыргызстан</w:t>
      </w:r>
      <w:r w:rsidRPr="00F90DCD">
        <w:rPr>
          <w:rStyle w:val="FootnoteReference"/>
          <w:rFonts w:cs="Akhbar MT"/>
          <w:smallCaps w:val="0"/>
          <w:sz w:val="18"/>
        </w:rPr>
        <w:footnoteReference w:id="4"/>
      </w:r>
      <w:r w:rsidRPr="00F90DCD">
        <w:t xml:space="preserve">). Основной целью этих проектов является разработка </w:t>
      </w:r>
      <w:proofErr w:type="gramStart"/>
      <w:r w:rsidRPr="00F90DCD">
        <w:t>бизнес-моделей</w:t>
      </w:r>
      <w:proofErr w:type="gramEnd"/>
      <w:r w:rsidRPr="00F90DCD">
        <w:t>, позволяющих государственным ведомствам, ответственным за рыбное хозяйство (или соответствующим учреждениям) работать в тесном сотрудничестве с частным сектором (например, ассоциациями производителей рыбопосадочного материала/кормов) в области производства и распределения рыбопосадочного материала и кормов.</w:t>
      </w:r>
    </w:p>
    <w:p w:rsidR="00104DBB" w:rsidRPr="00F90DCD" w:rsidRDefault="003F6007" w:rsidP="008C4283">
      <w:pPr>
        <w:pStyle w:val="NewPara"/>
        <w:jc w:val="both"/>
      </w:pPr>
      <w:r w:rsidRPr="00F90DCD">
        <w:t xml:space="preserve">Разведение морских водорослей, а также выращивание других, более ценных видов, таких как голубой краб и белянка, обладает значительным потенциалом по повышению социально-экономического статуса прибрежных сообществ. Однако в прибрежных сообществах Африки деятельность по разведению этих видов остается в значительной степени ограниченной, так как эти сообщества не имеют возможности заниматься альтернативными, более прибыльными видами экономической деятельности. Низкий доход, получаемый от разведения морских водорослей, который зачастую гораздо ниже минимальной заработной платы, остается серьезной проблемой в странах Африки, где население занимается разведением морских водорослей. ФАО продолжает оказывать техническую помощь в развитии таких отраслей, как разведение морских водорослей, голубого краба и белянки в Африке, в рамках различных проектов, осуществляемых, например, в Объединенной Республике Танзания (Занзибар) и Кении, с использованием ряда источников финансирования. Для направления технической, финансовой и прочей помощи Африке из регионов с более высокоразвитыми отраслями сектора </w:t>
      </w:r>
      <w:proofErr w:type="spellStart"/>
      <w:r w:rsidRPr="00F90DCD">
        <w:t>аквакультуры</w:t>
      </w:r>
      <w:proofErr w:type="spellEnd"/>
      <w:r w:rsidRPr="00F90DCD">
        <w:t xml:space="preserve"> (например, в Азии) можно шире использовать сотрудничество Юг-Юг в рамках ФАО.</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В межсессионный период посредством таких механизмов, как проекты, реализуемые в рамках программы технического сотрудничества (ПТС), Односторонний целевой фонд и другие проекты/мероприятия, финансируемые донорами, членами ФАО и региональными </w:t>
      </w:r>
      <w:proofErr w:type="spellStart"/>
      <w:r w:rsidRPr="00F90DCD">
        <w:t>рыбохозяйственными</w:t>
      </w:r>
      <w:proofErr w:type="spellEnd"/>
      <w:r w:rsidRPr="00F90DCD">
        <w:t xml:space="preserve"> органами, был осуществлен ряд мероприятий по охране здоровья водных животных (ОЗВЖ). Содействие ок</w:t>
      </w:r>
      <w:r w:rsidR="00CA0E9F" w:rsidRPr="00F90DCD">
        <w:t>азывается на следующих уровнях:</w:t>
      </w:r>
    </w:p>
    <w:p w:rsidR="00104DBB" w:rsidRPr="00F90DCD" w:rsidRDefault="0002180E" w:rsidP="008C4283">
      <w:pPr>
        <w:pStyle w:val="BulletList"/>
      </w:pPr>
      <w:proofErr w:type="gramStart"/>
      <w:r>
        <w:t>национальный –</w:t>
      </w:r>
      <w:r w:rsidR="003F6007" w:rsidRPr="00F90DCD">
        <w:t xml:space="preserve"> например, национальные ПТС для Индонезии, Малайзии, Суринама, Вьетнама; </w:t>
      </w:r>
      <w:proofErr w:type="gramEnd"/>
    </w:p>
    <w:p w:rsidR="00104DBB" w:rsidRPr="00F90DCD" w:rsidRDefault="0002180E" w:rsidP="008C4283">
      <w:pPr>
        <w:pStyle w:val="BulletList"/>
      </w:pPr>
      <w:proofErr w:type="gramStart"/>
      <w:r>
        <w:t>субрегиональный –</w:t>
      </w:r>
      <w:r w:rsidR="003F6007" w:rsidRPr="00F90DCD">
        <w:t xml:space="preserve"> регион </w:t>
      </w:r>
      <w:proofErr w:type="spellStart"/>
      <w:r w:rsidR="003F6007" w:rsidRPr="00F90DCD">
        <w:t>Мозамбикского</w:t>
      </w:r>
      <w:proofErr w:type="spellEnd"/>
      <w:r w:rsidR="003F6007" w:rsidRPr="00F90DCD">
        <w:t xml:space="preserve"> пролива, т.е. Мадагаскар, Мозамбик, Объединенная Республика Танзания; </w:t>
      </w:r>
      <w:proofErr w:type="gramEnd"/>
    </w:p>
    <w:p w:rsidR="00104DBB" w:rsidRPr="00F90DCD" w:rsidRDefault="0002180E" w:rsidP="008C4283">
      <w:pPr>
        <w:pStyle w:val="BulletList"/>
      </w:pPr>
      <w:proofErr w:type="gramStart"/>
      <w:r>
        <w:lastRenderedPageBreak/>
        <w:t>региональный –</w:t>
      </w:r>
      <w:r w:rsidR="003F6007" w:rsidRPr="00F90DCD">
        <w:t xml:space="preserve"> например, региональные ПТС с участием пяти стран в западной части Балканского региона и проект Одностороннего целевого фонда с участием 15 стран, входящих в Сообщество по вопросам развития стран юга Африки, или региона САДК; и</w:t>
      </w:r>
      <w:proofErr w:type="gramEnd"/>
    </w:p>
    <w:p w:rsidR="00104DBB" w:rsidRPr="00F90DCD" w:rsidRDefault="0002180E" w:rsidP="008C4283">
      <w:pPr>
        <w:pStyle w:val="BulletList"/>
      </w:pPr>
      <w:proofErr w:type="gramStart"/>
      <w:r>
        <w:t>межрегиональный</w:t>
      </w:r>
      <w:proofErr w:type="gramEnd"/>
      <w:r>
        <w:t xml:space="preserve"> –</w:t>
      </w:r>
      <w:r w:rsidR="003F6007" w:rsidRPr="00F90DCD">
        <w:t xml:space="preserve"> например, межрегиональные ПТС для Азии, а также Латинской Америки и Карибского бассейна. </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Диапазон помощи включает изучение вспышек заболеваний (Демократическая Республика Конго и Вьетнам), разработку субрегиональной или региональной стратегии в области ОЗВЖ/</w:t>
      </w:r>
      <w:proofErr w:type="spellStart"/>
      <w:r w:rsidRPr="00F90DCD">
        <w:t>биоконтроля</w:t>
      </w:r>
      <w:proofErr w:type="spellEnd"/>
      <w:r w:rsidRPr="00F90DCD">
        <w:t>, разработку национальных стратегий по ОЗВЖ, а также формирование потенциала по различным аспектам ОЗВЖ, таким как анализ рисков, диагностика заболеваний, наблюдения и обеспечение готовности к чрезвычайным ситуациям.</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ФАО осуществила ряд инициатив по </w:t>
      </w:r>
      <w:proofErr w:type="spellStart"/>
      <w:r w:rsidRPr="00F90DCD">
        <w:t>аквакультуре</w:t>
      </w:r>
      <w:proofErr w:type="spellEnd"/>
      <w:r w:rsidRPr="00F90DCD">
        <w:t xml:space="preserve"> в пустынных и за</w:t>
      </w:r>
      <w:r w:rsidR="0002180E">
        <w:t xml:space="preserve">сушливых районах, в том числе: </w:t>
      </w:r>
      <w:r w:rsidRPr="00F90DCD">
        <w:t xml:space="preserve">i) опубликовала техническое руководство по малой </w:t>
      </w:r>
      <w:proofErr w:type="spellStart"/>
      <w:r w:rsidRPr="00F90DCD">
        <w:t>аквапонике</w:t>
      </w:r>
      <w:proofErr w:type="spellEnd"/>
      <w:r w:rsidRPr="00F90DCD">
        <w:rPr>
          <w:rStyle w:val="FootnoteReference"/>
          <w:rFonts w:cs="Akhbar MT"/>
          <w:smallCaps w:val="0"/>
          <w:sz w:val="18"/>
        </w:rPr>
        <w:footnoteReference w:id="5"/>
      </w:r>
      <w:r w:rsidR="0002180E">
        <w:t xml:space="preserve">; </w:t>
      </w:r>
      <w:proofErr w:type="spellStart"/>
      <w:proofErr w:type="gramStart"/>
      <w:r w:rsidRPr="00F90DCD">
        <w:t>ii</w:t>
      </w:r>
      <w:proofErr w:type="spellEnd"/>
      <w:r w:rsidRPr="00F90DCD">
        <w:t xml:space="preserve">) реализовала проекты ПТС по развитию </w:t>
      </w:r>
      <w:proofErr w:type="spellStart"/>
      <w:r w:rsidRPr="00F90DCD">
        <w:t>аквакультуры</w:t>
      </w:r>
      <w:proofErr w:type="spellEnd"/>
      <w:r w:rsidRPr="00F90DCD">
        <w:t xml:space="preserve"> в засушливых зонах (Алжир, Египет, Иордания, Судан и Сирийская Арабская Республика) с использованием таких видов, как карп, прочие карповые и </w:t>
      </w:r>
      <w:proofErr w:type="spellStart"/>
      <w:r w:rsidRPr="00F90DCD">
        <w:t>тилапия</w:t>
      </w:r>
      <w:proofErr w:type="spellEnd"/>
      <w:r w:rsidRPr="00F90DCD">
        <w:t xml:space="preserve">, и с ориентацией на использование доступных на месте ингредиентов для производства кормов для хозяйств </w:t>
      </w:r>
      <w:proofErr w:type="spellStart"/>
      <w:r w:rsidRPr="00F90DCD">
        <w:t>аквакультуры</w:t>
      </w:r>
      <w:proofErr w:type="spellEnd"/>
      <w:r w:rsidRPr="00F90DCD">
        <w:t>;</w:t>
      </w:r>
      <w:proofErr w:type="gramEnd"/>
      <w:r w:rsidRPr="00F90DCD">
        <w:t xml:space="preserve"> а также </w:t>
      </w:r>
      <w:proofErr w:type="spellStart"/>
      <w:r w:rsidRPr="00F90DCD">
        <w:t>iii</w:t>
      </w:r>
      <w:proofErr w:type="spellEnd"/>
      <w:r w:rsidRPr="00F90DCD">
        <w:t>) разработала предложения по проектам, которые будут реализованы в рамках Региональной инициативы ФАО по решению проблемы нехватки воды на Ближнем Востоке и в Северной Африке.</w:t>
      </w:r>
    </w:p>
    <w:p w:rsidR="00104DBB" w:rsidRPr="00F90DCD" w:rsidRDefault="00104DBB" w:rsidP="008C4283"/>
    <w:p w:rsidR="00104DBB" w:rsidRPr="00F90DCD" w:rsidRDefault="003F6007" w:rsidP="008C4283">
      <w:pPr>
        <w:pStyle w:val="Heading2"/>
        <w:numPr>
          <w:ilvl w:val="0"/>
          <w:numId w:val="0"/>
        </w:numPr>
        <w:ind w:left="1"/>
        <w:jc w:val="left"/>
      </w:pPr>
      <w:r w:rsidRPr="00F90DCD">
        <w:t xml:space="preserve">ОТЧЕТ О ХОДЕ ВЫПОЛНЕНИЯ ПОЛОЖЕНИЙ КОДЕКСА ВЕДЕНИЯ ОТВЕТСТВЕННОГО РЫБОЛОВСТВА (КВОР), КАСАЮЩИХСЯ АКВАКУЛЬТУРЫ И РЫБОВОДСТВА, В РАМКАХ НОВОЙ СИСТЕМЫ ОТЧЕТНОСТИ </w:t>
      </w:r>
    </w:p>
    <w:p w:rsidR="00104DBB" w:rsidRPr="00F90DCD" w:rsidRDefault="00104DBB" w:rsidP="008C4283"/>
    <w:p w:rsidR="00104DBB" w:rsidRPr="00F90DCD" w:rsidRDefault="003F6007" w:rsidP="008C4283">
      <w:pPr>
        <w:pStyle w:val="NewPara"/>
      </w:pPr>
      <w:r w:rsidRPr="00F90DCD">
        <w:t xml:space="preserve">ФАО предприняла значительные усилия по вводу в действие нового вопросника для представления отчетности о выполнении Кодекса ведения ответственного рыболовства (КВОР) и положений, относящихся к </w:t>
      </w:r>
      <w:proofErr w:type="spellStart"/>
      <w:r w:rsidRPr="00F90DCD">
        <w:t>аквакультуре</w:t>
      </w:r>
      <w:proofErr w:type="spellEnd"/>
      <w:r w:rsidRPr="00F90DCD">
        <w:t xml:space="preserve"> и рыбоводству. Новый интернет-вопросник используется с начала марта 2015 года и получил положительную оценку со стороны членов. Эта новая система позволит повысить качество диалога между ФАО и странами, и есть надежда, что вопросник превратится в эффективный инструмент </w:t>
      </w:r>
      <w:proofErr w:type="gramStart"/>
      <w:r w:rsidRPr="00F90DCD">
        <w:t>оценки</w:t>
      </w:r>
      <w:proofErr w:type="gramEnd"/>
      <w:r w:rsidRPr="00F90DCD">
        <w:t xml:space="preserve"> и будет способствовать улучшению показателей в области </w:t>
      </w:r>
      <w:proofErr w:type="spellStart"/>
      <w:r w:rsidRPr="00F90DCD">
        <w:t>аквакультуры</w:t>
      </w:r>
      <w:proofErr w:type="spellEnd"/>
      <w:r w:rsidRPr="00F90DCD">
        <w:t>.</w:t>
      </w:r>
    </w:p>
    <w:p w:rsidR="00104DBB" w:rsidRPr="00F90DCD" w:rsidRDefault="00104DBB" w:rsidP="008C4283">
      <w:pPr>
        <w:pStyle w:val="NewPara"/>
        <w:numPr>
          <w:ilvl w:val="0"/>
          <w:numId w:val="0"/>
        </w:numPr>
      </w:pPr>
    </w:p>
    <w:p w:rsidR="00104DBB" w:rsidRPr="00F90DCD" w:rsidRDefault="003F6007" w:rsidP="008C4283">
      <w:pPr>
        <w:pStyle w:val="NewPara"/>
      </w:pPr>
      <w:r w:rsidRPr="00F90DCD">
        <w:t xml:space="preserve">В ходе этой сессии Подкомитета по </w:t>
      </w:r>
      <w:proofErr w:type="spellStart"/>
      <w:r w:rsidRPr="00F90DCD">
        <w:t>аквакультуре</w:t>
      </w:r>
      <w:proofErr w:type="spellEnd"/>
      <w:r w:rsidRPr="00F90DCD">
        <w:t xml:space="preserve"> будут проанализированы результаты, полученные с применением нового вопросника. При наличии достаточных ресурсов ФАО будет оказывать техническую поддержку, направленную на обеспечение выполнения рекомендаций членов относительно учебных мероприятий по использованию вопросника и расширения его применения в качестве инструмента самооценки.</w:t>
      </w:r>
    </w:p>
    <w:p w:rsidR="00104DBB" w:rsidRPr="00F90DCD" w:rsidRDefault="00104DBB" w:rsidP="008C4283">
      <w:pPr>
        <w:pStyle w:val="NewPara"/>
        <w:numPr>
          <w:ilvl w:val="0"/>
          <w:numId w:val="0"/>
        </w:numPr>
      </w:pPr>
    </w:p>
    <w:p w:rsidR="00104DBB" w:rsidRPr="00F90DCD" w:rsidRDefault="003F6007" w:rsidP="008C4283">
      <w:pPr>
        <w:pStyle w:val="Heading2"/>
        <w:numPr>
          <w:ilvl w:val="0"/>
          <w:numId w:val="0"/>
        </w:numPr>
        <w:ind w:left="1"/>
        <w:jc w:val="left"/>
      </w:pPr>
      <w:r w:rsidRPr="00F90DCD">
        <w:lastRenderedPageBreak/>
        <w:t xml:space="preserve">ПРОЕКТ СТРАТЕГИЧЕСКОГО МЕХАНИЗМА ПОВЫШЕНИЯ РОЛИ ПОДКОМИТЕТА КРХ ПО АКВАКУЛЬТУРЕ В АКТИВИЗАЦИИ РАЗВИТИЯ АКВАКУЛЬТУРЫ </w:t>
      </w:r>
    </w:p>
    <w:p w:rsidR="00104DBB" w:rsidRPr="00F90DCD" w:rsidRDefault="00104DBB" w:rsidP="008C4283"/>
    <w:p w:rsidR="00104DBB" w:rsidRPr="00F90DCD" w:rsidRDefault="003F6007" w:rsidP="008C4283">
      <w:pPr>
        <w:pStyle w:val="NewPara"/>
        <w:jc w:val="both"/>
      </w:pPr>
      <w:r w:rsidRPr="00F90DCD">
        <w:t xml:space="preserve">По поручению Подкомитета по </w:t>
      </w:r>
      <w:proofErr w:type="spellStart"/>
      <w:r w:rsidRPr="00F90DCD">
        <w:t>аквакультуре</w:t>
      </w:r>
      <w:proofErr w:type="spellEnd"/>
      <w:r w:rsidRPr="00F90DCD">
        <w:t xml:space="preserve"> Секретариат подготовил рабочий документ (COFI/AQ/VIII/2015/5), в котором представлена информация по региональным приоритетным направлениям в области </w:t>
      </w:r>
      <w:proofErr w:type="spellStart"/>
      <w:r w:rsidRPr="00F90DCD">
        <w:t>аквакультуры</w:t>
      </w:r>
      <w:proofErr w:type="spellEnd"/>
      <w:r w:rsidRPr="00F90DCD">
        <w:t xml:space="preserve"> в качестве сопроводительного материала для обсуждения, посвященного подготовке стратегического механизма. В связи с ограниченностью финансовых ресурсов эта работа была проведена в виде серии региональных теоретических исследований на основе находящейся в общем доступе и документально оформленной информации по приоритетам. </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В период с 1 по 2 декабря 2014 года Секретариат организовал внеочередную сессию Комитета по рыболовству и </w:t>
      </w:r>
      <w:proofErr w:type="spellStart"/>
      <w:r w:rsidRPr="00F90DCD">
        <w:t>аквакультуре</w:t>
      </w:r>
      <w:proofErr w:type="spellEnd"/>
      <w:r w:rsidRPr="00F90DCD">
        <w:t xml:space="preserve"> во внутренних водоемах Африки (CIFAA) в Лусаке, Замбия, с </w:t>
      </w:r>
      <w:proofErr w:type="gramStart"/>
      <w:r w:rsidRPr="00F90DCD">
        <w:t>тем</w:t>
      </w:r>
      <w:proofErr w:type="gramEnd"/>
      <w:r w:rsidRPr="00F90DCD">
        <w:t xml:space="preserve"> чтобы предоставить членам возможность принять решение о будущей деятельности Комитета, который сталкивается с множеством проблем, ограничивающих его эффективность, препятствующих деятельности по выполнению его обязательств и угрожающих его существованию. На сессии члены решили осуществлять деятельность CIFAA как органа, созданного согласно Статье VI Устава ФАО, и рекомендовали провести обзор уставных документов и правил процедуры CIFAA, с </w:t>
      </w:r>
      <w:proofErr w:type="gramStart"/>
      <w:r w:rsidRPr="00F90DCD">
        <w:t>тем</w:t>
      </w:r>
      <w:proofErr w:type="gramEnd"/>
      <w:r w:rsidRPr="00F90DCD">
        <w:t xml:space="preserve"> чтобы дать Комитету возможность решать конкретные технические и научные вопросы. Для дальнейшей работы по укреплению Комитета была создана рабочая группа по рассмотрению уставных документов и правил процедуры CIFAA. Затем, 10-11 марта 2015 года, состоялось совещание этой рабочей группы в Аддис-Абебе, Эфиопия, на </w:t>
      </w:r>
      <w:proofErr w:type="gramStart"/>
      <w:r w:rsidRPr="00F90DCD">
        <w:t>котором</w:t>
      </w:r>
      <w:proofErr w:type="gramEnd"/>
      <w:r w:rsidRPr="00F90DCD">
        <w:t xml:space="preserve"> присутствовавшие члены подчеркнули, что страны должны взять на себя обязательство повысить эффективность и функциональность CIFAA посредством участия в сессиях и внесения вклада в финансирование мероприятий с помощью Одностороннего целевого фонда, который планируется создать. Для дальнейшего обсуждения этого вопроса рабочая группа примет участие в специальной сессии CIFAA, организованной в период с 14 по 15 июля 2015 года в Дакаре, Сенегал.</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ФАО продолжает поддержку институционального и политического укрепления Африки для устойчивого развития </w:t>
      </w:r>
      <w:proofErr w:type="spellStart"/>
      <w:r w:rsidRPr="00F90DCD">
        <w:t>аквакультуры</w:t>
      </w:r>
      <w:proofErr w:type="spellEnd"/>
      <w:r w:rsidRPr="00F90DCD">
        <w:t xml:space="preserve">, в частности, путем оказания содействия членам Сети </w:t>
      </w:r>
      <w:proofErr w:type="spellStart"/>
      <w:r w:rsidRPr="00F90DCD">
        <w:t>аквакультуры</w:t>
      </w:r>
      <w:proofErr w:type="spellEnd"/>
      <w:r w:rsidRPr="00F90DCD">
        <w:t xml:space="preserve"> для Африки (АНАФ) в преобразовании АНАФ в межправительственную организацию. Последним важным импульсом к развитию </w:t>
      </w:r>
      <w:proofErr w:type="spellStart"/>
      <w:r w:rsidRPr="00F90DCD">
        <w:t>аквакультуры</w:t>
      </w:r>
      <w:proofErr w:type="spellEnd"/>
      <w:r w:rsidRPr="00F90DCD">
        <w:t xml:space="preserve"> в Африке является политическая поддержка сектора, оказываемая в соответствии с решениями Второй конференции министров рыбного хозяйства и </w:t>
      </w:r>
      <w:proofErr w:type="spellStart"/>
      <w:r w:rsidRPr="00F90DCD">
        <w:t>аквакультуры</w:t>
      </w:r>
      <w:proofErr w:type="spellEnd"/>
      <w:r w:rsidRPr="00F90DCD">
        <w:t xml:space="preserve"> стран Африки. Конференция была организована в апреле 2014 года Департаментом экономики сельских районов и сельского хозяйства Комиссии Африканского союза в сотрудничестве с Агентством по планированию и координации НЕПАД, а также при поддержке ФАО в рамках финансируемой СИДА</w:t>
      </w:r>
      <w:r w:rsidRPr="00F90DCD">
        <w:rPr>
          <w:rStyle w:val="FootnoteReference"/>
          <w:rFonts w:cs="Akhbar MT"/>
          <w:smallCaps w:val="0"/>
          <w:sz w:val="18"/>
        </w:rPr>
        <w:footnoteReference w:id="6"/>
      </w:r>
      <w:r w:rsidRPr="00F90DCD">
        <w:t xml:space="preserve"> Рыбной программы НЕПАД-ФАО, осуществляемой в Эфиопии. </w:t>
      </w:r>
      <w:proofErr w:type="gramStart"/>
      <w:r w:rsidRPr="00F90DCD">
        <w:t xml:space="preserve">Конференция одобрила общие принципы политики Африканского союза и стратегию реформ в секторе рыбного хозяйства и </w:t>
      </w:r>
      <w:proofErr w:type="spellStart"/>
      <w:r w:rsidRPr="00F90DCD">
        <w:t>аквакультуры</w:t>
      </w:r>
      <w:proofErr w:type="spellEnd"/>
      <w:r w:rsidRPr="00F90DCD">
        <w:t xml:space="preserve"> в Африке и признала потенциал сектора </w:t>
      </w:r>
      <w:proofErr w:type="spellStart"/>
      <w:r w:rsidRPr="00F90DCD">
        <w:t>аквакультуры</w:t>
      </w:r>
      <w:proofErr w:type="spellEnd"/>
      <w:r w:rsidRPr="00F90DCD">
        <w:t xml:space="preserve"> по созданию экономических и социальных благ и содействию развитию африканской экономики, а также важность рыбы и рыбных продуктов для продовольственной и пищевой безопасности и обеспечения источников средств к существованию.</w:t>
      </w:r>
      <w:proofErr w:type="gramEnd"/>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Нескольким членам в африканском регионе было оказано содействие при посредстве Одностороннего целевого фонда и проектов в рамках ПТС. </w:t>
      </w:r>
      <w:proofErr w:type="gramStart"/>
      <w:r w:rsidRPr="00F90DCD">
        <w:t xml:space="preserve">Примерами такой </w:t>
      </w:r>
      <w:r w:rsidR="0002180E">
        <w:t xml:space="preserve">работы, в частности, являются: </w:t>
      </w:r>
      <w:r w:rsidRPr="00F90DCD">
        <w:t xml:space="preserve">i) "Содействие диверсификации сельского хозяйства для сокращения </w:t>
      </w:r>
      <w:r w:rsidRPr="00F90DCD">
        <w:lastRenderedPageBreak/>
        <w:t>масштабов нищеты, борьбы с недоеданием и расширения возможностей трудоустройства молодежи в четы</w:t>
      </w:r>
      <w:r w:rsidR="0002180E">
        <w:t xml:space="preserve">рех странах Восточной Африки"; </w:t>
      </w:r>
      <w:proofErr w:type="spellStart"/>
      <w:r w:rsidRPr="00F90DCD">
        <w:t>ii</w:t>
      </w:r>
      <w:proofErr w:type="spellEnd"/>
      <w:r w:rsidRPr="00F90DCD">
        <w:t xml:space="preserve">) "Укрепление контроля за безопасностью пищевых продуктов, вредителями и болезнями животных для повышения продуктивности сельского хозяйства и торговли, включая </w:t>
      </w:r>
      <w:proofErr w:type="spellStart"/>
      <w:r w:rsidRPr="00F90DCD">
        <w:t>аквакультуру</w:t>
      </w:r>
      <w:proofErr w:type="spellEnd"/>
      <w:r w:rsidRPr="00F90DCD">
        <w:t>, в восьм</w:t>
      </w:r>
      <w:r w:rsidR="0002180E">
        <w:t>и странах южной части Африки";</w:t>
      </w:r>
      <w:proofErr w:type="gramEnd"/>
      <w:r w:rsidR="0002180E">
        <w:t xml:space="preserve"> </w:t>
      </w:r>
      <w:proofErr w:type="spellStart"/>
      <w:proofErr w:type="gramStart"/>
      <w:r w:rsidRPr="00F90DCD">
        <w:t>iii</w:t>
      </w:r>
      <w:proofErr w:type="spellEnd"/>
      <w:r w:rsidRPr="00F90DCD">
        <w:t xml:space="preserve">) "Создание возможностей для трудоустройства молодежи в агропромышленном комплексе с помощью устойчивых систем </w:t>
      </w:r>
      <w:proofErr w:type="spellStart"/>
      <w:r w:rsidRPr="00F90DCD">
        <w:t>аквакультуры</w:t>
      </w:r>
      <w:proofErr w:type="spellEnd"/>
      <w:r w:rsidRPr="00F90DCD">
        <w:t xml:space="preserve"> и цепочек создания стоимости маниоки в шести странах Западной Африки"; </w:t>
      </w:r>
      <w:proofErr w:type="spellStart"/>
      <w:r w:rsidRPr="00F90DCD">
        <w:t>iv</w:t>
      </w:r>
      <w:proofErr w:type="spellEnd"/>
      <w:r w:rsidRPr="00F90DCD">
        <w:t xml:space="preserve">) "Поддержка </w:t>
      </w:r>
      <w:proofErr w:type="spellStart"/>
      <w:r w:rsidRPr="00F90DCD">
        <w:t>аквакультуры</w:t>
      </w:r>
      <w:proofErr w:type="spellEnd"/>
      <w:r w:rsidRPr="00F90DCD">
        <w:t xml:space="preserve"> как бизнеса" в трех странах Восточной Африки; и v) разработка национальных стратегий и планов развития рыбного хозяйства в Восточной и Южной Африке.</w:t>
      </w:r>
      <w:proofErr w:type="gramEnd"/>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В странах Ближнего Востока и Северной Африки ФАО продолжила оказывать поддержку устойчивому развитию </w:t>
      </w:r>
      <w:proofErr w:type="spellStart"/>
      <w:r w:rsidRPr="00F90DCD">
        <w:t>аквакультуры</w:t>
      </w:r>
      <w:proofErr w:type="spellEnd"/>
      <w:r w:rsidRPr="00F90DCD">
        <w:t xml:space="preserve"> посредством двух своих уставных органов, а именно Региональной комиссии по рыбному хозяйству (РКРХ) и Генеральной комиссии по рыболовству в Средиземном море (ГФКМ).</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proofErr w:type="gramStart"/>
      <w:r w:rsidRPr="00F90DCD">
        <w:t>Предпринимаются усилия</w:t>
      </w:r>
      <w:proofErr w:type="gramEnd"/>
      <w:r w:rsidRPr="00F90DCD">
        <w:t xml:space="preserve"> по заполнению вакансий сотрудников по вопросам </w:t>
      </w:r>
      <w:proofErr w:type="spellStart"/>
      <w:r w:rsidRPr="00F90DCD">
        <w:t>аквакультуры</w:t>
      </w:r>
      <w:proofErr w:type="spellEnd"/>
      <w:r w:rsidRPr="00F90DCD">
        <w:t xml:space="preserve"> в региональных и субрегиональных отделениях, включая отделения в Западной и Центральной Африке.</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В Европе и Центральной Азии ФАО продолжила оказывать поддержку Европейской консультативной комиссии по рыболовству и </w:t>
      </w:r>
      <w:proofErr w:type="spellStart"/>
      <w:r w:rsidRPr="00F90DCD">
        <w:t>аквакультуре</w:t>
      </w:r>
      <w:proofErr w:type="spellEnd"/>
      <w:r w:rsidRPr="00F90DCD">
        <w:t xml:space="preserve"> во внутренних водоемах (ЕККРАВВ) и Региональной комиссии по рыбному хозяйству и </w:t>
      </w:r>
      <w:proofErr w:type="spellStart"/>
      <w:r w:rsidRPr="00F90DCD">
        <w:t>аквакультуре</w:t>
      </w:r>
      <w:proofErr w:type="spellEnd"/>
      <w:r w:rsidRPr="00F90DCD">
        <w:t xml:space="preserve"> в Центральной Азии и на Кавказе (ЦАКАР). Недавно ЕККРАВВ приняла решение отказаться от подкомитетов и рабочих групп в пользу проектного подхода и в данный момент ведет семь действующих проектов. ЦАКАР — недавно созданная Комиссия, в состав которой входят пять членов. Она основана при поддержке программы партнерства ФАО и Турции. Более тридцати семинаров и сессий, состоявшиеся в рамках этой программы, привели к укреплению сотрудничества между странами Центральной Азии в области рыболовства и </w:t>
      </w:r>
      <w:proofErr w:type="spellStart"/>
      <w:r w:rsidRPr="00F90DCD">
        <w:t>аквакультуры</w:t>
      </w:r>
      <w:proofErr w:type="spellEnd"/>
      <w:r w:rsidRPr="00F90DCD">
        <w:t xml:space="preserve"> во внутренних водах </w:t>
      </w:r>
      <w:r w:rsidR="00CA0E9F" w:rsidRPr="00F90DCD">
        <w:t>после распада Советского Союза.</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При поддержке Италии и Европейской Комиссии ГКРС и ФАО организовали региональную конференцию по </w:t>
      </w:r>
      <w:proofErr w:type="spellStart"/>
      <w:r w:rsidRPr="00F90DCD">
        <w:t>аквакультуре</w:t>
      </w:r>
      <w:proofErr w:type="spellEnd"/>
      <w:r w:rsidRPr="00F90DCD">
        <w:t xml:space="preserve"> 2014 года, посвященную инициативе "Голубой рост" в Средиземном и Черном морях: </w:t>
      </w:r>
      <w:proofErr w:type="gramStart"/>
      <w:r w:rsidRPr="00F5103E">
        <w:t xml:space="preserve">Развитие устойчивой </w:t>
      </w:r>
      <w:proofErr w:type="spellStart"/>
      <w:r w:rsidRPr="00F5103E">
        <w:t>аквакультуры</w:t>
      </w:r>
      <w:proofErr w:type="spellEnd"/>
      <w:r w:rsidRPr="00F5103E">
        <w:t xml:space="preserve"> для продовольственной безопасности.</w:t>
      </w:r>
      <w:proofErr w:type="gramEnd"/>
      <w:r w:rsidRPr="00F5103E">
        <w:t xml:space="preserve"> На основе рек</w:t>
      </w:r>
      <w:r w:rsidRPr="00F90DCD">
        <w:t>омендаций экспертов по вопросам управления был сформулирован ряд выводов</w:t>
      </w:r>
      <w:r w:rsidRPr="00F90DCD">
        <w:rPr>
          <w:rStyle w:val="FootnoteReference"/>
          <w:rFonts w:cs="Akhbar MT"/>
          <w:smallCaps w:val="0"/>
          <w:sz w:val="18"/>
        </w:rPr>
        <w:footnoteReference w:id="7"/>
      </w:r>
      <w:r w:rsidRPr="00F90DCD">
        <w:t xml:space="preserve"> по вопросам управления, охраны окружающей среды, рынков и технологических инноваций.</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В Азии ФАО оказала поддержку 24-му ежегодному заседанию Совета управляющих НАКА. Кроме того, ФАО внесла вклад в программу работы 11-го заседания Технического консультативного комитета. ФАО поддерживает важную деятельность НАКА на региональном уровне и сотрудничает с НАКА в разработке региональной стратегии и плана действий для устойчив</w:t>
      </w:r>
      <w:r w:rsidR="00CA0E9F" w:rsidRPr="00F90DCD">
        <w:t xml:space="preserve">ой интенсификации </w:t>
      </w:r>
      <w:proofErr w:type="spellStart"/>
      <w:r w:rsidR="00CA0E9F" w:rsidRPr="00F90DCD">
        <w:t>аквакультуры</w:t>
      </w:r>
      <w:proofErr w:type="spellEnd"/>
      <w:r w:rsidR="00CA0E9F" w:rsidRPr="00F90DCD">
        <w:t>.</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Членам организации в Азии была оказана поддержка в реализации региональной инициативы ФАО по устойчивой интенсификации </w:t>
      </w:r>
      <w:proofErr w:type="spellStart"/>
      <w:r w:rsidRPr="00F90DCD">
        <w:t>аквакультуры</w:t>
      </w:r>
      <w:proofErr w:type="spellEnd"/>
      <w:r w:rsidRPr="00F90DCD">
        <w:t xml:space="preserve"> в рамках инициативы </w:t>
      </w:r>
      <w:r w:rsidRPr="00F90DCD">
        <w:lastRenderedPageBreak/>
        <w:t xml:space="preserve">"Голубой рост" с помощью пяти </w:t>
      </w:r>
      <w:proofErr w:type="spellStart"/>
      <w:r w:rsidRPr="00F90DCD">
        <w:t>страновых</w:t>
      </w:r>
      <w:proofErr w:type="spellEnd"/>
      <w:r w:rsidRPr="00F90DCD">
        <w:t xml:space="preserve"> ПТС, семи проектов в рамках механизма ПТС и одного проекта ГЭФ, охватывающего шесть стран. Кроме того, с помощью трех ПТС и трех проектов в рамках механизма ПТС была оказана поддержка нерегиональным инициативам. Осуществляются два межрегиональных ПТС, охватывающие шесть стран. Все мероприятия в рамках проектов ориентированы на поддержку членов в разработке политики, стратегий и нормативных документов для содействия развитию устойчивой </w:t>
      </w:r>
      <w:proofErr w:type="spellStart"/>
      <w:r w:rsidRPr="00F90DCD">
        <w:t>аквакультуры</w:t>
      </w:r>
      <w:proofErr w:type="spellEnd"/>
      <w:r w:rsidRPr="00F90DCD">
        <w:t xml:space="preserve">, внедрения инновационных технологий </w:t>
      </w:r>
      <w:proofErr w:type="spellStart"/>
      <w:r w:rsidRPr="00F90DCD">
        <w:t>аквакультуры</w:t>
      </w:r>
      <w:proofErr w:type="spellEnd"/>
      <w:r w:rsidRPr="00F90DCD">
        <w:t xml:space="preserve"> и методов управления е</w:t>
      </w:r>
      <w:r w:rsidR="008F21C3">
        <w:t>ю</w:t>
      </w:r>
      <w:r w:rsidRPr="00F90DCD">
        <w:t>, а также расширения доступа фермеров к качественным производственным ресурсам, соответ</w:t>
      </w:r>
      <w:r w:rsidR="00CA0E9F" w:rsidRPr="00F90DCD">
        <w:t>ствующим технологиям и рынкам.</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proofErr w:type="gramStart"/>
      <w:r w:rsidRPr="00F90DCD">
        <w:t xml:space="preserve">В регионе Латинской Америки и Карибского бассейна (ЛАК) ФАО продолжила оказывать поддержку таким уставным органам, как Комиссия по рыболовству и </w:t>
      </w:r>
      <w:proofErr w:type="spellStart"/>
      <w:r w:rsidRPr="00F90DCD">
        <w:t>аквакультуре</w:t>
      </w:r>
      <w:proofErr w:type="spellEnd"/>
      <w:r w:rsidRPr="00F90DCD">
        <w:t xml:space="preserve"> во внутренних водоемах стран Латинской Америки и Карибского бассейна (COPESCAALC), которая не только выполняет свои традиционные задачи, но и стала важным форумом, где обсуждаются приоритетные технические и политические вопросы, требующие внимания ФАО в регионе, с последующим вынесением рекомендаций Регион</w:t>
      </w:r>
      <w:r w:rsidR="00CA0E9F" w:rsidRPr="00F90DCD">
        <w:t>альной</w:t>
      </w:r>
      <w:proofErr w:type="gramEnd"/>
      <w:r w:rsidR="00CA0E9F" w:rsidRPr="00F90DCD">
        <w:t xml:space="preserve"> конференции ФАО </w:t>
      </w:r>
      <w:proofErr w:type="gramStart"/>
      <w:r w:rsidR="00CA0E9F" w:rsidRPr="00F90DCD">
        <w:t>для</w:t>
      </w:r>
      <w:proofErr w:type="gramEnd"/>
      <w:r w:rsidR="00CA0E9F" w:rsidRPr="00F90DCD">
        <w:t xml:space="preserve"> ЛАК.</w:t>
      </w:r>
    </w:p>
    <w:p w:rsidR="00104DBB" w:rsidRPr="00F90DCD" w:rsidRDefault="00104DBB" w:rsidP="008C4283">
      <w:pPr>
        <w:pStyle w:val="NewPara"/>
        <w:numPr>
          <w:ilvl w:val="0"/>
          <w:numId w:val="0"/>
        </w:numPr>
        <w:jc w:val="both"/>
        <w:rPr>
          <w:highlight w:val="yellow"/>
        </w:rPr>
      </w:pPr>
    </w:p>
    <w:p w:rsidR="00104DBB" w:rsidRPr="00F90DCD" w:rsidRDefault="003F6007" w:rsidP="008C4283">
      <w:pPr>
        <w:pStyle w:val="NewPara"/>
        <w:jc w:val="both"/>
      </w:pPr>
      <w:r w:rsidRPr="00F90DCD">
        <w:t xml:space="preserve">Сеть </w:t>
      </w:r>
      <w:proofErr w:type="spellStart"/>
      <w:r w:rsidRPr="00F90DCD">
        <w:t>аквакультуры</w:t>
      </w:r>
      <w:proofErr w:type="spellEnd"/>
      <w:r w:rsidRPr="00F90DCD">
        <w:t xml:space="preserve"> Северной и Южной Америки (аббревиатура на испанском языке </w:t>
      </w:r>
      <w:r w:rsidR="008F21C3">
        <w:t>–</w:t>
      </w:r>
      <w:r w:rsidRPr="00F90DCD">
        <w:t>RAA) также получает всеобъемлющую помощь ФАО в регионе, что способствует ее укреплению. Пять членов</w:t>
      </w:r>
      <w:r w:rsidR="008F21C3">
        <w:t xml:space="preserve"> –</w:t>
      </w:r>
      <w:r w:rsidRPr="00F90DCD">
        <w:t xml:space="preserve"> Куба, Эквадор, Гватемала, Панама и Парагвай</w:t>
      </w:r>
      <w:r w:rsidR="008F21C3">
        <w:t xml:space="preserve"> –</w:t>
      </w:r>
      <w:r w:rsidRPr="00F90DCD">
        <w:t xml:space="preserve"> уже завершили национальные процессы и стали полноправными членами, еще в девяти странах процесс близок к завершению. Преимущества этого механизма международного сотрудничества в области </w:t>
      </w:r>
      <w:proofErr w:type="spellStart"/>
      <w:r w:rsidRPr="00F90DCD">
        <w:t>аквакультуры</w:t>
      </w:r>
      <w:proofErr w:type="spellEnd"/>
      <w:r w:rsidRPr="00F90DCD">
        <w:t xml:space="preserve"> уже ощущаются; в план работы включены пять стратегических программ, в том числе поддержка развития малых предприятий </w:t>
      </w:r>
      <w:proofErr w:type="spellStart"/>
      <w:r w:rsidRPr="00F90DCD">
        <w:t>аквакультуры</w:t>
      </w:r>
      <w:proofErr w:type="spellEnd"/>
      <w:r w:rsidRPr="00F90DCD">
        <w:t xml:space="preserve">, повышение конкурентоспособности региональной </w:t>
      </w:r>
      <w:proofErr w:type="spellStart"/>
      <w:r w:rsidRPr="00F90DCD">
        <w:t>аквакультуры</w:t>
      </w:r>
      <w:proofErr w:type="spellEnd"/>
      <w:r w:rsidRPr="00F90DCD">
        <w:t xml:space="preserve">, расширение </w:t>
      </w:r>
      <w:proofErr w:type="spellStart"/>
      <w:r w:rsidRPr="00F90DCD">
        <w:t>внутрирегиональной</w:t>
      </w:r>
      <w:proofErr w:type="spellEnd"/>
      <w:r w:rsidRPr="00F90DCD">
        <w:t xml:space="preserve"> торговли рыбой, повышение объемов потребления рыбы на региональном уровне и вопросы трансграничных заболеваний в </w:t>
      </w:r>
      <w:proofErr w:type="spellStart"/>
      <w:r w:rsidRPr="00F90DCD">
        <w:t>аквакультуре</w:t>
      </w:r>
      <w:proofErr w:type="spellEnd"/>
      <w:r w:rsidRPr="00F90DCD">
        <w:t>. Эти стратегические программы были официально приняты на заседании Совета министров RAA, прошедшем в Асунсьоне, Парагвай, в ноябре 2014 года.</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proofErr w:type="gramStart"/>
      <w:r w:rsidRPr="00F90DCD">
        <w:t>Глобальное партнерство по активизации</w:t>
      </w:r>
      <w:r w:rsidR="008F21C3">
        <w:t xml:space="preserve"> развития </w:t>
      </w:r>
      <w:proofErr w:type="spellStart"/>
      <w:r w:rsidR="008F21C3">
        <w:t>аквакультуры</w:t>
      </w:r>
      <w:proofErr w:type="spellEnd"/>
      <w:r w:rsidR="008F21C3">
        <w:t xml:space="preserve"> (ГПАРА) –</w:t>
      </w:r>
      <w:r w:rsidRPr="00F90DCD">
        <w:t xml:space="preserve"> программа по укреплению партнерства, сотрудничества и взаимодействия на пути к устойчивому развитию </w:t>
      </w:r>
      <w:proofErr w:type="spellStart"/>
      <w:r w:rsidRPr="00F90DCD">
        <w:t>аквакультуры</w:t>
      </w:r>
      <w:proofErr w:type="spellEnd"/>
      <w:r w:rsidRPr="00F90DCD">
        <w:t xml:space="preserve"> </w:t>
      </w:r>
      <w:r w:rsidR="008F21C3">
        <w:t>–</w:t>
      </w:r>
      <w:r w:rsidRPr="00F90DCD">
        <w:t xml:space="preserve"> стала неотъемлемой частью новой инициативы ФАО "Голубой рост" (более подробную информацию см. в д</w:t>
      </w:r>
      <w:r w:rsidR="00CA0E9F" w:rsidRPr="00F90DCD">
        <w:t>окументе COFI:AQ/VIII/2015/07).</w:t>
      </w:r>
      <w:proofErr w:type="gramEnd"/>
    </w:p>
    <w:p w:rsidR="00104DBB" w:rsidRPr="00F90DCD" w:rsidRDefault="00104DBB" w:rsidP="008C4283"/>
    <w:p w:rsidR="00104DBB" w:rsidRPr="00F90DCD" w:rsidRDefault="003F6007" w:rsidP="008C4283">
      <w:pPr>
        <w:pStyle w:val="Heading2"/>
        <w:numPr>
          <w:ilvl w:val="0"/>
          <w:numId w:val="0"/>
        </w:numPr>
        <w:ind w:left="1"/>
        <w:jc w:val="left"/>
      </w:pPr>
      <w:r w:rsidRPr="00F90DCD">
        <w:t xml:space="preserve">МЕХАНИЗМ ОЦЕНКИ СООТВЕТСТВИЯ СХЕМ ГОСУДАРСТВЕННОЙ И ЧАСТНОЙ СЕРТИФИКАЦИИ ТЕХНИЧЕСКОМУ РУКОВОДСТВУ ФАО ПО СЕРТИФИКАЦИИ АКВАКУЛЬТУРЫ </w:t>
      </w:r>
    </w:p>
    <w:p w:rsidR="00104DBB" w:rsidRPr="00F90DCD" w:rsidRDefault="00104DBB" w:rsidP="008C4283"/>
    <w:p w:rsidR="00104DBB" w:rsidRPr="00F90DCD" w:rsidRDefault="003F6007" w:rsidP="008C4283">
      <w:pPr>
        <w:pStyle w:val="NewPara"/>
        <w:jc w:val="both"/>
      </w:pPr>
      <w:r w:rsidRPr="00F90DCD">
        <w:t xml:space="preserve">ФАО продолжает работу по сертификации и оценке соответствия </w:t>
      </w:r>
      <w:proofErr w:type="spellStart"/>
      <w:r w:rsidRPr="00F90DCD">
        <w:t>аквакультуры</w:t>
      </w:r>
      <w:proofErr w:type="spellEnd"/>
      <w:r w:rsidRPr="00F90DCD">
        <w:t xml:space="preserve">. В частности, в настоящее время совершенствуется механизм оценки соответствия с учетом комментариев, сделанных на седьмой сессии Подкомитета. Продолжается работа по повышению осведомленности в вопросах сертификации и оценки соответствия </w:t>
      </w:r>
      <w:proofErr w:type="spellStart"/>
      <w:r w:rsidRPr="00F90DCD">
        <w:t>аквакультуры</w:t>
      </w:r>
      <w:proofErr w:type="spellEnd"/>
      <w:r w:rsidRPr="00F90DCD">
        <w:t xml:space="preserve"> при содействии Европейского союза. Подробная информация по этому вопросу содержится в рабочем</w:t>
      </w:r>
      <w:r w:rsidR="00CA0E9F" w:rsidRPr="00F90DCD">
        <w:t xml:space="preserve"> документе COFI:AQ/VIII/2015/6.</w:t>
      </w:r>
    </w:p>
    <w:p w:rsidR="00104DBB" w:rsidRPr="00F90DCD" w:rsidRDefault="00104DBB" w:rsidP="008C4283"/>
    <w:p w:rsidR="00104DBB" w:rsidRPr="00F90DCD" w:rsidRDefault="003F6007" w:rsidP="008C4283">
      <w:pPr>
        <w:pStyle w:val="Heading2"/>
        <w:numPr>
          <w:ilvl w:val="0"/>
          <w:numId w:val="0"/>
        </w:numPr>
        <w:ind w:left="1"/>
        <w:jc w:val="left"/>
      </w:pPr>
      <w:r w:rsidRPr="00F90DCD">
        <w:lastRenderedPageBreak/>
        <w:t xml:space="preserve">ПРИМЕНЕНИЕ ТЕРРИТОРИАЛЬНОГО ПЛАНИРОВАНИЯ ДЛЯ СТИМУЛИРОВАНИЯ РОСТА АКВАКУЛЬТУРЫ В БУДУЩЕМ </w:t>
      </w:r>
    </w:p>
    <w:p w:rsidR="00104DBB" w:rsidRPr="00F90DCD" w:rsidRDefault="00104DBB" w:rsidP="008C4283"/>
    <w:p w:rsidR="00104DBB" w:rsidRPr="00F90DCD" w:rsidRDefault="003F6007" w:rsidP="008C4283">
      <w:pPr>
        <w:pStyle w:val="NewPara"/>
        <w:jc w:val="both"/>
      </w:pPr>
      <w:r w:rsidRPr="00F90DCD">
        <w:t xml:space="preserve">В рамках работы по оказанию членам содействия в увеличении производства продукции </w:t>
      </w:r>
      <w:proofErr w:type="spellStart"/>
      <w:r w:rsidRPr="00F90DCD">
        <w:t>аквакультуры</w:t>
      </w:r>
      <w:proofErr w:type="spellEnd"/>
      <w:r w:rsidRPr="00F90DCD">
        <w:t xml:space="preserve"> на устойчивой основе ФАО </w:t>
      </w:r>
      <w:proofErr w:type="gramStart"/>
      <w:r w:rsidRPr="00F90DCD">
        <w:t>предпринимает особые усилия</w:t>
      </w:r>
      <w:proofErr w:type="gramEnd"/>
      <w:r w:rsidRPr="00F90DCD">
        <w:t xml:space="preserve"> по решению вопросов территориального планирования с целью стимулирования роста </w:t>
      </w:r>
      <w:proofErr w:type="spellStart"/>
      <w:r w:rsidRPr="00F90DCD">
        <w:t>аквакультуры</w:t>
      </w:r>
      <w:proofErr w:type="spellEnd"/>
      <w:r w:rsidRPr="00F90DCD">
        <w:t xml:space="preserve"> посредством разработки основных публикаций и инструментов и проведения учебных практикумов в сотрудничестве с другими учреждениями. В настоящее время ФАО в сотрудничестве с Всемирным банком готовит техническую публикацию – пошаговое руководство для руководителей, директивных органов и технического персонала по зонированию </w:t>
      </w:r>
      <w:proofErr w:type="spellStart"/>
      <w:r w:rsidRPr="00F90DCD">
        <w:t>аквакультуры</w:t>
      </w:r>
      <w:proofErr w:type="spellEnd"/>
      <w:r w:rsidRPr="00F90DCD">
        <w:t xml:space="preserve">, выбору мест и различным направлениям управления </w:t>
      </w:r>
      <w:proofErr w:type="spellStart"/>
      <w:r w:rsidRPr="00F90DCD">
        <w:t>аквакультурой</w:t>
      </w:r>
      <w:proofErr w:type="spellEnd"/>
      <w:r w:rsidRPr="00F90DCD">
        <w:t>. В июле 2015 года в Турции было проведено рабочее совещание экспертов с целью завершения работы над публикацией, которая, как планируется, будет издана в начале 2016 года.</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При содействии экспертов по всему миру и с помощью региональных консультаций ФАО подготовила набор инструментов планирования и управления в сфере </w:t>
      </w:r>
      <w:proofErr w:type="spellStart"/>
      <w:r w:rsidRPr="00F90DCD">
        <w:t>аквакультуры</w:t>
      </w:r>
      <w:proofErr w:type="spellEnd"/>
      <w:r w:rsidRPr="00F90DCD">
        <w:t xml:space="preserve"> для Азиатско-Тихоокеанского региона. Набор включает в себя 16 инструментов, </w:t>
      </w:r>
      <w:proofErr w:type="gramStart"/>
      <w:r w:rsidRPr="00F90DCD">
        <w:t>охватывающих</w:t>
      </w:r>
      <w:proofErr w:type="gramEnd"/>
      <w:r w:rsidRPr="00F90DCD">
        <w:t xml:space="preserve"> пять тематических областей: выбор места </w:t>
      </w:r>
      <w:proofErr w:type="spellStart"/>
      <w:r w:rsidRPr="00F90DCD">
        <w:t>аквакультуры</w:t>
      </w:r>
      <w:proofErr w:type="spellEnd"/>
      <w:r w:rsidRPr="00F90DCD">
        <w:t xml:space="preserve"> и зонирование, </w:t>
      </w:r>
      <w:proofErr w:type="spellStart"/>
      <w:r w:rsidRPr="00F90DCD">
        <w:t>биоконтроль</w:t>
      </w:r>
      <w:proofErr w:type="spellEnd"/>
      <w:r w:rsidRPr="00F90DCD">
        <w:t xml:space="preserve"> и здоровье водных животных, безопасность пищевых продуктов, оценка и мониторинг воздействия на окружающую среду, а также оценка социально-экономических последствий. Для пробного внедрения некоторых из этих инструментов ФАО разработала проект, реализуемый через региональные ПТС в трех странах Ассоциации государств Юго-Восточной Азии (АСЕАН). Региональные ПТС являются важным направлением деятельности в рамках региональной инициативы ФАО "Голубой рост" по устойчивой интенсификации </w:t>
      </w:r>
      <w:proofErr w:type="spellStart"/>
      <w:r w:rsidRPr="00F90DCD">
        <w:t>аквакультуры</w:t>
      </w:r>
      <w:proofErr w:type="spellEnd"/>
      <w:r w:rsidRPr="00F90DCD">
        <w:t xml:space="preserve"> в Азиатско-Тихоокеанском регионе, реализация которой начнется в 2015 году. </w:t>
      </w:r>
      <w:proofErr w:type="gramStart"/>
      <w:r w:rsidRPr="00F90DCD">
        <w:t xml:space="preserve">Работа ведется в следующих направлениях: i) подготовка инструментов для использования в качестве оперативных руководств; </w:t>
      </w:r>
      <w:proofErr w:type="spellStart"/>
      <w:r w:rsidRPr="00F90DCD">
        <w:t>ii</w:t>
      </w:r>
      <w:proofErr w:type="spellEnd"/>
      <w:r w:rsidRPr="00F90DCD">
        <w:t xml:space="preserve">) формирование человеческого потенциала для осуществления; </w:t>
      </w:r>
      <w:proofErr w:type="spellStart"/>
      <w:r w:rsidRPr="00F90DCD">
        <w:t>iii</w:t>
      </w:r>
      <w:proofErr w:type="spellEnd"/>
      <w:r w:rsidRPr="00F90DCD">
        <w:t xml:space="preserve">) внедрение выбранных инструментов на различных уровнях; </w:t>
      </w:r>
      <w:proofErr w:type="spellStart"/>
      <w:r w:rsidRPr="00F90DCD">
        <w:t>iv</w:t>
      </w:r>
      <w:proofErr w:type="spellEnd"/>
      <w:r w:rsidRPr="00F90DCD">
        <w:t xml:space="preserve">) оценка применения инструментов; и </w:t>
      </w:r>
      <w:r w:rsidR="008F21C3">
        <w:br/>
      </w:r>
      <w:r w:rsidRPr="00F90DCD">
        <w:t>v) обмен опытом и сделанными выводами на региональном уровне.</w:t>
      </w:r>
      <w:proofErr w:type="gramEnd"/>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Под эгидой программы "Горизонт 2020" ФАО принимает участие в двух финансируемых Европейским союзом проектах, которые актуальны и важны для территориального планирования. Первый проект озаглавлен "</w:t>
      </w:r>
      <w:proofErr w:type="spellStart"/>
      <w:r w:rsidRPr="00F90DCD">
        <w:t>Экосистемный</w:t>
      </w:r>
      <w:proofErr w:type="spellEnd"/>
      <w:r w:rsidRPr="00F90DCD">
        <w:t xml:space="preserve"> подход к обеспечению площадей для устойчивой </w:t>
      </w:r>
      <w:proofErr w:type="spellStart"/>
      <w:r w:rsidRPr="00F90DCD">
        <w:t>аквакультуры</w:t>
      </w:r>
      <w:proofErr w:type="spellEnd"/>
      <w:r w:rsidRPr="00F90DCD">
        <w:t>" (</w:t>
      </w:r>
      <w:proofErr w:type="spellStart"/>
      <w:r w:rsidRPr="00F90DCD">
        <w:t>AquaSpace</w:t>
      </w:r>
      <w:proofErr w:type="spellEnd"/>
      <w:r w:rsidRPr="00F90DCD">
        <w:t xml:space="preserve">), второй </w:t>
      </w:r>
      <w:r w:rsidR="008F21C3">
        <w:t>–</w:t>
      </w:r>
      <w:r w:rsidRPr="00F90DCD">
        <w:t xml:space="preserve"> "Морские инвестиции в голубую экономику" (MARIBE). В обоих проектах участвуют как члены Европейского союза, так и страны, не входящие в него.</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ФАО организовала ряд поездок на места с целью оказания технической помощи Анголе</w:t>
      </w:r>
      <w:r w:rsidRPr="00F90DCD">
        <w:rPr>
          <w:rStyle w:val="FootnoteReference"/>
          <w:rFonts w:cs="Akhbar MT"/>
          <w:smallCaps w:val="0"/>
          <w:sz w:val="18"/>
        </w:rPr>
        <w:footnoteReference w:id="8"/>
      </w:r>
      <w:r w:rsidRPr="00F90DCD">
        <w:t>, Кении, Саудовской Аравии</w:t>
      </w:r>
      <w:r w:rsidRPr="00F90DCD">
        <w:rPr>
          <w:rStyle w:val="FootnoteReference"/>
          <w:rFonts w:cs="Akhbar MT"/>
          <w:smallCaps w:val="0"/>
          <w:sz w:val="18"/>
        </w:rPr>
        <w:footnoteReference w:id="9"/>
      </w:r>
      <w:r w:rsidRPr="00F90DCD">
        <w:t xml:space="preserve"> и Объединенной Республике Танзания (Занзибар) по выявлению потенциальных зон </w:t>
      </w:r>
      <w:proofErr w:type="spellStart"/>
      <w:r w:rsidRPr="00F90DCD">
        <w:t>аквакультуры</w:t>
      </w:r>
      <w:proofErr w:type="spellEnd"/>
      <w:r w:rsidRPr="00F90DCD">
        <w:t xml:space="preserve">, содействия инвестициям в </w:t>
      </w:r>
      <w:proofErr w:type="spellStart"/>
      <w:r w:rsidRPr="00F90DCD">
        <w:t>аквакультуру</w:t>
      </w:r>
      <w:proofErr w:type="spellEnd"/>
      <w:r w:rsidRPr="00F90DCD">
        <w:t xml:space="preserve">, а также с целью способствовать формированию эффективно управляемого сектора, в котором учитываются интересы различных социальных групп, обеспечивается равноправие и </w:t>
      </w:r>
      <w:r w:rsidRPr="00F90DCD">
        <w:lastRenderedPageBreak/>
        <w:t xml:space="preserve">экологическая ответственность. ФАО также оказывает помощь таким странам, как Коста-Рика, Того и Замбия в подготовке национальных стратегий и планов развития </w:t>
      </w:r>
      <w:proofErr w:type="spellStart"/>
      <w:r w:rsidRPr="00F90DCD">
        <w:t>аквакультуры</w:t>
      </w:r>
      <w:proofErr w:type="spellEnd"/>
      <w:r w:rsidRPr="00F90DCD">
        <w:t xml:space="preserve">, подразумевающих определение потенциальных районов для выделения зон под </w:t>
      </w:r>
      <w:proofErr w:type="spellStart"/>
      <w:r w:rsidRPr="00F90DCD">
        <w:t>аквакультуру</w:t>
      </w:r>
      <w:proofErr w:type="spellEnd"/>
      <w:r w:rsidRPr="00F90DCD">
        <w:t xml:space="preserve">.  </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Технической помощью ФАО пользуются самые разные страны. Члены начинают регистрировать (или регистрируют в настоящее время) расположение и продукцию фермерских хозяйств и районов, где ведется их деятельность, что является важным шагом, </w:t>
      </w:r>
      <w:proofErr w:type="gramStart"/>
      <w:r w:rsidRPr="00F90DCD">
        <w:t>который</w:t>
      </w:r>
      <w:proofErr w:type="gramEnd"/>
      <w:r w:rsidRPr="00F90DCD">
        <w:t xml:space="preserve"> в конечном счете позволит повысить эффективность размещения фермерских хозяйств и управления ими. Для определения потенциального воздействия эти районы, где осуществляется деятельность предприятий, можно сравнить с чувствительными экосистемами и местами обитания; для выявления незарегистрированных или незаконных хозяйств их также можно увязать с процессом лицензирования</w:t>
      </w:r>
      <w:r w:rsidRPr="00F90DCD">
        <w:rPr>
          <w:rStyle w:val="FootnoteReference"/>
          <w:rFonts w:cs="Akhbar MT"/>
          <w:smallCaps w:val="0"/>
          <w:sz w:val="18"/>
        </w:rPr>
        <w:footnoteReference w:id="10"/>
      </w:r>
      <w:r w:rsidR="008F21C3" w:rsidRPr="008F21C3">
        <w:rPr>
          <w:vertAlign w:val="superscript"/>
        </w:rPr>
        <w:t>,</w:t>
      </w:r>
      <w:r w:rsidRPr="00F90DCD">
        <w:rPr>
          <w:rStyle w:val="FootnoteReference"/>
          <w:rFonts w:cs="Akhbar MT"/>
          <w:smallCaps w:val="0"/>
          <w:sz w:val="18"/>
        </w:rPr>
        <w:footnoteReference w:id="11"/>
      </w:r>
      <w:r w:rsidR="00CA0E9F" w:rsidRPr="00F90DCD">
        <w:t>.</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Другие виды технической помощи включают в себя содействие странам в планировании устойчивого расширения </w:t>
      </w:r>
      <w:proofErr w:type="spellStart"/>
      <w:r w:rsidRPr="00F90DCD">
        <w:t>марикультуры</w:t>
      </w:r>
      <w:proofErr w:type="spellEnd"/>
      <w:r w:rsidRPr="00F90DCD">
        <w:t xml:space="preserve">. Так, на Конференции по прибрежной </w:t>
      </w:r>
      <w:proofErr w:type="spellStart"/>
      <w:r w:rsidRPr="00F90DCD">
        <w:t>марикультуре</w:t>
      </w:r>
      <w:proofErr w:type="spellEnd"/>
      <w:r w:rsidRPr="00F90DCD">
        <w:t xml:space="preserve"> 2014 года, прошедшей в Неаполе (Италия), ФАО выступила с основным докладом, где были проиллюстрированы возможности развития прибрежной </w:t>
      </w:r>
      <w:proofErr w:type="spellStart"/>
      <w:r w:rsidRPr="00F90DCD">
        <w:t>марикультуры</w:t>
      </w:r>
      <w:proofErr w:type="spellEnd"/>
      <w:r w:rsidRPr="00F90DCD">
        <w:t xml:space="preserve"> в мире с точки зрения территориального планирования</w:t>
      </w:r>
      <w:r w:rsidRPr="00F90DCD">
        <w:rPr>
          <w:rStyle w:val="FootnoteReference"/>
          <w:rFonts w:cs="Akhbar MT"/>
          <w:smallCaps w:val="0"/>
          <w:sz w:val="18"/>
        </w:rPr>
        <w:footnoteReference w:id="12"/>
      </w:r>
      <w:r w:rsidR="00CA0E9F" w:rsidRPr="00F90DCD">
        <w:t>.</w:t>
      </w:r>
    </w:p>
    <w:p w:rsidR="00104DBB" w:rsidRPr="00F90DCD" w:rsidRDefault="00104DBB" w:rsidP="008C4283"/>
    <w:p w:rsidR="00104DBB" w:rsidRPr="00F90DCD" w:rsidRDefault="003F6007" w:rsidP="008C4283">
      <w:pPr>
        <w:pStyle w:val="NewPara"/>
        <w:jc w:val="both"/>
      </w:pPr>
      <w:r w:rsidRPr="00F90DCD">
        <w:t xml:space="preserve">ФАО проводит экспериментальную разработку систем мониторинга окружающей среды для повышения устойчивости рыбоводческих хозяйств и рыболовов к внешним воздействиям на национальном и региональном уровнях. Первая экспериментальная система была разработана в районе </w:t>
      </w:r>
      <w:proofErr w:type="spellStart"/>
      <w:r w:rsidRPr="00F90DCD">
        <w:t>Эстеро-Реаль</w:t>
      </w:r>
      <w:proofErr w:type="spellEnd"/>
      <w:r w:rsidRPr="00F90DCD">
        <w:t>, Никарагуа; реализация второй субрегиональной инициативы началась в нижней части дельты реки Меконг с практикума по планированию системы комплексного трансграничного экологического мониторинга для решения проблем климатической изменчивости и изменения климата на водоразделе. Цель заключалась в оказании рыбоводческим хозяйствам помощи в выработке управленческих решений и формировании систем раннего предупреждения.</w:t>
      </w:r>
    </w:p>
    <w:p w:rsidR="00104DBB" w:rsidRPr="00F90DCD" w:rsidRDefault="00104DBB" w:rsidP="008C4283"/>
    <w:p w:rsidR="00104DBB" w:rsidRPr="00F90DCD" w:rsidRDefault="003F6007" w:rsidP="008C4283">
      <w:pPr>
        <w:pStyle w:val="Heading2"/>
        <w:numPr>
          <w:ilvl w:val="0"/>
          <w:numId w:val="0"/>
        </w:numPr>
        <w:ind w:left="1"/>
        <w:jc w:val="left"/>
      </w:pPr>
      <w:r w:rsidRPr="00F90DCD">
        <w:t xml:space="preserve">РОЛЬ АКВАКУЛЬТУРЫ И КОРМОВ ДЛЯ АКВАКУЛЬТУРЫ В УЛУЧШЕНИИ ПИТАНИЯ </w:t>
      </w:r>
    </w:p>
    <w:p w:rsidR="00104DBB" w:rsidRPr="00F90DCD" w:rsidRDefault="00104DBB" w:rsidP="008C4283"/>
    <w:p w:rsidR="00104DBB" w:rsidRPr="00F90DCD" w:rsidRDefault="003F6007" w:rsidP="008C4283">
      <w:pPr>
        <w:pStyle w:val="NewPara"/>
      </w:pPr>
      <w:proofErr w:type="gramStart"/>
      <w:r w:rsidRPr="00F90DCD">
        <w:t xml:space="preserve">Департамент рыбного хозяйства и </w:t>
      </w:r>
      <w:proofErr w:type="spellStart"/>
      <w:r w:rsidRPr="00F90DCD">
        <w:t>аквакультуры</w:t>
      </w:r>
      <w:proofErr w:type="spellEnd"/>
      <w:r w:rsidRPr="00F90DCD">
        <w:t xml:space="preserve"> ФАО подготовил технический доклад "Обеспечение максимального вклада рыбы в питание человека"</w:t>
      </w:r>
      <w:r w:rsidRPr="00F90DCD">
        <w:rPr>
          <w:rStyle w:val="FootnoteReference"/>
          <w:rFonts w:cs="Akhbar MT"/>
          <w:smallCaps w:val="0"/>
          <w:sz w:val="18"/>
        </w:rPr>
        <w:footnoteReference w:id="13"/>
      </w:r>
      <w:r w:rsidRPr="00F90DCD">
        <w:t xml:space="preserve"> для второй Международной </w:t>
      </w:r>
      <w:r w:rsidRPr="00F90DCD">
        <w:lastRenderedPageBreak/>
        <w:t xml:space="preserve">конференции по вопросам питания (МКП-2), а также принял участие в подготовке новостной статьи "Темпы роста </w:t>
      </w:r>
      <w:proofErr w:type="spellStart"/>
      <w:r w:rsidRPr="00F90DCD">
        <w:t>аквакультуры</w:t>
      </w:r>
      <w:proofErr w:type="spellEnd"/>
      <w:r w:rsidRPr="00F90DCD">
        <w:t xml:space="preserve"> могут увеличиться, а рыба может служить богатым источником микроэлементов"</w:t>
      </w:r>
      <w:r w:rsidRPr="00F90DCD">
        <w:rPr>
          <w:rStyle w:val="FootnoteReference"/>
          <w:rFonts w:cs="Akhbar MT"/>
          <w:smallCaps w:val="0"/>
          <w:sz w:val="18"/>
        </w:rPr>
        <w:footnoteReference w:id="14"/>
      </w:r>
      <w:r w:rsidR="000C6DF0" w:rsidRPr="000C6DF0">
        <w:rPr>
          <w:vertAlign w:val="superscript"/>
        </w:rPr>
        <w:t>,</w:t>
      </w:r>
      <w:r w:rsidRPr="00F90DCD">
        <w:rPr>
          <w:rStyle w:val="FootnoteReference"/>
          <w:rFonts w:cs="Akhbar MT"/>
          <w:smallCaps w:val="0"/>
          <w:sz w:val="18"/>
        </w:rPr>
        <w:footnoteReference w:id="15"/>
      </w:r>
      <w:r w:rsidRPr="00F90DCD">
        <w:t>. Был опубликован ряд дополнительных документов, где рассматривается роль, которую рыба и рыбные продукты играют в питании</w:t>
      </w:r>
      <w:proofErr w:type="gramEnd"/>
      <w:r w:rsidRPr="00F90DCD">
        <w:t xml:space="preserve">, такие как "Роль </w:t>
      </w:r>
      <w:proofErr w:type="spellStart"/>
      <w:r w:rsidRPr="00F90DCD">
        <w:t>аквакультуры</w:t>
      </w:r>
      <w:proofErr w:type="spellEnd"/>
      <w:r w:rsidRPr="00F90DCD">
        <w:t xml:space="preserve"> в улучшении питания: возможности и вызовы"</w:t>
      </w:r>
      <w:r w:rsidRPr="00F90DCD">
        <w:rPr>
          <w:rStyle w:val="FootnoteReference"/>
          <w:rFonts w:cs="Akhbar MT"/>
          <w:smallCaps w:val="0"/>
          <w:sz w:val="18"/>
        </w:rPr>
        <w:footnoteReference w:id="16"/>
      </w:r>
      <w:r w:rsidRPr="00F90DCD">
        <w:t xml:space="preserve"> в докладе "Состояние мирового рыболовства и </w:t>
      </w:r>
      <w:proofErr w:type="spellStart"/>
      <w:r w:rsidRPr="00F90DCD">
        <w:t>аквакультуры</w:t>
      </w:r>
      <w:proofErr w:type="spellEnd"/>
      <w:r w:rsidRPr="00F90DCD">
        <w:t xml:space="preserve">" (СОФИА) за 2014 год. Недостаточность данных о питательных свойствах продукции </w:t>
      </w:r>
      <w:proofErr w:type="spellStart"/>
      <w:r w:rsidRPr="00F90DCD">
        <w:t>аквакультуры</w:t>
      </w:r>
      <w:proofErr w:type="spellEnd"/>
      <w:r w:rsidRPr="00F90DCD">
        <w:t xml:space="preserve"> для оценки вклада в питание заставила активизировать усилия по созданию удобной для пользователей базы данных о содержащихся в рыбе питательных веществах. В настоящее время завершается работа над глобальной пользовательской базой данных по рыбе и моллюскам, содержащей сведения о составе содержащихся в них питательных веществ, а также информацию о продукции </w:t>
      </w:r>
      <w:proofErr w:type="spellStart"/>
      <w:r w:rsidRPr="00F90DCD">
        <w:t>аквакультуры</w:t>
      </w:r>
      <w:proofErr w:type="spellEnd"/>
      <w:r w:rsidRPr="00F90DCD">
        <w:t xml:space="preserve"> с приданием особой важности питательным микроэлементам, которая будет опубликована на веб-сайте МССДП ФАО.</w:t>
      </w:r>
    </w:p>
    <w:p w:rsidR="00104DBB" w:rsidRPr="00F90DCD" w:rsidRDefault="00104DBB" w:rsidP="008C4283">
      <w:pPr>
        <w:pStyle w:val="NewPara"/>
        <w:numPr>
          <w:ilvl w:val="0"/>
          <w:numId w:val="0"/>
        </w:numPr>
      </w:pPr>
    </w:p>
    <w:p w:rsidR="00104DBB" w:rsidRPr="00F90DCD" w:rsidRDefault="003F6007" w:rsidP="008C4283">
      <w:pPr>
        <w:pStyle w:val="NewPara"/>
      </w:pPr>
      <w:r w:rsidRPr="00F90DCD">
        <w:t xml:space="preserve">По результатам реализованного ФАО регионального проекта "Снижение зависимости от использования малоценной/сорной рыбы в качестве корма для </w:t>
      </w:r>
      <w:proofErr w:type="spellStart"/>
      <w:r w:rsidRPr="00F90DCD">
        <w:t>аквакультуры</w:t>
      </w:r>
      <w:proofErr w:type="spellEnd"/>
      <w:r w:rsidRPr="00F90DCD">
        <w:t xml:space="preserve"> морской рыбы в азиатском регионе" в СОФИА за 2014 год были освещены наиболее важные аспекты специального исследования "Переход от малоценной рыбы к кормовым смесям при выращивании морской рыбы в садках в Азии".</w:t>
      </w:r>
    </w:p>
    <w:p w:rsidR="00104DBB" w:rsidRPr="00F90DCD" w:rsidRDefault="00104DBB" w:rsidP="008C4283">
      <w:pPr>
        <w:pStyle w:val="NewPara"/>
        <w:numPr>
          <w:ilvl w:val="0"/>
          <w:numId w:val="0"/>
        </w:numPr>
      </w:pPr>
    </w:p>
    <w:p w:rsidR="00104DBB" w:rsidRPr="00F90DCD" w:rsidRDefault="003F6007" w:rsidP="008C4283">
      <w:pPr>
        <w:pStyle w:val="NewPara"/>
      </w:pPr>
      <w:r w:rsidRPr="00F90DCD">
        <w:t xml:space="preserve">По предложению правительств Бангладеш, Кыргызстана, Филиппин и Шри-Ланки в 2014 году ФАО начала осуществление четырех </w:t>
      </w:r>
      <w:proofErr w:type="spellStart"/>
      <w:r w:rsidRPr="00F90DCD">
        <w:t>внутристрановых</w:t>
      </w:r>
      <w:proofErr w:type="spellEnd"/>
      <w:r w:rsidRPr="00F90DCD">
        <w:t xml:space="preserve"> ПТС, направленных на повышение качества и более эффективное использование кормов. Каждый проект касается ряда фундаментальных и практических вопросов производства и использования кормов. Их результаты, сведенные воедино, станут источником региональных рекомендаций.</w:t>
      </w:r>
    </w:p>
    <w:p w:rsidR="00104DBB" w:rsidRPr="00F90DCD" w:rsidRDefault="00104DBB" w:rsidP="008C4283">
      <w:pPr>
        <w:pStyle w:val="NewPara"/>
        <w:numPr>
          <w:ilvl w:val="0"/>
          <w:numId w:val="0"/>
        </w:numPr>
      </w:pPr>
    </w:p>
    <w:p w:rsidR="00104DBB" w:rsidRPr="00F90DCD" w:rsidRDefault="003F6007" w:rsidP="008C4283">
      <w:pPr>
        <w:pStyle w:val="NewPara"/>
      </w:pPr>
      <w:r w:rsidRPr="00F90DCD">
        <w:t xml:space="preserve">В рамках инициативы "Голубой рост" Департаментом рыбного хозяйства и </w:t>
      </w:r>
      <w:proofErr w:type="spellStart"/>
      <w:r w:rsidRPr="00F90DCD">
        <w:t>аквакультуры</w:t>
      </w:r>
      <w:proofErr w:type="spellEnd"/>
      <w:r w:rsidRPr="00F90DCD">
        <w:t xml:space="preserve"> ФАО был осуществлен проект "Политические решения для обеспечения устойчивых поставок кормов, передовые практики управления с целью повышения эффективности использования кормов для полосатого сома во Вьетнаме".</w:t>
      </w:r>
    </w:p>
    <w:p w:rsidR="00104DBB" w:rsidRPr="00F90DCD" w:rsidRDefault="00104DBB" w:rsidP="008C4283">
      <w:pPr>
        <w:pStyle w:val="NewPara"/>
        <w:numPr>
          <w:ilvl w:val="0"/>
          <w:numId w:val="0"/>
        </w:numPr>
      </w:pPr>
    </w:p>
    <w:p w:rsidR="00104DBB" w:rsidRPr="00F90DCD" w:rsidRDefault="003F6007" w:rsidP="008C4283">
      <w:pPr>
        <w:pStyle w:val="NewPara"/>
      </w:pPr>
      <w:r w:rsidRPr="00F90DCD">
        <w:t xml:space="preserve">Во исполнение рекомендаций Подкомитета КРХ по </w:t>
      </w:r>
      <w:proofErr w:type="spellStart"/>
      <w:r w:rsidRPr="00F90DCD">
        <w:t>аквакультуре</w:t>
      </w:r>
      <w:proofErr w:type="spellEnd"/>
      <w:r w:rsidRPr="00F90DCD">
        <w:t xml:space="preserve"> Департаментом рыбного хозяйства и </w:t>
      </w:r>
      <w:proofErr w:type="spellStart"/>
      <w:r w:rsidRPr="00F90DCD">
        <w:t>аквакультуры</w:t>
      </w:r>
      <w:proofErr w:type="spellEnd"/>
      <w:r w:rsidRPr="00F90DCD">
        <w:t xml:space="preserve"> ФАО было проведено специальное исследование, посвященное управлению питанием и кормами при выращивании индийского большого карпа в штате </w:t>
      </w:r>
      <w:proofErr w:type="spellStart"/>
      <w:r w:rsidRPr="00F90DCD">
        <w:t>Андхра-Прадеш</w:t>
      </w:r>
      <w:proofErr w:type="spellEnd"/>
      <w:r w:rsidRPr="00F90DCD">
        <w:t xml:space="preserve">, Индия; оно направлено на стимулирование искусственного выращивания видов на низких звеньях пищевой цепи, особенно при решении проблем </w:t>
      </w:r>
      <w:r w:rsidR="00CA0E9F" w:rsidRPr="00F90DCD">
        <w:t>продовольственной безопасности.</w:t>
      </w:r>
    </w:p>
    <w:p w:rsidR="00104DBB" w:rsidRPr="00F90DCD" w:rsidRDefault="00104DBB" w:rsidP="008C4283">
      <w:pPr>
        <w:pStyle w:val="NewPara"/>
        <w:numPr>
          <w:ilvl w:val="0"/>
          <w:numId w:val="0"/>
        </w:numPr>
      </w:pPr>
    </w:p>
    <w:p w:rsidR="00104DBB" w:rsidRPr="00F90DCD" w:rsidRDefault="003F6007" w:rsidP="008C4283">
      <w:pPr>
        <w:pStyle w:val="NewPara"/>
      </w:pPr>
      <w:proofErr w:type="gramStart"/>
      <w:r w:rsidRPr="00F90DCD">
        <w:t xml:space="preserve">Во исполнение рекомендаций Подкомитета КРХ по </w:t>
      </w:r>
      <w:proofErr w:type="spellStart"/>
      <w:r w:rsidRPr="00F90DCD">
        <w:t>аквакультуре</w:t>
      </w:r>
      <w:proofErr w:type="spellEnd"/>
      <w:r w:rsidRPr="00F90DCD">
        <w:t xml:space="preserve"> (ПКА-VII, Кейптаун, Южная Африка), гласящих, что следует активизировать усилия по поиску альтернативных кормовых ингредиентов, в частности, растительных и животных, в дополнение к рыбной муке и рыбьему жиру, Департамент рыбного хозяйства и </w:t>
      </w:r>
      <w:proofErr w:type="spellStart"/>
      <w:r w:rsidRPr="00F90DCD">
        <w:t>аквакультуры</w:t>
      </w:r>
      <w:proofErr w:type="spellEnd"/>
      <w:r w:rsidRPr="00F90DCD">
        <w:t xml:space="preserve"> ФАО приступил к </w:t>
      </w:r>
      <w:r w:rsidRPr="00F90DCD">
        <w:lastRenderedPageBreak/>
        <w:t>глобальному обобщению имеющейся информации для оценки наличия и использования кормовых ингредиентов, извлекаемых из растений и наземных животных, включа</w:t>
      </w:r>
      <w:r w:rsidR="00CA0E9F" w:rsidRPr="00F90DCD">
        <w:t>я</w:t>
      </w:r>
      <w:proofErr w:type="gramEnd"/>
      <w:r w:rsidR="00CA0E9F" w:rsidRPr="00F90DCD">
        <w:t xml:space="preserve"> использование рыбных отходов.</w:t>
      </w:r>
    </w:p>
    <w:p w:rsidR="00104DBB" w:rsidRPr="00F90DCD" w:rsidRDefault="00104DBB" w:rsidP="008C4283">
      <w:pPr>
        <w:pStyle w:val="NewPara"/>
        <w:numPr>
          <w:ilvl w:val="0"/>
          <w:numId w:val="0"/>
        </w:numPr>
      </w:pPr>
    </w:p>
    <w:p w:rsidR="00104DBB" w:rsidRPr="00F90DCD" w:rsidRDefault="003F6007" w:rsidP="008C4283">
      <w:pPr>
        <w:pStyle w:val="NewPara"/>
      </w:pPr>
      <w:r w:rsidRPr="00F90DCD">
        <w:t xml:space="preserve">Департамент рыбного хозяйства и </w:t>
      </w:r>
      <w:proofErr w:type="spellStart"/>
      <w:r w:rsidRPr="00F90DCD">
        <w:t>аквакультуры</w:t>
      </w:r>
      <w:proofErr w:type="spellEnd"/>
      <w:r w:rsidRPr="00F90DCD">
        <w:t xml:space="preserve"> ФАО завершил предварительный анализ жизненного цикла выбросов парниковых газов, связанных с производством трех видов искусственно выращиваемых рыб в связи с вопросом использования кормов для </w:t>
      </w:r>
      <w:proofErr w:type="spellStart"/>
      <w:r w:rsidRPr="00F90DCD">
        <w:t>аквакультуры</w:t>
      </w:r>
      <w:proofErr w:type="spellEnd"/>
      <w:r w:rsidRPr="00F90DCD">
        <w:t xml:space="preserve"> в Азии: нильской </w:t>
      </w:r>
      <w:proofErr w:type="spellStart"/>
      <w:r w:rsidRPr="00F90DCD">
        <w:t>тилапии</w:t>
      </w:r>
      <w:proofErr w:type="spellEnd"/>
      <w:r w:rsidRPr="00F90DCD">
        <w:t>, индийского большого карпа и полосатого сома.</w:t>
      </w:r>
    </w:p>
    <w:p w:rsidR="00104DBB" w:rsidRPr="00F90DCD" w:rsidRDefault="00104DBB" w:rsidP="008C4283">
      <w:pPr>
        <w:pStyle w:val="NewPara"/>
        <w:numPr>
          <w:ilvl w:val="0"/>
          <w:numId w:val="0"/>
        </w:numPr>
      </w:pPr>
    </w:p>
    <w:p w:rsidR="00104DBB" w:rsidRPr="00F90DCD" w:rsidRDefault="003F6007" w:rsidP="008C4283">
      <w:pPr>
        <w:pStyle w:val="NewPara"/>
      </w:pPr>
      <w:r w:rsidRPr="00F90DCD">
        <w:t xml:space="preserve">В Латинской Америке было проведено исследование для оценки роли мелкомасштабной </w:t>
      </w:r>
      <w:proofErr w:type="spellStart"/>
      <w:r w:rsidRPr="00F90DCD">
        <w:t>аквакультуры</w:t>
      </w:r>
      <w:proofErr w:type="spellEnd"/>
      <w:r w:rsidRPr="00F90DCD">
        <w:t xml:space="preserve"> в продовольственной безопасности и обеспечении доходов семей в ряде стран региона, а именно в Бразилии, Колумбии, Сальвадоре, Гватемале, Гондурасе, Никарагуа и Парагвае.</w:t>
      </w:r>
    </w:p>
    <w:p w:rsidR="00104DBB" w:rsidRPr="00F90DCD" w:rsidRDefault="00104DBB" w:rsidP="008C4283">
      <w:pPr>
        <w:pStyle w:val="NewPara"/>
        <w:numPr>
          <w:ilvl w:val="0"/>
          <w:numId w:val="0"/>
        </w:numPr>
      </w:pPr>
    </w:p>
    <w:p w:rsidR="00104DBB" w:rsidRPr="00F90DCD" w:rsidRDefault="003F6007" w:rsidP="008C4283">
      <w:pPr>
        <w:pStyle w:val="NewPara"/>
      </w:pPr>
      <w:r w:rsidRPr="00F90DCD">
        <w:t>ФАО прилагает особые усилия для решения проблемы воздействия кормов на окружающую среду, в том числе влияния кормов на выбросы парниковых газов (ПГ). Важным целевым показателем считается также снижение коэффициента трансформации корма, и ФАО работает над решением этой проблемы совместно с государствами-членами и частным сектором. В сентябре в Коста-Рике прошел семинар, участники которого обсудили влияние кормов на объемы выбросов ПГ и способы снижения коэффициента трансформации корма, а также аспекты передачи технологий от более высокоразвитых систем искусственного выращивания, таких как система выращивания лосося, другим системам. В настоящее время к распространению готовятся стратегические рекомендации и доклад.</w:t>
      </w:r>
    </w:p>
    <w:p w:rsidR="00104DBB" w:rsidRPr="00F90DCD" w:rsidRDefault="00104DBB" w:rsidP="008C4283"/>
    <w:p w:rsidR="00104DBB" w:rsidRPr="00F90DCD" w:rsidRDefault="003F6007" w:rsidP="008C4283">
      <w:pPr>
        <w:pStyle w:val="Heading2"/>
        <w:numPr>
          <w:ilvl w:val="0"/>
          <w:numId w:val="0"/>
        </w:numPr>
        <w:ind w:left="1"/>
        <w:jc w:val="left"/>
      </w:pPr>
      <w:r w:rsidRPr="00F90DCD">
        <w:t xml:space="preserve">РОЛЬ ПОДКОМИТЕТА КРХ ПО АКВАКУЛЬТУРЕ В СТИМУЛИРОВАНИИ РЫБОВОДСТВА </w:t>
      </w:r>
    </w:p>
    <w:p w:rsidR="00104DBB" w:rsidRPr="00F90DCD" w:rsidRDefault="00104DBB" w:rsidP="008C4283"/>
    <w:p w:rsidR="00104DBB" w:rsidRPr="00F90DCD" w:rsidRDefault="003F6007" w:rsidP="008C4283">
      <w:pPr>
        <w:pStyle w:val="NewPara"/>
        <w:jc w:val="both"/>
      </w:pPr>
      <w:r w:rsidRPr="00F90DCD">
        <w:t>По рекомендации Подкомитета для совершенствования отчетности и терминологии, связанной с рыбоводством, в глоссарий ФАО были внесены дополнения. Кроме того, 24-27 мая 2015 года правительство Шри-Ланки в сотрудничестве с Азиатско-Тихоокеанской Комиссией рыбного хозяйства (АТКРХ) и ФАО провело в Шр</w:t>
      </w:r>
      <w:r w:rsidR="0012758C">
        <w:t xml:space="preserve">и-Ланке региональный практикум </w:t>
      </w:r>
      <w:r w:rsidR="0012758C" w:rsidRPr="00F90DCD">
        <w:t>«</w:t>
      </w:r>
      <w:r w:rsidRPr="00F90DCD">
        <w:t xml:space="preserve">Повышение вклада рыбоводства и связанное с этим расширение рыбного хозяйства во внутренних водах в рамках инициативы </w:t>
      </w:r>
      <w:r w:rsidR="0012758C">
        <w:t>"</w:t>
      </w:r>
      <w:r w:rsidRPr="00F90DCD">
        <w:t>Голубой рост</w:t>
      </w:r>
      <w:r w:rsidR="0012758C">
        <w:t>"</w:t>
      </w:r>
      <w:r w:rsidRPr="00F90DCD">
        <w:t>».</w:t>
      </w:r>
    </w:p>
    <w:p w:rsidR="00104DBB" w:rsidRPr="00F90DCD" w:rsidRDefault="00104DBB" w:rsidP="008C4283"/>
    <w:p w:rsidR="00104DBB" w:rsidRPr="00F90DCD" w:rsidRDefault="003F6007" w:rsidP="008C4283">
      <w:pPr>
        <w:pStyle w:val="Heading2"/>
        <w:numPr>
          <w:ilvl w:val="0"/>
          <w:numId w:val="0"/>
        </w:numPr>
        <w:ind w:left="1"/>
        <w:jc w:val="left"/>
      </w:pPr>
      <w:r w:rsidRPr="00F90DCD">
        <w:t xml:space="preserve">СПЕЦИАЛЬНОЕ МЕРОПРИЯТИЕ, ПОСВЯЩЕННОЕ ВОПРОСАМ УКРЕПЛЕНИЯ МЕЖДУНАРОДНОГО СОТРУДНИЧЕСТВА С ЦЕЛЬЮ УСКОРЕНИЯ УСТОЙЧИВОГО РАЗВИТИЯ АКВАКУЛЬТУРЫ </w:t>
      </w:r>
    </w:p>
    <w:p w:rsidR="00104DBB" w:rsidRPr="00F90DCD" w:rsidRDefault="00104DBB" w:rsidP="008C4283"/>
    <w:p w:rsidR="00104DBB" w:rsidRPr="00F90DCD" w:rsidRDefault="003F6007" w:rsidP="008C4283">
      <w:pPr>
        <w:pStyle w:val="NewPara"/>
        <w:jc w:val="both"/>
      </w:pPr>
      <w:r w:rsidRPr="00F90DCD">
        <w:t xml:space="preserve">Сотрудничество Юг-Юг (СЮЮ) продолжало играть важную роль в период между сессиями. 1-5 июня 2015 года Секретариат организовал консультативный семинар экспертов высокого уровня по устойчивому развитию </w:t>
      </w:r>
      <w:proofErr w:type="spellStart"/>
      <w:r w:rsidRPr="00F90DCD">
        <w:t>аквакультуры</w:t>
      </w:r>
      <w:proofErr w:type="spellEnd"/>
      <w:r w:rsidRPr="00F90DCD">
        <w:t xml:space="preserve"> и рыбного хозяйства во внутренних водах в рамках программы сотрудничества Юг-Юг между ФАО и Китаем в </w:t>
      </w:r>
      <w:proofErr w:type="spellStart"/>
      <w:r w:rsidRPr="00F90DCD">
        <w:t>Вукси</w:t>
      </w:r>
      <w:proofErr w:type="spellEnd"/>
      <w:r w:rsidRPr="00F90DCD">
        <w:t xml:space="preserve">, Китай. Кроме того, Секретариат организовал проведение специальной сессии по неформальным подходам в образовании и СЮЮ на втором Международном симпозиуме по образованию в сфере </w:t>
      </w:r>
      <w:proofErr w:type="spellStart"/>
      <w:r w:rsidRPr="00F90DCD">
        <w:t>аквакультуры</w:t>
      </w:r>
      <w:proofErr w:type="spellEnd"/>
      <w:r w:rsidRPr="00F90DCD">
        <w:t xml:space="preserve"> и рыбного хозяйства, прошедшем 22-24 апреля 2015 года в Шанхайском океанском университете (Шанхай, Китай). ФАО также поддерживает разработку и </w:t>
      </w:r>
      <w:r w:rsidRPr="00F90DCD">
        <w:lastRenderedPageBreak/>
        <w:t xml:space="preserve">осуществление второго этапа программы СЮЮ Китай-Монголия, включающей в себя компонент поддержки развития </w:t>
      </w:r>
      <w:proofErr w:type="spellStart"/>
      <w:r w:rsidRPr="00F90DCD">
        <w:t>аквакультуры</w:t>
      </w:r>
      <w:proofErr w:type="spellEnd"/>
      <w:r w:rsidRPr="00F90DCD">
        <w:t xml:space="preserve"> в Монголии.</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 Программа технической помощи между Намибией и Вьетнамом, рассчитанная на период 2010-2015 годов, направлена на поддержку развития </w:t>
      </w:r>
      <w:proofErr w:type="spellStart"/>
      <w:r w:rsidRPr="00F90DCD">
        <w:t>аквакультуры</w:t>
      </w:r>
      <w:proofErr w:type="spellEnd"/>
      <w:r w:rsidRPr="00F90DCD">
        <w:t xml:space="preserve"> в Намибии посредством привлечения экспертов и технических специалистов из Вьетнама по линии СЮЮ. </w:t>
      </w:r>
      <w:proofErr w:type="gramStart"/>
      <w:r w:rsidRPr="00F90DCD">
        <w:t xml:space="preserve">В ходе реализации программы достигнуты следующие результаты: i) национальная программа генетического отбора </w:t>
      </w:r>
      <w:proofErr w:type="spellStart"/>
      <w:r w:rsidRPr="00F90DCD">
        <w:t>тилапии</w:t>
      </w:r>
      <w:proofErr w:type="spellEnd"/>
      <w:r w:rsidRPr="00F90DCD">
        <w:t xml:space="preserve"> Андерсона (</w:t>
      </w:r>
      <w:proofErr w:type="spellStart"/>
      <w:r w:rsidRPr="00F90DCD">
        <w:t>Oreochromis</w:t>
      </w:r>
      <w:proofErr w:type="spellEnd"/>
      <w:r w:rsidRPr="00F90DCD">
        <w:t xml:space="preserve"> </w:t>
      </w:r>
      <w:proofErr w:type="spellStart"/>
      <w:r w:rsidRPr="00F90DCD">
        <w:t>andersonii</w:t>
      </w:r>
      <w:proofErr w:type="spellEnd"/>
      <w:r w:rsidRPr="00F90DCD">
        <w:t xml:space="preserve">); </w:t>
      </w:r>
      <w:proofErr w:type="spellStart"/>
      <w:r w:rsidRPr="00F90DCD">
        <w:t>ii</w:t>
      </w:r>
      <w:proofErr w:type="spellEnd"/>
      <w:r w:rsidRPr="00F90DCD">
        <w:t xml:space="preserve">) успешное производство </w:t>
      </w:r>
      <w:proofErr w:type="spellStart"/>
      <w:r w:rsidRPr="00F90DCD">
        <w:t>тилапии</w:t>
      </w:r>
      <w:proofErr w:type="spellEnd"/>
      <w:r w:rsidRPr="00F90DCD">
        <w:t xml:space="preserve"> Андерсона с получением популяций, представленных исключительно самцами, посредством гормональных техник трансформации пола; </w:t>
      </w:r>
      <w:proofErr w:type="spellStart"/>
      <w:r w:rsidRPr="00F90DCD">
        <w:t>iii</w:t>
      </w:r>
      <w:proofErr w:type="spellEnd"/>
      <w:r w:rsidRPr="00F90DCD">
        <w:t>) исследование с целью улучшения качества рыбьего корма и практик регулирования кормов;</w:t>
      </w:r>
      <w:proofErr w:type="gramEnd"/>
      <w:r w:rsidRPr="00F90DCD">
        <w:t xml:space="preserve"> </w:t>
      </w:r>
      <w:proofErr w:type="spellStart"/>
      <w:proofErr w:type="gramStart"/>
      <w:r w:rsidRPr="00F90DCD">
        <w:t>iv</w:t>
      </w:r>
      <w:proofErr w:type="spellEnd"/>
      <w:r w:rsidRPr="00F90DCD">
        <w:t xml:space="preserve">) укрепление потенциала для повышения качества производства рыбопосадочного материала </w:t>
      </w:r>
      <w:proofErr w:type="spellStart"/>
      <w:r w:rsidRPr="00F90DCD">
        <w:t>тилапии</w:t>
      </w:r>
      <w:proofErr w:type="spellEnd"/>
      <w:r w:rsidRPr="00F90DCD">
        <w:t xml:space="preserve"> Андерсона и африканского </w:t>
      </w:r>
      <w:proofErr w:type="spellStart"/>
      <w:r w:rsidRPr="00F90DCD">
        <w:t>клариевого</w:t>
      </w:r>
      <w:proofErr w:type="spellEnd"/>
      <w:r w:rsidRPr="00F90DCD">
        <w:t xml:space="preserve"> сома (</w:t>
      </w:r>
      <w:proofErr w:type="spellStart"/>
      <w:r w:rsidRPr="00F90DCD">
        <w:t>Clarias</w:t>
      </w:r>
      <w:proofErr w:type="spellEnd"/>
      <w:r w:rsidRPr="00F90DCD">
        <w:t xml:space="preserve"> </w:t>
      </w:r>
      <w:proofErr w:type="spellStart"/>
      <w:r w:rsidRPr="00F90DCD">
        <w:t>gariepinus</w:t>
      </w:r>
      <w:proofErr w:type="spellEnd"/>
      <w:r w:rsidRPr="00F90DCD">
        <w:t xml:space="preserve">); и v) национальная стратегия расширения </w:t>
      </w:r>
      <w:proofErr w:type="spellStart"/>
      <w:r w:rsidRPr="00F90DCD">
        <w:t>аквакультуры</w:t>
      </w:r>
      <w:proofErr w:type="spellEnd"/>
      <w:r w:rsidRPr="00F90DCD">
        <w:t xml:space="preserve"> и учебный материал по </w:t>
      </w:r>
      <w:proofErr w:type="spellStart"/>
      <w:r w:rsidRPr="00F90DCD">
        <w:t>аквакультуре</w:t>
      </w:r>
      <w:proofErr w:type="spellEnd"/>
      <w:r w:rsidRPr="00F90DCD">
        <w:t xml:space="preserve"> для развития потенциала рыбоводов и технических специалистов.</w:t>
      </w:r>
      <w:proofErr w:type="gramEnd"/>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В августе 2014 года в Ибаге, Колумбия, было проведено региональное совещание по обмену опытом и имеющимися на местном уровне знаниями с участием хозяйств, занимающихся мелкомасштабной </w:t>
      </w:r>
      <w:proofErr w:type="spellStart"/>
      <w:r w:rsidRPr="00F90DCD">
        <w:t>аквакультурой</w:t>
      </w:r>
      <w:proofErr w:type="spellEnd"/>
      <w:r w:rsidRPr="00F90DCD">
        <w:t xml:space="preserve"> в странах Латинской Америки и Карибского бассейна. В нем участвовали семь стран (Антигуа и </w:t>
      </w:r>
      <w:proofErr w:type="spellStart"/>
      <w:r w:rsidRPr="00F90DCD">
        <w:t>Барбуда</w:t>
      </w:r>
      <w:proofErr w:type="spellEnd"/>
      <w:r w:rsidRPr="00F90DCD">
        <w:t xml:space="preserve">, Боливия, Колумбия, Коста-Рика, Эквадор, Гватемала, Мексика и Парагвай), которые рассказали о результатах и ходе работы по организации комплексных фермерских полевых школ в сфере сельского хозяйства и </w:t>
      </w:r>
      <w:proofErr w:type="spellStart"/>
      <w:r w:rsidRPr="00F90DCD">
        <w:t>аквакультуры</w:t>
      </w:r>
      <w:proofErr w:type="spellEnd"/>
      <w:r w:rsidRPr="00F90DCD">
        <w:t xml:space="preserve">, а также определили возможности для сотрудничества Юг-Юг. Бразилия продолжает идти по пути поддержки и поощрения СЮЮ для устойчивого развития </w:t>
      </w:r>
      <w:proofErr w:type="spellStart"/>
      <w:r w:rsidRPr="00F90DCD">
        <w:t>аквакультуры</w:t>
      </w:r>
      <w:proofErr w:type="spellEnd"/>
      <w:r w:rsidRPr="00F90DCD">
        <w:t xml:space="preserve"> при посредстве RAA с целью обеспечения передачи информации и знаний между странами Латинской Америки и Карибского бассейна.</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В 2016 году в рамках широкомасштабного сотрудничества между Бразилией и ФАО будет осуществляться программа "Укрепление секторов рыбного хозяйства и </w:t>
      </w:r>
      <w:proofErr w:type="spellStart"/>
      <w:r w:rsidRPr="00F90DCD">
        <w:t>аквакультуры</w:t>
      </w:r>
      <w:proofErr w:type="spellEnd"/>
      <w:r w:rsidRPr="00F90DCD">
        <w:t xml:space="preserve"> в Африке", направленная на поощрение и осуществление трехстороннего технического сотрудничества. Она </w:t>
      </w:r>
      <w:proofErr w:type="gramStart"/>
      <w:r w:rsidRPr="00F90DCD">
        <w:t>рассматривается</w:t>
      </w:r>
      <w:proofErr w:type="gramEnd"/>
      <w:r w:rsidRPr="00F90DCD">
        <w:t xml:space="preserve"> как возможность поделиться полученным Бразилией ценным опытом, а также имеющимися в стране передовыми практиками с другими развивающимися странами с целью искоренения нищеты, обеспечения продовольственной безопасности, возможностей для трудоустройства и получения дохода посредством устойчивого управления рыбными ресурсами. В рамках программы будет поддерживаться деятельность, согласованная с региональными приоритетами и стратегическим механизмом ФАО; она будет ориентирована на укрепление потенциала региональных организаций и оказание поддержки правительствам африканских стран в области рыбного хозяйства и </w:t>
      </w:r>
      <w:proofErr w:type="spellStart"/>
      <w:r w:rsidRPr="00F90DCD">
        <w:t>аквакультуры</w:t>
      </w:r>
      <w:proofErr w:type="spellEnd"/>
      <w:r w:rsidRPr="00F90DCD">
        <w:t>. Программа будет полностью согласована с другими двусторонними и трехсторонними инициативами Бразилии по линии СЮЮ в регионе, а также другой текущей деятельностью, осуществляемой ФАО.</w:t>
      </w:r>
    </w:p>
    <w:p w:rsidR="00104DBB" w:rsidRPr="00F90DCD" w:rsidRDefault="00104DBB" w:rsidP="008C4283">
      <w:pPr>
        <w:pStyle w:val="NewPara"/>
        <w:numPr>
          <w:ilvl w:val="0"/>
          <w:numId w:val="0"/>
        </w:numPr>
        <w:jc w:val="both"/>
      </w:pPr>
    </w:p>
    <w:p w:rsidR="00104DBB" w:rsidRPr="00F90DCD" w:rsidRDefault="003F6007" w:rsidP="008C4283">
      <w:pPr>
        <w:pStyle w:val="NewPara"/>
        <w:jc w:val="both"/>
      </w:pPr>
      <w:r w:rsidRPr="00F90DCD">
        <w:t xml:space="preserve">На своей седьмой сессии Подкомитет по </w:t>
      </w:r>
      <w:proofErr w:type="spellStart"/>
      <w:r w:rsidRPr="00F90DCD">
        <w:t>аквакультуре</w:t>
      </w:r>
      <w:proofErr w:type="spellEnd"/>
      <w:r w:rsidRPr="00F90DCD">
        <w:t xml:space="preserve"> предложил Секретариату рассмотреть вопрос об учреждении Всемирного дня </w:t>
      </w:r>
      <w:proofErr w:type="spellStart"/>
      <w:r w:rsidRPr="00F90DCD">
        <w:t>аквакультуры</w:t>
      </w:r>
      <w:proofErr w:type="spellEnd"/>
      <w:r w:rsidRPr="00F90DCD">
        <w:t xml:space="preserve">. В резолюции 1980/67 Организации Объединенных Наций излагаются руководящие принципы для объявления международных годов, однако руководящие принципы в отношении международных дней отсутствуют. В целом предложение провозгласить Международный день носит политический характер; следовательно, на уровне ФАО такое заявление может сделать Конференция или Совет. Например, Всемирный день продовольствия и Международный день лесов были объявлены в результате резолюции Конференции. Если это не подразумевает никаких расходов и в этой связи к членам не будут предъявлены те или иные требования, Совет может </w:t>
      </w:r>
      <w:r w:rsidRPr="00F90DCD">
        <w:lastRenderedPageBreak/>
        <w:t xml:space="preserve">провозгласить Международный день. Однако запрос о проведении такого мероприятия должен исходить от членов Совета. Членам предлагается обсудить подробности на заседаниях Совета и Конференции и предпринять необходимые шаги для учреждения Всемирного дня </w:t>
      </w:r>
      <w:proofErr w:type="spellStart"/>
      <w:r w:rsidRPr="00F90DCD">
        <w:t>аквакультуры</w:t>
      </w:r>
      <w:proofErr w:type="spellEnd"/>
      <w:r w:rsidRPr="00F90DCD">
        <w:t>.</w:t>
      </w:r>
    </w:p>
    <w:p w:rsidR="00104DBB" w:rsidRPr="00F90DCD" w:rsidRDefault="00104DBB" w:rsidP="008C4283">
      <w:pPr>
        <w:pStyle w:val="NewPara"/>
        <w:numPr>
          <w:ilvl w:val="0"/>
          <w:numId w:val="0"/>
        </w:numPr>
        <w:jc w:val="both"/>
      </w:pPr>
    </w:p>
    <w:p w:rsidR="0022317E" w:rsidRPr="00F90DCD" w:rsidRDefault="0022317E" w:rsidP="00104DBB"/>
    <w:sectPr w:rsidR="0022317E" w:rsidRPr="00F90DCD" w:rsidSect="00104DB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758" w:rsidRDefault="005B7758" w:rsidP="00104DBB">
      <w:pPr>
        <w:spacing w:before="0"/>
      </w:pPr>
      <w:r>
        <w:separator/>
      </w:r>
    </w:p>
  </w:endnote>
  <w:endnote w:type="continuationSeparator" w:id="0">
    <w:p w:rsidR="005B7758" w:rsidRDefault="005B7758" w:rsidP="00104DB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032041">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032041">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9071"/>
    </w:tblGrid>
    <w:tr w:rsidR="00930612" w:rsidTr="00580123">
      <w:tc>
        <w:tcPr>
          <w:tcW w:w="9071" w:type="dxa"/>
        </w:tcPr>
        <w:p w:rsidR="00930612" w:rsidRPr="00580123" w:rsidRDefault="003F6007" w:rsidP="00580123">
          <w:pPr>
            <w:pStyle w:val="Note"/>
            <w:textboxTightWrap w:val="allLines"/>
          </w:pPr>
          <w:bookmarkStart w:id="11" w:name="NotesBookmark"/>
          <w:r>
            <w:t xml:space="preserve">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 Просьба к делегатам и наблюдателям приносить на заседания свои экземпляры документа и не запрашивать дополнительных копий. Большинство документов к заседаниям ФАО размещено в Интернете по адресу: www.fao.org </w:t>
          </w:r>
          <w:bookmarkEnd w:id="11"/>
        </w:p>
      </w:tc>
    </w:tr>
  </w:tbl>
  <w:p w:rsidR="009C0B0C" w:rsidRPr="009C0B0C" w:rsidRDefault="003F6007" w:rsidP="00EC4381">
    <w:bookmarkStart w:id="12" w:name="FooterInformationBookmark"/>
    <w: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758" w:rsidRDefault="005B7758" w:rsidP="00104DBB">
      <w:pPr>
        <w:spacing w:before="0"/>
      </w:pPr>
      <w:r>
        <w:separator/>
      </w:r>
    </w:p>
  </w:footnote>
  <w:footnote w:type="continuationSeparator" w:id="0">
    <w:p w:rsidR="005B7758" w:rsidRDefault="005B7758" w:rsidP="00104DBB">
      <w:pPr>
        <w:spacing w:before="0"/>
      </w:pPr>
      <w:r>
        <w:continuationSeparator/>
      </w:r>
    </w:p>
  </w:footnote>
  <w:footnote w:id="1">
    <w:p w:rsidR="000B6D6B" w:rsidRDefault="003F6007" w:rsidP="00CA0E9F">
      <w:pPr>
        <w:pStyle w:val="FootnoteText"/>
        <w:ind w:left="142" w:hanging="142"/>
        <w:jc w:val="both"/>
      </w:pPr>
      <w:r>
        <w:rPr>
          <w:rStyle w:val="FootnoteReference"/>
          <w:rFonts w:cs="Akhbar MT"/>
          <w:smallCaps w:val="0"/>
          <w:sz w:val="18"/>
        </w:rPr>
        <w:footnoteRef/>
      </w:r>
      <w:r>
        <w:t xml:space="preserve"> Повышение объемов производства </w:t>
      </w:r>
      <w:proofErr w:type="spellStart"/>
      <w:r>
        <w:t>аквакультуры</w:t>
      </w:r>
      <w:proofErr w:type="spellEnd"/>
      <w:r>
        <w:t xml:space="preserve"> для обеспечения продовольственной безопасности и развития сельских районов в Бангладеш посредством совершенствования производства рыбопосадочного материала и кормов и управления этим процессом, с приданием особой важности государственно-частным партнерствам (TCP/BGD/3501).</w:t>
      </w:r>
    </w:p>
  </w:footnote>
  <w:footnote w:id="2">
    <w:p w:rsidR="000B6D6B" w:rsidRDefault="003F6007" w:rsidP="00CA0E9F">
      <w:pPr>
        <w:pStyle w:val="FootnoteText"/>
        <w:ind w:left="142" w:hanging="142"/>
        <w:jc w:val="both"/>
      </w:pPr>
      <w:r>
        <w:rPr>
          <w:rStyle w:val="FootnoteReference"/>
          <w:rFonts w:cs="Akhbar MT"/>
          <w:smallCaps w:val="0"/>
          <w:sz w:val="18"/>
        </w:rPr>
        <w:footnoteRef/>
      </w:r>
      <w:r>
        <w:t xml:space="preserve"> Повышение объемов производства продукции </w:t>
      </w:r>
      <w:proofErr w:type="spellStart"/>
      <w:r>
        <w:t>аквакультуры</w:t>
      </w:r>
      <w:proofErr w:type="spellEnd"/>
      <w:r>
        <w:t xml:space="preserve"> для обеспечения продовольственной безопасности и развития сельских районов путем совершенствования цепочек создания стоимости, производства и использования кормов (TCP/KYR/3502).</w:t>
      </w:r>
    </w:p>
  </w:footnote>
  <w:footnote w:id="3">
    <w:p w:rsidR="000B6D6B" w:rsidRDefault="003F6007" w:rsidP="00CA0E9F">
      <w:pPr>
        <w:pStyle w:val="FootnoteText"/>
        <w:ind w:left="142" w:hanging="142"/>
        <w:jc w:val="both"/>
      </w:pPr>
      <w:r>
        <w:rPr>
          <w:rStyle w:val="FootnoteReference"/>
          <w:rFonts w:cs="Akhbar MT"/>
          <w:smallCaps w:val="0"/>
          <w:sz w:val="18"/>
        </w:rPr>
        <w:footnoteRef/>
      </w:r>
      <w:r>
        <w:t xml:space="preserve"> Улучшение </w:t>
      </w:r>
      <w:proofErr w:type="spellStart"/>
      <w:r>
        <w:t>аквакультуры</w:t>
      </w:r>
      <w:proofErr w:type="spellEnd"/>
      <w:r>
        <w:t xml:space="preserve"> </w:t>
      </w:r>
      <w:proofErr w:type="spellStart"/>
      <w:r>
        <w:t>сибаса</w:t>
      </w:r>
      <w:proofErr w:type="spellEnd"/>
      <w:r>
        <w:t xml:space="preserve"> (</w:t>
      </w:r>
      <w:proofErr w:type="spellStart"/>
      <w:r>
        <w:t>Lates</w:t>
      </w:r>
      <w:proofErr w:type="spellEnd"/>
      <w:r>
        <w:t xml:space="preserve"> </w:t>
      </w:r>
      <w:proofErr w:type="spellStart"/>
      <w:r>
        <w:t>calcarifer</w:t>
      </w:r>
      <w:proofErr w:type="spellEnd"/>
      <w:r>
        <w:t>) в Шри-Ланке путем повышения качества кормов и улучшения охраны здоровья (TCP/SLR/3502).</w:t>
      </w:r>
    </w:p>
  </w:footnote>
  <w:footnote w:id="4">
    <w:p w:rsidR="000B6D6B" w:rsidRDefault="003F6007" w:rsidP="00CA0E9F">
      <w:pPr>
        <w:pStyle w:val="FootnoteText"/>
        <w:ind w:left="142" w:hanging="142"/>
      </w:pPr>
      <w:r>
        <w:rPr>
          <w:rStyle w:val="FootnoteReference"/>
          <w:rFonts w:cs="Akhbar MT"/>
          <w:smallCaps w:val="0"/>
          <w:sz w:val="18"/>
        </w:rPr>
        <w:footnoteRef/>
      </w:r>
      <w:r>
        <w:t xml:space="preserve"> Работа по повышению устойчивости </w:t>
      </w:r>
      <w:proofErr w:type="spellStart"/>
      <w:r>
        <w:t>аквакультуры</w:t>
      </w:r>
      <w:proofErr w:type="spellEnd"/>
      <w:r>
        <w:t xml:space="preserve"> и развитию рыбного хозяйства в </w:t>
      </w:r>
      <w:proofErr w:type="spellStart"/>
      <w:r>
        <w:t>Кыргызской</w:t>
      </w:r>
      <w:proofErr w:type="spellEnd"/>
      <w:r>
        <w:t xml:space="preserve"> Республике (GCP/KYR/012/FIN).</w:t>
      </w:r>
    </w:p>
  </w:footnote>
  <w:footnote w:id="5">
    <w:p w:rsidR="000B6D6B" w:rsidRDefault="003F6007" w:rsidP="00104DBB">
      <w:pPr>
        <w:pStyle w:val="FootnoteText"/>
        <w:ind w:left="142" w:hanging="142"/>
        <w:jc w:val="both"/>
      </w:pPr>
      <w:r>
        <w:rPr>
          <w:rStyle w:val="FootnoteReference"/>
          <w:rFonts w:cs="Akhbar MT"/>
          <w:smallCaps w:val="0"/>
          <w:sz w:val="18"/>
        </w:rPr>
        <w:footnoteRef/>
      </w:r>
      <w:r w:rsidRPr="00CA0E9F">
        <w:rPr>
          <w:lang w:val="en-US"/>
        </w:rPr>
        <w:t xml:space="preserve"> </w:t>
      </w:r>
      <w:proofErr w:type="gramStart"/>
      <w:r w:rsidRPr="00CA0E9F">
        <w:rPr>
          <w:lang w:val="en-US"/>
        </w:rPr>
        <w:t xml:space="preserve">Somerville, C., Cohen, M., </w:t>
      </w:r>
      <w:proofErr w:type="spellStart"/>
      <w:r w:rsidRPr="00CA0E9F">
        <w:rPr>
          <w:lang w:val="en-US"/>
        </w:rPr>
        <w:t>Pantanella</w:t>
      </w:r>
      <w:proofErr w:type="spellEnd"/>
      <w:r w:rsidRPr="00CA0E9F">
        <w:rPr>
          <w:lang w:val="en-US"/>
        </w:rPr>
        <w:t xml:space="preserve">, E., </w:t>
      </w:r>
      <w:proofErr w:type="spellStart"/>
      <w:r w:rsidRPr="00CA0E9F">
        <w:rPr>
          <w:lang w:val="en-US"/>
        </w:rPr>
        <w:t>Stankus</w:t>
      </w:r>
      <w:proofErr w:type="spellEnd"/>
      <w:r w:rsidRPr="00CA0E9F">
        <w:rPr>
          <w:lang w:val="en-US"/>
        </w:rPr>
        <w:t xml:space="preserve">, A. &amp; </w:t>
      </w:r>
      <w:proofErr w:type="spellStart"/>
      <w:r w:rsidRPr="00CA0E9F">
        <w:rPr>
          <w:lang w:val="en-US"/>
        </w:rPr>
        <w:t>Lovatelli</w:t>
      </w:r>
      <w:proofErr w:type="spellEnd"/>
      <w:r w:rsidRPr="00CA0E9F">
        <w:rPr>
          <w:lang w:val="en-US"/>
        </w:rPr>
        <w:t>, A. 2014.</w:t>
      </w:r>
      <w:proofErr w:type="gramEnd"/>
      <w:r w:rsidRPr="00CA0E9F">
        <w:rPr>
          <w:lang w:val="en-US"/>
        </w:rPr>
        <w:t xml:space="preserve"> </w:t>
      </w:r>
      <w:proofErr w:type="gramStart"/>
      <w:r w:rsidRPr="00CA0E9F">
        <w:rPr>
          <w:i/>
          <w:lang w:val="en-US"/>
        </w:rPr>
        <w:t xml:space="preserve">Small-scale </w:t>
      </w:r>
      <w:proofErr w:type="spellStart"/>
      <w:r w:rsidRPr="00CA0E9F">
        <w:rPr>
          <w:i/>
          <w:lang w:val="en-US"/>
        </w:rPr>
        <w:t>aquaponic</w:t>
      </w:r>
      <w:proofErr w:type="spellEnd"/>
      <w:r w:rsidRPr="00CA0E9F">
        <w:rPr>
          <w:i/>
          <w:lang w:val="en-US"/>
        </w:rPr>
        <w:t xml:space="preserve"> food production.</w:t>
      </w:r>
      <w:proofErr w:type="gramEnd"/>
      <w:r w:rsidRPr="00CA0E9F">
        <w:rPr>
          <w:i/>
          <w:lang w:val="en-US"/>
        </w:rPr>
        <w:t xml:space="preserve"> </w:t>
      </w:r>
      <w:proofErr w:type="gramStart"/>
      <w:r w:rsidRPr="00CA0E9F">
        <w:rPr>
          <w:lang w:val="en-US"/>
        </w:rPr>
        <w:t>Integrated fish and plant farming.</w:t>
      </w:r>
      <w:proofErr w:type="gramEnd"/>
      <w:r w:rsidRPr="00CA0E9F">
        <w:rPr>
          <w:lang w:val="en-US"/>
        </w:rPr>
        <w:t xml:space="preserve"> FAO Fisheries and Aquaculture Technical Paper No. 589. Rome</w:t>
      </w:r>
      <w:r w:rsidRPr="00F90DCD">
        <w:t xml:space="preserve">, </w:t>
      </w:r>
      <w:r w:rsidRPr="00CA0E9F">
        <w:rPr>
          <w:lang w:val="en-US"/>
        </w:rPr>
        <w:t>FAO</w:t>
      </w:r>
      <w:r w:rsidRPr="00F90DCD">
        <w:t>. 262</w:t>
      </w:r>
      <w:r w:rsidRPr="00CA0E9F">
        <w:rPr>
          <w:lang w:val="en-US"/>
        </w:rPr>
        <w:t> pp</w:t>
      </w:r>
      <w:r w:rsidRPr="00F90DCD">
        <w:t>.</w:t>
      </w:r>
    </w:p>
  </w:footnote>
  <w:footnote w:id="6">
    <w:p w:rsidR="000B6D6B" w:rsidRDefault="003F6007" w:rsidP="00104DBB">
      <w:pPr>
        <w:pStyle w:val="FootnoteText"/>
      </w:pPr>
      <w:r>
        <w:rPr>
          <w:rStyle w:val="FootnoteReference"/>
          <w:rFonts w:cs="Akhbar MT"/>
          <w:smallCaps w:val="0"/>
          <w:sz w:val="18"/>
        </w:rPr>
        <w:footnoteRef/>
      </w:r>
      <w:r>
        <w:t xml:space="preserve"> Шведское агентство международного сотрудничества в области развития</w:t>
      </w:r>
    </w:p>
  </w:footnote>
  <w:footnote w:id="7">
    <w:p w:rsidR="000B6D6B" w:rsidRDefault="003F6007" w:rsidP="00104DBB">
      <w:pPr>
        <w:pStyle w:val="FootnoteText"/>
      </w:pPr>
      <w:r>
        <w:rPr>
          <w:rStyle w:val="FootnoteReference"/>
          <w:rFonts w:cs="Akhbar MT"/>
          <w:smallCaps w:val="0"/>
          <w:sz w:val="18"/>
        </w:rPr>
        <w:footnoteRef/>
      </w:r>
      <w:r>
        <w:t xml:space="preserve">  https://gfcmsitestorage.blob.core.windows.net/documents/CAQ/2014/RegionalAquacultureConference/Final_conclusions_Bari_e-f.pdf</w:t>
      </w:r>
    </w:p>
  </w:footnote>
  <w:footnote w:id="8">
    <w:p w:rsidR="000B6D6B" w:rsidRDefault="003F6007" w:rsidP="00104DBB">
      <w:pPr>
        <w:pStyle w:val="FootnoteText"/>
        <w:ind w:left="142" w:hanging="142"/>
      </w:pPr>
      <w:r>
        <w:rPr>
          <w:rStyle w:val="FootnoteReference"/>
          <w:rFonts w:cs="Akhbar MT"/>
          <w:smallCaps w:val="0"/>
          <w:sz w:val="18"/>
        </w:rPr>
        <w:footnoteRef/>
      </w:r>
      <w:r w:rsidRPr="00CA0E9F">
        <w:rPr>
          <w:lang w:val="en-US"/>
        </w:rPr>
        <w:t xml:space="preserve">  </w:t>
      </w:r>
      <w:r>
        <w:t>Пресс</w:t>
      </w:r>
      <w:r w:rsidRPr="00CA0E9F">
        <w:rPr>
          <w:lang w:val="en-US"/>
        </w:rPr>
        <w:t>-</w:t>
      </w:r>
      <w:r>
        <w:t>релиз</w:t>
      </w:r>
      <w:r w:rsidRPr="00CA0E9F">
        <w:rPr>
          <w:lang w:val="en-US"/>
        </w:rPr>
        <w:t xml:space="preserve">. </w:t>
      </w:r>
      <w:r w:rsidRPr="00CA0E9F">
        <w:rPr>
          <w:i/>
          <w:lang w:val="en-US"/>
        </w:rPr>
        <w:t>Angola committed to growing sustainable aquaculture</w:t>
      </w:r>
      <w:r w:rsidRPr="00CA0E9F">
        <w:rPr>
          <w:lang w:val="en-US"/>
        </w:rPr>
        <w:t xml:space="preserve">. </w:t>
      </w:r>
      <w:r>
        <w:t>(Публикация размещена по адресу: www.fao.org/</w:t>
      </w:r>
      <w:proofErr w:type="spellStart"/>
      <w:r>
        <w:t>africa</w:t>
      </w:r>
      <w:proofErr w:type="spellEnd"/>
      <w:r>
        <w:t>/</w:t>
      </w:r>
      <w:proofErr w:type="spellStart"/>
      <w:r>
        <w:t>news</w:t>
      </w:r>
      <w:proofErr w:type="spellEnd"/>
      <w:r>
        <w:t>/</w:t>
      </w:r>
      <w:proofErr w:type="spellStart"/>
      <w:r>
        <w:t>detail-news</w:t>
      </w:r>
      <w:proofErr w:type="spellEnd"/>
      <w:r>
        <w:t>/</w:t>
      </w:r>
      <w:proofErr w:type="spellStart"/>
      <w:r>
        <w:t>en</w:t>
      </w:r>
      <w:proofErr w:type="spellEnd"/>
      <w:r>
        <w:t>/c/270410)</w:t>
      </w:r>
    </w:p>
  </w:footnote>
  <w:footnote w:id="9">
    <w:p w:rsidR="000B6D6B" w:rsidRDefault="003F6007" w:rsidP="00104DBB">
      <w:pPr>
        <w:pStyle w:val="FootnoteText"/>
        <w:ind w:left="142" w:hanging="142"/>
      </w:pPr>
      <w:r>
        <w:rPr>
          <w:rStyle w:val="FootnoteReference"/>
          <w:rFonts w:cs="Akhbar MT"/>
          <w:smallCaps w:val="0"/>
          <w:sz w:val="18"/>
        </w:rPr>
        <w:footnoteRef/>
      </w:r>
      <w:r>
        <w:t xml:space="preserve">  Проект в Саудовской Аравии служит продолжением работы РКРХ по территориальному планированию. ФАО</w:t>
      </w:r>
      <w:r w:rsidRPr="00CA0E9F">
        <w:rPr>
          <w:lang w:val="en-US"/>
        </w:rPr>
        <w:t>/</w:t>
      </w:r>
      <w:r>
        <w:t>Региональная</w:t>
      </w:r>
      <w:r w:rsidRPr="00CA0E9F">
        <w:rPr>
          <w:lang w:val="en-US"/>
        </w:rPr>
        <w:t xml:space="preserve"> </w:t>
      </w:r>
      <w:r>
        <w:t>комиссия</w:t>
      </w:r>
      <w:r w:rsidRPr="00CA0E9F">
        <w:rPr>
          <w:lang w:val="en-US"/>
        </w:rPr>
        <w:t xml:space="preserve"> </w:t>
      </w:r>
      <w:r>
        <w:t>по</w:t>
      </w:r>
      <w:r w:rsidRPr="00CA0E9F">
        <w:rPr>
          <w:lang w:val="en-US"/>
        </w:rPr>
        <w:t xml:space="preserve"> </w:t>
      </w:r>
      <w:r>
        <w:t>рыбному</w:t>
      </w:r>
      <w:r w:rsidRPr="00CA0E9F">
        <w:rPr>
          <w:lang w:val="en-US"/>
        </w:rPr>
        <w:t xml:space="preserve"> </w:t>
      </w:r>
      <w:r>
        <w:t>хозяйству</w:t>
      </w:r>
      <w:r w:rsidRPr="00CA0E9F">
        <w:rPr>
          <w:lang w:val="en-US"/>
        </w:rPr>
        <w:t xml:space="preserve">. 2013 </w:t>
      </w:r>
      <w:r>
        <w:t>год</w:t>
      </w:r>
      <w:r w:rsidRPr="00CA0E9F">
        <w:rPr>
          <w:lang w:val="en-US"/>
        </w:rPr>
        <w:t xml:space="preserve">. </w:t>
      </w:r>
      <w:proofErr w:type="gramStart"/>
      <w:r w:rsidRPr="00CA0E9F">
        <w:rPr>
          <w:i/>
          <w:lang w:val="en-US"/>
        </w:rPr>
        <w:t xml:space="preserve">Report of the Regional Technical Workshop on a Spatial Planning Development </w:t>
      </w:r>
      <w:proofErr w:type="spellStart"/>
      <w:r w:rsidRPr="00CA0E9F">
        <w:rPr>
          <w:i/>
          <w:lang w:val="en-US"/>
        </w:rPr>
        <w:t>Programme</w:t>
      </w:r>
      <w:proofErr w:type="spellEnd"/>
      <w:r w:rsidRPr="00CA0E9F">
        <w:rPr>
          <w:i/>
          <w:lang w:val="en-US"/>
        </w:rPr>
        <w:t xml:space="preserve"> for Marine Capture Fisheries and Aquaculture.</w:t>
      </w:r>
      <w:proofErr w:type="gramEnd"/>
      <w:r w:rsidRPr="00CA0E9F">
        <w:rPr>
          <w:i/>
          <w:lang w:val="en-US"/>
        </w:rPr>
        <w:t xml:space="preserve"> Cairo, the Arab Republic of Egypt, 25–27 November 2012.</w:t>
      </w:r>
      <w:r w:rsidRPr="00CA0E9F">
        <w:rPr>
          <w:lang w:val="en-US"/>
        </w:rPr>
        <w:t xml:space="preserve"> FAO Fisheries and Aquaculture Report No. 1039. </w:t>
      </w:r>
      <w:proofErr w:type="spellStart"/>
      <w:r>
        <w:t>Rome</w:t>
      </w:r>
      <w:proofErr w:type="spellEnd"/>
      <w:r>
        <w:t>, FAO. 127 </w:t>
      </w:r>
      <w:proofErr w:type="spellStart"/>
      <w:r>
        <w:t>pp</w:t>
      </w:r>
      <w:proofErr w:type="spellEnd"/>
      <w:r>
        <w:t>.</w:t>
      </w:r>
    </w:p>
  </w:footnote>
  <w:footnote w:id="10">
    <w:p w:rsidR="00104DBB" w:rsidRPr="002401BA" w:rsidRDefault="003F6007" w:rsidP="00104DBB">
      <w:pPr>
        <w:pStyle w:val="FootnoteText"/>
        <w:ind w:left="142" w:hanging="142"/>
        <w:rPr>
          <w:szCs w:val="19"/>
        </w:rPr>
      </w:pPr>
      <w:r>
        <w:rPr>
          <w:rStyle w:val="FootnoteReference"/>
          <w:rFonts w:cs="Akhbar MT"/>
          <w:smallCaps w:val="0"/>
          <w:sz w:val="18"/>
        </w:rPr>
        <w:footnoteRef/>
      </w:r>
      <w:r>
        <w:t xml:space="preserve"> Отличной отправной точкой для формирования территориального каталога </w:t>
      </w:r>
      <w:proofErr w:type="spellStart"/>
      <w:r>
        <w:t>аквакультуры</w:t>
      </w:r>
      <w:proofErr w:type="spellEnd"/>
      <w:r>
        <w:t xml:space="preserve"> с учетом различных атрибутов, которые включают в себя виды, системы культур и производство, является коллекция карт в рамках Обзора национального рыбоводческого сектора ФАО. </w:t>
      </w:r>
    </w:p>
    <w:p w:rsidR="000B6D6B" w:rsidRDefault="003F6007" w:rsidP="00104DBB">
      <w:pPr>
        <w:pStyle w:val="FootnoteText"/>
        <w:ind w:left="142" w:hanging="142"/>
      </w:pPr>
      <w:r>
        <w:t xml:space="preserve">  (www.fao.org/</w:t>
      </w:r>
      <w:proofErr w:type="spellStart"/>
      <w:r>
        <w:t>fishery</w:t>
      </w:r>
      <w:proofErr w:type="spellEnd"/>
      <w:r>
        <w:t>/</w:t>
      </w:r>
      <w:proofErr w:type="spellStart"/>
      <w:r>
        <w:t>naso-maps</w:t>
      </w:r>
      <w:proofErr w:type="spellEnd"/>
      <w:r>
        <w:t>/</w:t>
      </w:r>
      <w:proofErr w:type="spellStart"/>
      <w:r>
        <w:t>naso-home</w:t>
      </w:r>
      <w:proofErr w:type="spellEnd"/>
      <w:r>
        <w:t>/</w:t>
      </w:r>
      <w:proofErr w:type="spellStart"/>
      <w:r>
        <w:t>en</w:t>
      </w:r>
      <w:proofErr w:type="spellEnd"/>
      <w:r>
        <w:t>/).</w:t>
      </w:r>
    </w:p>
  </w:footnote>
  <w:footnote w:id="11">
    <w:p w:rsidR="000B6D6B" w:rsidRDefault="003F6007" w:rsidP="00104DBB">
      <w:pPr>
        <w:pStyle w:val="FootnoteText"/>
        <w:ind w:left="142" w:hanging="142"/>
      </w:pPr>
      <w:r>
        <w:rPr>
          <w:rStyle w:val="FootnoteReference"/>
          <w:rFonts w:cs="Akhbar MT"/>
          <w:smallCaps w:val="0"/>
          <w:sz w:val="18"/>
        </w:rPr>
        <w:footnoteRef/>
      </w:r>
      <w:r>
        <w:t xml:space="preserve">  Ряд стран разработали или разрабатывают каталоги </w:t>
      </w:r>
      <w:proofErr w:type="spellStart"/>
      <w:r>
        <w:t>аквакультуры</w:t>
      </w:r>
      <w:proofErr w:type="spellEnd"/>
      <w:r>
        <w:t xml:space="preserve">, например, Ангола завершила составление каталога </w:t>
      </w:r>
      <w:proofErr w:type="spellStart"/>
      <w:r>
        <w:t>аквакультуры</w:t>
      </w:r>
      <w:proofErr w:type="spellEnd"/>
      <w:r>
        <w:t xml:space="preserve"> в 2015 году в рамках проекта под названием "Территориальное планирование зон </w:t>
      </w:r>
      <w:proofErr w:type="spellStart"/>
      <w:r>
        <w:t>аквакультуры</w:t>
      </w:r>
      <w:proofErr w:type="spellEnd"/>
      <w:r>
        <w:t xml:space="preserve"> в Республике Ангола". На шестом совещании Рабочей группы по </w:t>
      </w:r>
      <w:proofErr w:type="spellStart"/>
      <w:r>
        <w:t>аквакультуре</w:t>
      </w:r>
      <w:proofErr w:type="spellEnd"/>
      <w:r>
        <w:t xml:space="preserve"> (РГА) в Омане в 2014 году координаторы РГА приняли решение подготовить карты в рамках Обзора национального рыбоводческого сектора для стран, которые они представляют (UTF/ANG/051/ANG).</w:t>
      </w:r>
    </w:p>
  </w:footnote>
  <w:footnote w:id="12">
    <w:p w:rsidR="000B6D6B" w:rsidRPr="00F5103E" w:rsidRDefault="003F6007" w:rsidP="00104DBB">
      <w:pPr>
        <w:pStyle w:val="FootnoteText"/>
        <w:ind w:left="142" w:hanging="142"/>
        <w:rPr>
          <w:lang w:val="en-GB"/>
        </w:rPr>
      </w:pPr>
      <w:r>
        <w:rPr>
          <w:rStyle w:val="FootnoteReference"/>
          <w:rFonts w:cs="Akhbar MT"/>
          <w:smallCaps w:val="0"/>
          <w:sz w:val="18"/>
        </w:rPr>
        <w:footnoteRef/>
      </w:r>
      <w:r w:rsidRPr="00CA0E9F">
        <w:rPr>
          <w:lang w:val="en-US"/>
        </w:rPr>
        <w:t xml:space="preserve"> </w:t>
      </w:r>
      <w:proofErr w:type="spellStart"/>
      <w:proofErr w:type="gramStart"/>
      <w:r w:rsidRPr="00CA0E9F">
        <w:rPr>
          <w:lang w:val="en-US"/>
        </w:rPr>
        <w:t>Kapetsky</w:t>
      </w:r>
      <w:proofErr w:type="spellEnd"/>
      <w:r w:rsidRPr="00CA0E9F">
        <w:rPr>
          <w:lang w:val="en-US"/>
        </w:rPr>
        <w:t>, J.M., Aguilar-</w:t>
      </w:r>
      <w:proofErr w:type="spellStart"/>
      <w:r w:rsidRPr="00CA0E9F">
        <w:rPr>
          <w:lang w:val="en-US"/>
        </w:rPr>
        <w:t>Manjarrez</w:t>
      </w:r>
      <w:proofErr w:type="spellEnd"/>
      <w:r w:rsidRPr="00CA0E9F">
        <w:rPr>
          <w:lang w:val="en-US"/>
        </w:rPr>
        <w:t xml:space="preserve">, J. &amp; </w:t>
      </w:r>
      <w:proofErr w:type="spellStart"/>
      <w:r w:rsidRPr="00CA0E9F">
        <w:rPr>
          <w:lang w:val="en-US"/>
        </w:rPr>
        <w:t>Jenness</w:t>
      </w:r>
      <w:proofErr w:type="spellEnd"/>
      <w:r w:rsidRPr="00CA0E9F">
        <w:rPr>
          <w:lang w:val="en-US"/>
        </w:rPr>
        <w:t>, J. 2013.</w:t>
      </w:r>
      <w:proofErr w:type="gramEnd"/>
      <w:r w:rsidRPr="00CA0E9F">
        <w:rPr>
          <w:lang w:val="en-US"/>
        </w:rPr>
        <w:t xml:space="preserve"> </w:t>
      </w:r>
      <w:proofErr w:type="gramStart"/>
      <w:r w:rsidRPr="00CA0E9F">
        <w:rPr>
          <w:i/>
          <w:lang w:val="en-US"/>
        </w:rPr>
        <w:t xml:space="preserve">A global assessment of potential for offshore </w:t>
      </w:r>
      <w:proofErr w:type="spellStart"/>
      <w:r w:rsidRPr="00CA0E9F">
        <w:rPr>
          <w:i/>
          <w:lang w:val="en-US"/>
        </w:rPr>
        <w:t>mariculture</w:t>
      </w:r>
      <w:proofErr w:type="spellEnd"/>
      <w:r w:rsidRPr="00CA0E9F">
        <w:rPr>
          <w:i/>
          <w:lang w:val="en-US"/>
        </w:rPr>
        <w:t xml:space="preserve"> development from a spatial perspective.</w:t>
      </w:r>
      <w:proofErr w:type="gramEnd"/>
      <w:r w:rsidRPr="00CA0E9F">
        <w:rPr>
          <w:lang w:val="en-US"/>
        </w:rPr>
        <w:t xml:space="preserve"> FAO Fisheries and Aquaculture Technical Paper No. 549. Rome, FAO. </w:t>
      </w:r>
      <w:proofErr w:type="gramStart"/>
      <w:r w:rsidRPr="00CA0E9F">
        <w:rPr>
          <w:lang w:val="en-US"/>
        </w:rPr>
        <w:t>181 pp.</w:t>
      </w:r>
      <w:proofErr w:type="gramEnd"/>
    </w:p>
  </w:footnote>
  <w:footnote w:id="13">
    <w:p w:rsidR="000B6D6B" w:rsidRDefault="003F6007" w:rsidP="00104DBB">
      <w:pPr>
        <w:pStyle w:val="FootnoteText"/>
        <w:ind w:left="142" w:hanging="142"/>
      </w:pPr>
      <w:r>
        <w:rPr>
          <w:rStyle w:val="FootnoteReference"/>
          <w:rFonts w:cs="Akhbar MT"/>
          <w:smallCaps w:val="0"/>
          <w:sz w:val="18"/>
        </w:rPr>
        <w:footnoteRef/>
      </w:r>
      <w:r w:rsidRPr="00CA0E9F">
        <w:rPr>
          <w:lang w:val="en-US"/>
        </w:rPr>
        <w:t xml:space="preserve"> </w:t>
      </w:r>
      <w:proofErr w:type="spellStart"/>
      <w:proofErr w:type="gramStart"/>
      <w:r w:rsidRPr="00CA0E9F">
        <w:rPr>
          <w:lang w:val="en-US"/>
        </w:rPr>
        <w:t>Thilsted</w:t>
      </w:r>
      <w:proofErr w:type="spellEnd"/>
      <w:r w:rsidRPr="00CA0E9F">
        <w:rPr>
          <w:lang w:val="en-US"/>
        </w:rPr>
        <w:t xml:space="preserve">, S.H., James, D., </w:t>
      </w:r>
      <w:proofErr w:type="spellStart"/>
      <w:r w:rsidRPr="00CA0E9F">
        <w:rPr>
          <w:lang w:val="en-US"/>
        </w:rPr>
        <w:t>Toppe</w:t>
      </w:r>
      <w:proofErr w:type="spellEnd"/>
      <w:r w:rsidRPr="00CA0E9F">
        <w:rPr>
          <w:lang w:val="en-US"/>
        </w:rPr>
        <w:t xml:space="preserve">, J., </w:t>
      </w:r>
      <w:proofErr w:type="spellStart"/>
      <w:r w:rsidRPr="00CA0E9F">
        <w:rPr>
          <w:lang w:val="en-US"/>
        </w:rPr>
        <w:t>Subasinghe</w:t>
      </w:r>
      <w:proofErr w:type="spellEnd"/>
      <w:r w:rsidRPr="00CA0E9F">
        <w:rPr>
          <w:lang w:val="en-US"/>
        </w:rPr>
        <w:t xml:space="preserve">, R.P. &amp; </w:t>
      </w:r>
      <w:proofErr w:type="spellStart"/>
      <w:r w:rsidRPr="00CA0E9F">
        <w:rPr>
          <w:lang w:val="en-US"/>
        </w:rPr>
        <w:t>Karunasagar</w:t>
      </w:r>
      <w:proofErr w:type="spellEnd"/>
      <w:r w:rsidRPr="00CA0E9F">
        <w:rPr>
          <w:lang w:val="en-US"/>
        </w:rPr>
        <w:t>, I. 2014.</w:t>
      </w:r>
      <w:proofErr w:type="gramEnd"/>
      <w:r w:rsidRPr="00CA0E9F">
        <w:rPr>
          <w:lang w:val="en-US"/>
        </w:rPr>
        <w:t xml:space="preserve"> </w:t>
      </w:r>
      <w:proofErr w:type="spellStart"/>
      <w:r>
        <w:rPr>
          <w:i/>
        </w:rPr>
        <w:t>Maximizing</w:t>
      </w:r>
      <w:proofErr w:type="spellEnd"/>
      <w:r>
        <w:rPr>
          <w:i/>
        </w:rPr>
        <w:t xml:space="preserve"> the </w:t>
      </w:r>
      <w:proofErr w:type="spellStart"/>
      <w:r>
        <w:rPr>
          <w:i/>
        </w:rPr>
        <w:t>contribution</w:t>
      </w:r>
      <w:proofErr w:type="spellEnd"/>
      <w:r>
        <w:rPr>
          <w:i/>
        </w:rPr>
        <w:t xml:space="preserve"> of </w:t>
      </w:r>
      <w:proofErr w:type="spellStart"/>
      <w:r>
        <w:rPr>
          <w:i/>
        </w:rPr>
        <w:t>fish</w:t>
      </w:r>
      <w:proofErr w:type="spellEnd"/>
      <w:r>
        <w:rPr>
          <w:i/>
        </w:rPr>
        <w:t xml:space="preserve"> </w:t>
      </w:r>
      <w:proofErr w:type="spellStart"/>
      <w:r>
        <w:rPr>
          <w:i/>
        </w:rPr>
        <w:t>to</w:t>
      </w:r>
      <w:proofErr w:type="spellEnd"/>
      <w:r>
        <w:rPr>
          <w:i/>
        </w:rPr>
        <w:t xml:space="preserve"> </w:t>
      </w:r>
      <w:proofErr w:type="spellStart"/>
      <w:r>
        <w:rPr>
          <w:i/>
        </w:rPr>
        <w:t>human</w:t>
      </w:r>
      <w:proofErr w:type="spellEnd"/>
      <w:r>
        <w:rPr>
          <w:i/>
        </w:rPr>
        <w:t xml:space="preserve"> </w:t>
      </w:r>
      <w:proofErr w:type="spellStart"/>
      <w:r>
        <w:rPr>
          <w:i/>
        </w:rPr>
        <w:t>nutrition</w:t>
      </w:r>
      <w:proofErr w:type="spellEnd"/>
      <w:r>
        <w:rPr>
          <w:i/>
        </w:rPr>
        <w:t>.</w:t>
      </w:r>
      <w:r>
        <w:t xml:space="preserve"> Международная конференция по вопросам питания 2014 года. (Публикация размещена по адресу: www.fao.org/3/a-i3963e.pdf).</w:t>
      </w:r>
    </w:p>
  </w:footnote>
  <w:footnote w:id="14">
    <w:p w:rsidR="000B6D6B" w:rsidRDefault="003F6007" w:rsidP="00104DBB">
      <w:pPr>
        <w:pStyle w:val="FootnoteText"/>
        <w:ind w:left="142" w:hanging="142"/>
      </w:pPr>
      <w:r>
        <w:rPr>
          <w:rStyle w:val="FootnoteReference"/>
          <w:rFonts w:cs="Akhbar MT"/>
          <w:smallCaps w:val="0"/>
          <w:sz w:val="18"/>
        </w:rPr>
        <w:footnoteRef/>
      </w:r>
      <w:r>
        <w:t xml:space="preserve">  Пресс-релиз. Темпы роста </w:t>
      </w:r>
      <w:proofErr w:type="spellStart"/>
      <w:r>
        <w:t>аквакультуры</w:t>
      </w:r>
      <w:proofErr w:type="spellEnd"/>
      <w:r>
        <w:t xml:space="preserve"> могут увеличиться, а рыба может служить богатым источником микроэлементов. (Публикация размещена по адресу: http://www.fao.org/news/story/ru/item/266083/icode).</w:t>
      </w:r>
    </w:p>
  </w:footnote>
  <w:footnote w:id="15">
    <w:p w:rsidR="000B6D6B" w:rsidRDefault="003F6007" w:rsidP="00104DBB">
      <w:pPr>
        <w:pStyle w:val="FootnoteText"/>
        <w:ind w:left="142" w:hanging="142"/>
      </w:pPr>
      <w:r>
        <w:rPr>
          <w:rStyle w:val="FootnoteReference"/>
          <w:rFonts w:cs="Akhbar MT"/>
          <w:smallCaps w:val="0"/>
          <w:sz w:val="18"/>
        </w:rPr>
        <w:footnoteRef/>
      </w:r>
      <w:r w:rsidRPr="00CA0E9F">
        <w:rPr>
          <w:lang w:val="en-US"/>
        </w:rPr>
        <w:t xml:space="preserve"> </w:t>
      </w:r>
      <w:proofErr w:type="spellStart"/>
      <w:r w:rsidRPr="00CA0E9F">
        <w:rPr>
          <w:lang w:val="en-US"/>
        </w:rPr>
        <w:t>Toppe</w:t>
      </w:r>
      <w:proofErr w:type="spellEnd"/>
      <w:r w:rsidRPr="00CA0E9F">
        <w:rPr>
          <w:lang w:val="en-US"/>
        </w:rPr>
        <w:t xml:space="preserve">, J. 2014. The right to food, fish and omega-3s: the nutritional benefits of fish are unique. </w:t>
      </w:r>
      <w:proofErr w:type="spellStart"/>
      <w:r>
        <w:rPr>
          <w:i/>
        </w:rPr>
        <w:t>Eurofish</w:t>
      </w:r>
      <w:proofErr w:type="spellEnd"/>
      <w:r>
        <w:rPr>
          <w:i/>
        </w:rPr>
        <w:t xml:space="preserve"> </w:t>
      </w:r>
      <w:proofErr w:type="spellStart"/>
      <w:r>
        <w:rPr>
          <w:i/>
        </w:rPr>
        <w:t>Magazine</w:t>
      </w:r>
      <w:proofErr w:type="spellEnd"/>
      <w:r>
        <w:t xml:space="preserve">, </w:t>
      </w:r>
      <w:proofErr w:type="spellStart"/>
      <w:r>
        <w:t>pp</w:t>
      </w:r>
      <w:proofErr w:type="spellEnd"/>
      <w:r>
        <w:t>. 44-45.</w:t>
      </w:r>
    </w:p>
  </w:footnote>
  <w:footnote w:id="16">
    <w:p w:rsidR="000B6D6B" w:rsidRDefault="003F6007" w:rsidP="00104DBB">
      <w:pPr>
        <w:pStyle w:val="FootnoteText"/>
        <w:ind w:left="142" w:hanging="142"/>
      </w:pPr>
      <w:r>
        <w:rPr>
          <w:rStyle w:val="FootnoteReference"/>
          <w:rFonts w:cs="Akhbar MT"/>
          <w:smallCaps w:val="0"/>
          <w:sz w:val="18"/>
        </w:rPr>
        <w:footnoteRef/>
      </w:r>
      <w:r>
        <w:t xml:space="preserve"> </w:t>
      </w:r>
      <w:proofErr w:type="spellStart"/>
      <w:r>
        <w:t>Toppe</w:t>
      </w:r>
      <w:proofErr w:type="spellEnd"/>
      <w:r>
        <w:t xml:space="preserve">, J. &amp; </w:t>
      </w:r>
      <w:proofErr w:type="spellStart"/>
      <w:r>
        <w:t>Subasinghe</w:t>
      </w:r>
      <w:proofErr w:type="spellEnd"/>
      <w:r>
        <w:t xml:space="preserve"> R.P. 2014. Роль </w:t>
      </w:r>
      <w:proofErr w:type="spellStart"/>
      <w:r>
        <w:t>аквакультуры</w:t>
      </w:r>
      <w:proofErr w:type="spellEnd"/>
      <w:r>
        <w:t xml:space="preserve"> в улучшении питания: возможности и вызовы. Состояние мирового рыбного хозяйства и </w:t>
      </w:r>
      <w:proofErr w:type="spellStart"/>
      <w:r>
        <w:t>аквакультуры</w:t>
      </w:r>
      <w:proofErr w:type="spellEnd"/>
      <w:r>
        <w:t xml:space="preserve"> (СОФИА, 2014 год). Рим, ФАО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81" w:rsidRPr="001A0BFF" w:rsidRDefault="003F6007" w:rsidP="00580123">
    <w:pPr>
      <w:pStyle w:val="Underlined"/>
      <w:tabs>
        <w:tab w:val="right" w:pos="9071"/>
      </w:tabs>
    </w:pPr>
    <w:r>
      <w:fldChar w:fldCharType="begin"/>
    </w:r>
    <w:r>
      <w:instrText xml:space="preserve"> PAGE  \* Arabic  \* MERGEFORMAT </w:instrText>
    </w:r>
    <w:r>
      <w:fldChar w:fldCharType="separate"/>
    </w:r>
    <w:r w:rsidR="00955C75">
      <w:rPr>
        <w:noProof/>
      </w:rPr>
      <w:t>2</w:t>
    </w:r>
    <w:r>
      <w:fldChar w:fldCharType="end"/>
    </w:r>
    <w:r>
      <w:tab/>
      <w:t xml:space="preserve"> </w:t>
    </w:r>
    <w:bookmarkStart w:id="5" w:name="EvenIdentificationBookmark"/>
    <w:r>
      <w:t xml:space="preserve">COFI:AQ/VIII/2015/2 </w:t>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81" w:rsidRPr="001A0BFF" w:rsidRDefault="003F6007" w:rsidP="001A0BFF">
    <w:pPr>
      <w:pStyle w:val="Underlined"/>
    </w:pPr>
    <w:bookmarkStart w:id="6" w:name="OddIdentificationBookmark"/>
    <w:r>
      <w:t xml:space="preserve">COFI:AQ/VIII/2015/2 </w:t>
    </w:r>
    <w:bookmarkEnd w:id="6"/>
    <w:r w:rsidR="003F3DA2">
      <w:tab/>
    </w:r>
    <w:r w:rsidR="003F3DA2">
      <w:tab/>
    </w:r>
    <w:r w:rsidR="003F3DA2">
      <w:tab/>
    </w:r>
    <w:r w:rsidR="003F3DA2">
      <w:tab/>
    </w:r>
    <w:r w:rsidR="003F3DA2">
      <w:tab/>
    </w:r>
    <w:r w:rsidR="003F3DA2">
      <w:tab/>
    </w:r>
    <w:r w:rsidR="003F3DA2">
      <w:tab/>
    </w:r>
    <w:r w:rsidR="003F3DA2">
      <w:tab/>
    </w:r>
    <w:r w:rsidR="003F3DA2">
      <w:tab/>
      <w:t xml:space="preserve">     </w:t>
    </w:r>
    <w:r w:rsidR="000C6DF0">
      <w:t xml:space="preserve">           </w:t>
    </w:r>
    <w:r>
      <w:fldChar w:fldCharType="begin"/>
    </w:r>
    <w:r>
      <w:instrText xml:space="preserve"> PAGE  \* Arabic  \* MERGEFORMAT </w:instrText>
    </w:r>
    <w:r>
      <w:fldChar w:fldCharType="separate"/>
    </w:r>
    <w:r w:rsidR="00955C75">
      <w:rPr>
        <w:noProof/>
      </w:rPr>
      <w:t>3</w:t>
    </w:r>
    <w:r>
      <w:fldChar w:fldCharType="end"/>
    </w:r>
  </w:p>
  <w:p w:rsidR="001A0BFF" w:rsidRPr="00EC4381" w:rsidRDefault="001A0BFF" w:rsidP="00EC4381">
    <w:pPr>
      <w:pStyle w:val="Header"/>
      <w:rPr>
        <w:rStyle w:val="PageNumber"/>
        <w:rFonts w:cs="Akhbar M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3F6007" w:rsidP="00734C44">
    <w:pPr>
      <w:pStyle w:val="LanguageSymbol"/>
      <w:framePr w:wrap="around"/>
    </w:pPr>
    <w:bookmarkStart w:id="7" w:name="LanguageSymbolBookmark"/>
    <w:r>
      <w:t>R</w:t>
    </w:r>
  </w:p>
  <w:tbl>
    <w:tblPr>
      <w:tblW w:w="5000" w:type="pct"/>
      <w:jc w:val="center"/>
      <w:tblCellMar>
        <w:left w:w="0" w:type="dxa"/>
        <w:right w:w="0" w:type="dxa"/>
      </w:tblCellMar>
      <w:tblLook w:val="04A0" w:firstRow="1" w:lastRow="0" w:firstColumn="1" w:lastColumn="0" w:noHBand="0" w:noVBand="1"/>
    </w:tblPr>
    <w:tblGrid>
      <w:gridCol w:w="4535"/>
      <w:gridCol w:w="4536"/>
    </w:tblGrid>
    <w:tr w:rsidR="008E01CD" w:rsidTr="00580123">
      <w:trPr>
        <w:jc w:val="center"/>
      </w:trPr>
      <w:tc>
        <w:tcPr>
          <w:tcW w:w="2500" w:type="pct"/>
          <w:noWrap/>
          <w:tcMar>
            <w:left w:w="0" w:type="dxa"/>
          </w:tcMar>
        </w:tcPr>
        <w:p w:rsidR="008E01CD" w:rsidRDefault="003F6007" w:rsidP="00F2216D">
          <w:bookmarkStart w:id="8" w:name="PublicationDateBookmark"/>
          <w:bookmarkEnd w:id="7"/>
          <w:r>
            <w:t xml:space="preserve">Июль 2015 года </w:t>
          </w:r>
          <w:bookmarkEnd w:id="8"/>
        </w:p>
      </w:tc>
      <w:tc>
        <w:tcPr>
          <w:tcW w:w="2500" w:type="pct"/>
          <w:noWrap/>
          <w:tcMar>
            <w:right w:w="0" w:type="dxa"/>
          </w:tcMar>
        </w:tcPr>
        <w:p w:rsidR="008E01CD" w:rsidRDefault="003F6007" w:rsidP="00580123">
          <w:pPr>
            <w:jc w:val="right"/>
          </w:pPr>
          <w:bookmarkStart w:id="9" w:name="FirstCoverIdentificationBookmark"/>
          <w:r>
            <w:t xml:space="preserve">COFI:AQ/VIII/2015/2 </w:t>
          </w:r>
          <w:bookmarkEnd w:id="9"/>
        </w:p>
      </w:tc>
    </w:tr>
  </w:tbl>
  <w:p w:rsidR="00AE4D6E" w:rsidRPr="008E01CD" w:rsidRDefault="00AE4D6E" w:rsidP="008E01CD">
    <w:pPr>
      <w:pBdr>
        <w:bottom w:val="single" w:sz="12" w:space="0" w:color="auto"/>
      </w:pBdr>
      <w:spacing w:before="0"/>
      <w:contextualSpacing/>
      <w:rPr>
        <w:sz w:val="4"/>
      </w:rPr>
    </w:pPr>
  </w:p>
  <w:p w:rsidR="00DF0451" w:rsidRDefault="00EA6BF8" w:rsidP="008E01CD">
    <w:pPr>
      <w:jc w:val="center"/>
    </w:pPr>
    <w:bookmarkStart w:id="10" w:name="LogoBookmark"/>
    <w:r>
      <w:rPr>
        <w:noProof/>
        <w:lang w:val="en-GB" w:eastAsia="en-GB"/>
      </w:rPr>
      <w:drawing>
        <wp:inline distT="0" distB="0" distL="0" distR="0">
          <wp:extent cx="5645785" cy="7759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5785" cy="775970"/>
                  </a:xfrm>
                  <a:prstGeom prst="rect">
                    <a:avLst/>
                  </a:prstGeom>
                  <a:noFill/>
                  <a:ln>
                    <a:noFill/>
                  </a:ln>
                </pic:spPr>
              </pic:pic>
            </a:graphicData>
          </a:graphic>
        </wp:inline>
      </w:drawing>
    </w:r>
    <w:r w:rsidR="003F6007">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5FA66FE"/>
    <w:lvl w:ilvl="0">
      <w:start w:val="1"/>
      <w:numFmt w:val="upperRoman"/>
      <w:pStyle w:val="Heading1"/>
      <w:lvlText w:val="%1."/>
      <w:legacy w:legacy="1" w:legacySpace="0" w:legacyIndent="708"/>
      <w:lvlJc w:val="left"/>
      <w:pPr>
        <w:ind w:left="1"/>
      </w:pPr>
      <w:rPr>
        <w:rFonts w:cs="Times New Roman"/>
      </w:rPr>
    </w:lvl>
    <w:lvl w:ilvl="1">
      <w:start w:val="1"/>
      <w:numFmt w:val="upperLetter"/>
      <w:pStyle w:val="Heading2"/>
      <w:lvlText w:val="%2."/>
      <w:legacy w:legacy="1" w:legacySpace="0" w:legacyIndent="708"/>
      <w:lvlJc w:val="left"/>
      <w:pPr>
        <w:ind w:left="1"/>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40C16C4E"/>
    <w:multiLevelType w:val="hybridMultilevel"/>
    <w:tmpl w:val="B750EC1C"/>
    <w:lvl w:ilvl="0" w:tplc="FFFFFFFF">
      <w:start w:val="1"/>
      <w:numFmt w:val="bullet"/>
      <w:pStyle w:val="BulletLis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42226B58"/>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BB"/>
    <w:rsid w:val="0002180E"/>
    <w:rsid w:val="00032041"/>
    <w:rsid w:val="000B6D6B"/>
    <w:rsid w:val="000C6DF0"/>
    <w:rsid w:val="00104DBB"/>
    <w:rsid w:val="0012758C"/>
    <w:rsid w:val="00194026"/>
    <w:rsid w:val="001A0BFF"/>
    <w:rsid w:val="0022317E"/>
    <w:rsid w:val="002401BA"/>
    <w:rsid w:val="00292D25"/>
    <w:rsid w:val="0033024C"/>
    <w:rsid w:val="003F3DA2"/>
    <w:rsid w:val="003F6007"/>
    <w:rsid w:val="00417983"/>
    <w:rsid w:val="004C299A"/>
    <w:rsid w:val="00580123"/>
    <w:rsid w:val="005B7758"/>
    <w:rsid w:val="00734C44"/>
    <w:rsid w:val="0073685B"/>
    <w:rsid w:val="007B32BD"/>
    <w:rsid w:val="008C4283"/>
    <w:rsid w:val="008E01CD"/>
    <w:rsid w:val="008E6303"/>
    <w:rsid w:val="008F21C3"/>
    <w:rsid w:val="00930612"/>
    <w:rsid w:val="00955C75"/>
    <w:rsid w:val="009C0B0C"/>
    <w:rsid w:val="00AE4D6E"/>
    <w:rsid w:val="00AE5C63"/>
    <w:rsid w:val="00CA0E9F"/>
    <w:rsid w:val="00DF0451"/>
    <w:rsid w:val="00EA6BF8"/>
    <w:rsid w:val="00EC4381"/>
    <w:rsid w:val="00EF53BD"/>
    <w:rsid w:val="00F2216D"/>
    <w:rsid w:val="00F5103E"/>
    <w:rsid w:val="00F9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120"/>
    </w:pPr>
    <w:rPr>
      <w:rFonts w:ascii="Times New Roman" w:hAnsi="Times New Roman" w:cs="Akhbar MT"/>
      <w:sz w:val="22"/>
      <w:szCs w:val="30"/>
      <w:lang w:val="ru-RU" w:eastAsia="ru-RU"/>
    </w:rPr>
  </w:style>
  <w:style w:type="paragraph" w:styleId="Heading1">
    <w:name w:val="heading 1"/>
    <w:aliases w:val="Part"/>
    <w:basedOn w:val="Normal"/>
    <w:next w:val="Heading2"/>
    <w:link w:val="Heading1Char"/>
    <w:uiPriority w:val="9"/>
    <w:qFormat/>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locked/>
    <w:rPr>
      <w:rFonts w:ascii="Times New Roman Bold" w:hAnsi="Times New Roman Bold" w:cs="Times New Roman"/>
      <w:b/>
      <w:sz w:val="36"/>
      <w:lang w:val="ru-RU" w:eastAsia="ru-RU"/>
    </w:rPr>
  </w:style>
  <w:style w:type="character" w:customStyle="1" w:styleId="Heading2Char">
    <w:name w:val="Heading 2 Char"/>
    <w:aliases w:val="Chpt Char"/>
    <w:basedOn w:val="DefaultParagraphFont"/>
    <w:link w:val="Heading2"/>
    <w:uiPriority w:val="9"/>
    <w:locked/>
    <w:rPr>
      <w:rFonts w:ascii="Times New Roman Bold" w:hAnsi="Times New Roman Bold" w:cs="Times New Roman"/>
      <w:b/>
      <w:sz w:val="32"/>
      <w:lang w:val="ru-RU" w:eastAsia="ru-RU"/>
    </w:rPr>
  </w:style>
  <w:style w:type="character" w:customStyle="1" w:styleId="Heading3Char">
    <w:name w:val="Heading 3 Char"/>
    <w:basedOn w:val="DefaultParagraphFont"/>
    <w:link w:val="Heading3"/>
    <w:uiPriority w:val="9"/>
    <w:semiHidden/>
    <w:locked/>
    <w:rPr>
      <w:rFonts w:ascii="Cambria" w:hAnsi="Cambria" w:cs="Times New Roman"/>
      <w:b/>
      <w:color w:val="4F81BD"/>
      <w:sz w:val="30"/>
      <w:lang w:val="ru-RU" w:eastAsia="ru-RU"/>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locked/>
    <w:rPr>
      <w:rFonts w:ascii="Times New Roman" w:hAnsi="Times New Roman" w:cs="Times New Roman"/>
      <w:sz w:val="24"/>
      <w:lang w:val="ru-RU" w:eastAsia="ru-RU"/>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locked/>
    <w:rPr>
      <w:rFonts w:ascii="Times New Roman" w:hAnsi="Times New Roman" w:cs="Times New Roman"/>
      <w:sz w:val="24"/>
      <w:lang w:val="ru-RU" w:eastAsia="ru-RU"/>
    </w:rPr>
  </w:style>
  <w:style w:type="paragraph" w:customStyle="1" w:styleId="Note">
    <w:name w:val="Note"/>
    <w:basedOn w:val="Normal"/>
    <w:link w:val="NoteChar"/>
    <w:autoRedefine/>
    <w:qFormat/>
    <w:pPr>
      <w:pBdr>
        <w:top w:val="single" w:sz="4" w:space="0" w:color="auto"/>
      </w:pBdr>
      <w:jc w:val="center"/>
    </w:pPr>
    <w:rPr>
      <w:i/>
      <w:sz w:val="20"/>
      <w:szCs w:val="28"/>
    </w:rPr>
  </w:style>
  <w:style w:type="character" w:customStyle="1" w:styleId="NoteChar">
    <w:name w:val="Note Char"/>
    <w:link w:val="Note"/>
    <w:locked/>
    <w:rPr>
      <w:rFonts w:ascii="Times New Roman" w:hAnsi="Times New Roman"/>
      <w:i/>
      <w:sz w:val="28"/>
      <w:lang w:val="ru-RU" w:eastAsia="ru-RU"/>
    </w:rPr>
  </w:style>
  <w:style w:type="paragraph" w:customStyle="1" w:styleId="DocTitle">
    <w:name w:val="DocTitle"/>
    <w:basedOn w:val="Normal"/>
    <w:link w:val="DocTitleChar"/>
    <w:qFormat/>
    <w:pPr>
      <w:spacing w:before="240" w:after="360"/>
      <w:jc w:val="center"/>
    </w:pPr>
    <w:rPr>
      <w:bCs/>
      <w:color w:val="7F7F7F"/>
      <w:sz w:val="56"/>
      <w:szCs w:val="72"/>
    </w:rPr>
  </w:style>
  <w:style w:type="character" w:customStyle="1" w:styleId="DocTitleChar">
    <w:name w:val="DocTitle Char"/>
    <w:link w:val="DocTitle"/>
    <w:locked/>
    <w:rPr>
      <w:rFonts w:ascii="Times New Roman" w:hAnsi="Times New Roman"/>
      <w:color w:val="7F7F7F"/>
      <w:sz w:val="72"/>
      <w:lang w:val="ru-RU" w:eastAsia="ru-RU"/>
    </w:rPr>
  </w:style>
  <w:style w:type="paragraph" w:customStyle="1" w:styleId="NewPara">
    <w:name w:val="NewPara"/>
    <w:basedOn w:val="ListParagraph"/>
    <w:link w:val="NewParaChar"/>
    <w:qFormat/>
    <w:pPr>
      <w:numPr>
        <w:numId w:val="2"/>
      </w:numPr>
      <w:ind w:left="0"/>
      <w:contextualSpacing w:val="0"/>
    </w:pPr>
  </w:style>
  <w:style w:type="character" w:customStyle="1" w:styleId="NewParaChar">
    <w:name w:val="NewPara Char"/>
    <w:link w:val="NewPara"/>
    <w:locked/>
    <w:rPr>
      <w:rFonts w:ascii="Times New Roman" w:hAnsi="Times New Roman"/>
      <w:sz w:val="30"/>
      <w:lang w:val="ru-RU" w:eastAsia="ru-RU"/>
    </w:rPr>
  </w:style>
  <w:style w:type="paragraph" w:customStyle="1" w:styleId="BulletList">
    <w:name w:val="Bullet List"/>
    <w:basedOn w:val="ListParagraph"/>
    <w:link w:val="BulletListChar"/>
    <w:qFormat/>
    <w:pPr>
      <w:numPr>
        <w:numId w:val="3"/>
      </w:numPr>
      <w:ind w:left="714" w:hanging="357"/>
    </w:pPr>
  </w:style>
  <w:style w:type="character" w:customStyle="1" w:styleId="BulletListChar">
    <w:name w:val="Bullet List Char"/>
    <w:link w:val="BulletList"/>
    <w:locked/>
    <w:rPr>
      <w:rFonts w:ascii="Times New Roman" w:hAnsi="Times New Roman"/>
      <w:sz w:val="30"/>
      <w:lang w:val="ru-RU" w:eastAsia="ru-RU"/>
    </w:rPr>
  </w:style>
  <w:style w:type="paragraph" w:customStyle="1" w:styleId="Underlined">
    <w:name w:val="Underlined"/>
    <w:basedOn w:val="Normal"/>
    <w:link w:val="UnderlinedChar"/>
    <w:qFormat/>
    <w:pPr>
      <w:pBdr>
        <w:bottom w:val="single" w:sz="12" w:space="1" w:color="auto"/>
      </w:pBdr>
    </w:pPr>
  </w:style>
  <w:style w:type="character" w:customStyle="1" w:styleId="UnderlinedChar">
    <w:name w:val="Underlined Char"/>
    <w:link w:val="Underlined"/>
    <w:locked/>
    <w:rPr>
      <w:rFonts w:ascii="Times New Roman" w:hAnsi="Times New Roman"/>
      <w:sz w:val="30"/>
      <w:lang w:val="ru-RU" w:eastAsia="ru-RU"/>
    </w:rPr>
  </w:style>
  <w:style w:type="paragraph" w:customStyle="1" w:styleId="MeetingInfo">
    <w:name w:val="MeetingInfo"/>
    <w:basedOn w:val="Normal"/>
    <w:link w:val="MeetingInfoChar"/>
    <w:qFormat/>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link w:val="MeetingInfo"/>
    <w:locked/>
    <w:rPr>
      <w:rFonts w:ascii="Times New Roman Bold" w:hAnsi="Times New Roman Bold"/>
      <w:b/>
      <w:sz w:val="36"/>
      <w:lang w:val="ru-RU" w:eastAsia="ru-RU"/>
    </w:rPr>
  </w:style>
  <w:style w:type="paragraph" w:customStyle="1" w:styleId="Hidden">
    <w:name w:val="Hidden"/>
    <w:basedOn w:val="Normal"/>
    <w:link w:val="HiddenChar"/>
    <w:qFormat/>
    <w:pPr>
      <w:spacing w:before="0" w:line="20" w:lineRule="exact"/>
    </w:pPr>
    <w:rPr>
      <w:sz w:val="2"/>
    </w:rPr>
  </w:style>
  <w:style w:type="character" w:customStyle="1" w:styleId="HiddenChar">
    <w:name w:val="Hidden Char"/>
    <w:link w:val="Hidden"/>
    <w:locked/>
    <w:rPr>
      <w:rFonts w:ascii="Times New Roman" w:hAnsi="Times New Roman"/>
      <w:sz w:val="30"/>
      <w:lang w:val="ru-RU" w:eastAsia="ru-RU"/>
    </w:rPr>
  </w:style>
  <w:style w:type="paragraph" w:customStyle="1" w:styleId="LanguageSymbol">
    <w:name w:val="LanguageSymbol"/>
    <w:basedOn w:val="Normal"/>
    <w:link w:val="LanguageSymbolChar"/>
    <w:qFormat/>
    <w:pPr>
      <w:framePr w:h="655" w:hRule="exact" w:hSpace="181" w:wrap="around" w:vAnchor="page" w:hAnchor="page" w:x="10667" w:y="899"/>
    </w:pPr>
    <w:rPr>
      <w:b/>
      <w:color w:val="808080"/>
      <w:sz w:val="56"/>
      <w:szCs w:val="56"/>
    </w:rPr>
  </w:style>
  <w:style w:type="character" w:customStyle="1" w:styleId="LanguageSymbolChar">
    <w:name w:val="LanguageSymbol Char"/>
    <w:link w:val="LanguageSymbol"/>
    <w:locked/>
    <w:rPr>
      <w:rFonts w:ascii="Times New Roman" w:hAnsi="Times New Roman"/>
      <w:b/>
      <w:color w:val="808080"/>
      <w:sz w:val="56"/>
      <w:lang w:val="ru-RU" w:eastAsia="ru-RU"/>
    </w:rPr>
  </w:style>
  <w:style w:type="table" w:styleId="TableGrid">
    <w:name w:val="Table Grid"/>
    <w:basedOn w:val="TableNormal"/>
    <w:uiPriority w:val="59"/>
    <w:rPr>
      <w:rFonts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Pr>
      <w:rFonts w:cs="Times New Roman"/>
      <w:lang w:val="ru-RU" w:eastAsia="ru-RU"/>
    </w:rPr>
  </w:style>
  <w:style w:type="paragraph" w:styleId="FootnoteText">
    <w:name w:val="footnote text"/>
    <w:basedOn w:val="Normal"/>
    <w:link w:val="FootnoteTextChar"/>
    <w:uiPriority w:val="99"/>
    <w:unhideWhenUsed/>
    <w:pPr>
      <w:spacing w:before="0"/>
    </w:pPr>
    <w:rPr>
      <w:sz w:val="20"/>
      <w:szCs w:val="20"/>
    </w:rPr>
  </w:style>
  <w:style w:type="character" w:customStyle="1" w:styleId="FootnoteTextChar">
    <w:name w:val="Footnote Text Char"/>
    <w:basedOn w:val="DefaultParagraphFont"/>
    <w:link w:val="FootnoteText"/>
    <w:uiPriority w:val="99"/>
    <w:locked/>
    <w:rPr>
      <w:rFonts w:ascii="Times New Roman" w:hAnsi="Times New Roman" w:cs="Times New Roman"/>
      <w:sz w:val="20"/>
      <w:lang w:val="ru-RU" w:eastAsia="ru-RU"/>
    </w:rPr>
  </w:style>
  <w:style w:type="character" w:styleId="FootnoteReference">
    <w:name w:val="footnote reference"/>
    <w:aliases w:val="stylish"/>
    <w:basedOn w:val="DefaultParagraphFont"/>
    <w:uiPriority w:val="99"/>
    <w:semiHidden/>
    <w:rPr>
      <w:rFonts w:ascii="Book Antiqua" w:eastAsia="SimSun" w:hAnsi="Book Antiqua" w:cs="Times New Roman"/>
      <w:smallCaps/>
      <w:sz w:val="24"/>
      <w:vertAlign w:val="superscript"/>
      <w:lang w:val="ru-RU" w:eastAsia="ru-RU"/>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120"/>
    </w:pPr>
    <w:rPr>
      <w:rFonts w:ascii="Times New Roman" w:hAnsi="Times New Roman" w:cs="Akhbar MT"/>
      <w:sz w:val="22"/>
      <w:szCs w:val="30"/>
      <w:lang w:val="ru-RU" w:eastAsia="ru-RU"/>
    </w:rPr>
  </w:style>
  <w:style w:type="paragraph" w:styleId="Heading1">
    <w:name w:val="heading 1"/>
    <w:aliases w:val="Part"/>
    <w:basedOn w:val="Normal"/>
    <w:next w:val="Heading2"/>
    <w:link w:val="Heading1Char"/>
    <w:uiPriority w:val="9"/>
    <w:qFormat/>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locked/>
    <w:rPr>
      <w:rFonts w:ascii="Times New Roman Bold" w:hAnsi="Times New Roman Bold" w:cs="Times New Roman"/>
      <w:b/>
      <w:sz w:val="36"/>
      <w:lang w:val="ru-RU" w:eastAsia="ru-RU"/>
    </w:rPr>
  </w:style>
  <w:style w:type="character" w:customStyle="1" w:styleId="Heading2Char">
    <w:name w:val="Heading 2 Char"/>
    <w:aliases w:val="Chpt Char"/>
    <w:basedOn w:val="DefaultParagraphFont"/>
    <w:link w:val="Heading2"/>
    <w:uiPriority w:val="9"/>
    <w:locked/>
    <w:rPr>
      <w:rFonts w:ascii="Times New Roman Bold" w:hAnsi="Times New Roman Bold" w:cs="Times New Roman"/>
      <w:b/>
      <w:sz w:val="32"/>
      <w:lang w:val="ru-RU" w:eastAsia="ru-RU"/>
    </w:rPr>
  </w:style>
  <w:style w:type="character" w:customStyle="1" w:styleId="Heading3Char">
    <w:name w:val="Heading 3 Char"/>
    <w:basedOn w:val="DefaultParagraphFont"/>
    <w:link w:val="Heading3"/>
    <w:uiPriority w:val="9"/>
    <w:semiHidden/>
    <w:locked/>
    <w:rPr>
      <w:rFonts w:ascii="Cambria" w:hAnsi="Cambria" w:cs="Times New Roman"/>
      <w:b/>
      <w:color w:val="4F81BD"/>
      <w:sz w:val="30"/>
      <w:lang w:val="ru-RU" w:eastAsia="ru-RU"/>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locked/>
    <w:rPr>
      <w:rFonts w:ascii="Times New Roman" w:hAnsi="Times New Roman" w:cs="Times New Roman"/>
      <w:sz w:val="24"/>
      <w:lang w:val="ru-RU" w:eastAsia="ru-RU"/>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locked/>
    <w:rPr>
      <w:rFonts w:ascii="Times New Roman" w:hAnsi="Times New Roman" w:cs="Times New Roman"/>
      <w:sz w:val="24"/>
      <w:lang w:val="ru-RU" w:eastAsia="ru-RU"/>
    </w:rPr>
  </w:style>
  <w:style w:type="paragraph" w:customStyle="1" w:styleId="Note">
    <w:name w:val="Note"/>
    <w:basedOn w:val="Normal"/>
    <w:link w:val="NoteChar"/>
    <w:autoRedefine/>
    <w:qFormat/>
    <w:pPr>
      <w:pBdr>
        <w:top w:val="single" w:sz="4" w:space="0" w:color="auto"/>
      </w:pBdr>
      <w:jc w:val="center"/>
    </w:pPr>
    <w:rPr>
      <w:i/>
      <w:sz w:val="20"/>
      <w:szCs w:val="28"/>
    </w:rPr>
  </w:style>
  <w:style w:type="character" w:customStyle="1" w:styleId="NoteChar">
    <w:name w:val="Note Char"/>
    <w:link w:val="Note"/>
    <w:locked/>
    <w:rPr>
      <w:rFonts w:ascii="Times New Roman" w:hAnsi="Times New Roman"/>
      <w:i/>
      <w:sz w:val="28"/>
      <w:lang w:val="ru-RU" w:eastAsia="ru-RU"/>
    </w:rPr>
  </w:style>
  <w:style w:type="paragraph" w:customStyle="1" w:styleId="DocTitle">
    <w:name w:val="DocTitle"/>
    <w:basedOn w:val="Normal"/>
    <w:link w:val="DocTitleChar"/>
    <w:qFormat/>
    <w:pPr>
      <w:spacing w:before="240" w:after="360"/>
      <w:jc w:val="center"/>
    </w:pPr>
    <w:rPr>
      <w:bCs/>
      <w:color w:val="7F7F7F"/>
      <w:sz w:val="56"/>
      <w:szCs w:val="72"/>
    </w:rPr>
  </w:style>
  <w:style w:type="character" w:customStyle="1" w:styleId="DocTitleChar">
    <w:name w:val="DocTitle Char"/>
    <w:link w:val="DocTitle"/>
    <w:locked/>
    <w:rPr>
      <w:rFonts w:ascii="Times New Roman" w:hAnsi="Times New Roman"/>
      <w:color w:val="7F7F7F"/>
      <w:sz w:val="72"/>
      <w:lang w:val="ru-RU" w:eastAsia="ru-RU"/>
    </w:rPr>
  </w:style>
  <w:style w:type="paragraph" w:customStyle="1" w:styleId="NewPara">
    <w:name w:val="NewPara"/>
    <w:basedOn w:val="ListParagraph"/>
    <w:link w:val="NewParaChar"/>
    <w:qFormat/>
    <w:pPr>
      <w:numPr>
        <w:numId w:val="2"/>
      </w:numPr>
      <w:ind w:left="0"/>
      <w:contextualSpacing w:val="0"/>
    </w:pPr>
  </w:style>
  <w:style w:type="character" w:customStyle="1" w:styleId="NewParaChar">
    <w:name w:val="NewPara Char"/>
    <w:link w:val="NewPara"/>
    <w:locked/>
    <w:rPr>
      <w:rFonts w:ascii="Times New Roman" w:hAnsi="Times New Roman"/>
      <w:sz w:val="30"/>
      <w:lang w:val="ru-RU" w:eastAsia="ru-RU"/>
    </w:rPr>
  </w:style>
  <w:style w:type="paragraph" w:customStyle="1" w:styleId="BulletList">
    <w:name w:val="Bullet List"/>
    <w:basedOn w:val="ListParagraph"/>
    <w:link w:val="BulletListChar"/>
    <w:qFormat/>
    <w:pPr>
      <w:numPr>
        <w:numId w:val="3"/>
      </w:numPr>
      <w:ind w:left="714" w:hanging="357"/>
    </w:pPr>
  </w:style>
  <w:style w:type="character" w:customStyle="1" w:styleId="BulletListChar">
    <w:name w:val="Bullet List Char"/>
    <w:link w:val="BulletList"/>
    <w:locked/>
    <w:rPr>
      <w:rFonts w:ascii="Times New Roman" w:hAnsi="Times New Roman"/>
      <w:sz w:val="30"/>
      <w:lang w:val="ru-RU" w:eastAsia="ru-RU"/>
    </w:rPr>
  </w:style>
  <w:style w:type="paragraph" w:customStyle="1" w:styleId="Underlined">
    <w:name w:val="Underlined"/>
    <w:basedOn w:val="Normal"/>
    <w:link w:val="UnderlinedChar"/>
    <w:qFormat/>
    <w:pPr>
      <w:pBdr>
        <w:bottom w:val="single" w:sz="12" w:space="1" w:color="auto"/>
      </w:pBdr>
    </w:pPr>
  </w:style>
  <w:style w:type="character" w:customStyle="1" w:styleId="UnderlinedChar">
    <w:name w:val="Underlined Char"/>
    <w:link w:val="Underlined"/>
    <w:locked/>
    <w:rPr>
      <w:rFonts w:ascii="Times New Roman" w:hAnsi="Times New Roman"/>
      <w:sz w:val="30"/>
      <w:lang w:val="ru-RU" w:eastAsia="ru-RU"/>
    </w:rPr>
  </w:style>
  <w:style w:type="paragraph" w:customStyle="1" w:styleId="MeetingInfo">
    <w:name w:val="MeetingInfo"/>
    <w:basedOn w:val="Normal"/>
    <w:link w:val="MeetingInfoChar"/>
    <w:qFormat/>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link w:val="MeetingInfo"/>
    <w:locked/>
    <w:rPr>
      <w:rFonts w:ascii="Times New Roman Bold" w:hAnsi="Times New Roman Bold"/>
      <w:b/>
      <w:sz w:val="36"/>
      <w:lang w:val="ru-RU" w:eastAsia="ru-RU"/>
    </w:rPr>
  </w:style>
  <w:style w:type="paragraph" w:customStyle="1" w:styleId="Hidden">
    <w:name w:val="Hidden"/>
    <w:basedOn w:val="Normal"/>
    <w:link w:val="HiddenChar"/>
    <w:qFormat/>
    <w:pPr>
      <w:spacing w:before="0" w:line="20" w:lineRule="exact"/>
    </w:pPr>
    <w:rPr>
      <w:sz w:val="2"/>
    </w:rPr>
  </w:style>
  <w:style w:type="character" w:customStyle="1" w:styleId="HiddenChar">
    <w:name w:val="Hidden Char"/>
    <w:link w:val="Hidden"/>
    <w:locked/>
    <w:rPr>
      <w:rFonts w:ascii="Times New Roman" w:hAnsi="Times New Roman"/>
      <w:sz w:val="30"/>
      <w:lang w:val="ru-RU" w:eastAsia="ru-RU"/>
    </w:rPr>
  </w:style>
  <w:style w:type="paragraph" w:customStyle="1" w:styleId="LanguageSymbol">
    <w:name w:val="LanguageSymbol"/>
    <w:basedOn w:val="Normal"/>
    <w:link w:val="LanguageSymbolChar"/>
    <w:qFormat/>
    <w:pPr>
      <w:framePr w:h="655" w:hRule="exact" w:hSpace="181" w:wrap="around" w:vAnchor="page" w:hAnchor="page" w:x="10667" w:y="899"/>
    </w:pPr>
    <w:rPr>
      <w:b/>
      <w:color w:val="808080"/>
      <w:sz w:val="56"/>
      <w:szCs w:val="56"/>
    </w:rPr>
  </w:style>
  <w:style w:type="character" w:customStyle="1" w:styleId="LanguageSymbolChar">
    <w:name w:val="LanguageSymbol Char"/>
    <w:link w:val="LanguageSymbol"/>
    <w:locked/>
    <w:rPr>
      <w:rFonts w:ascii="Times New Roman" w:hAnsi="Times New Roman"/>
      <w:b/>
      <w:color w:val="808080"/>
      <w:sz w:val="56"/>
      <w:lang w:val="ru-RU" w:eastAsia="ru-RU"/>
    </w:rPr>
  </w:style>
  <w:style w:type="table" w:styleId="TableGrid">
    <w:name w:val="Table Grid"/>
    <w:basedOn w:val="TableNormal"/>
    <w:uiPriority w:val="59"/>
    <w:rPr>
      <w:rFonts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Pr>
      <w:rFonts w:cs="Times New Roman"/>
      <w:lang w:val="ru-RU" w:eastAsia="ru-RU"/>
    </w:rPr>
  </w:style>
  <w:style w:type="paragraph" w:styleId="FootnoteText">
    <w:name w:val="footnote text"/>
    <w:basedOn w:val="Normal"/>
    <w:link w:val="FootnoteTextChar"/>
    <w:uiPriority w:val="99"/>
    <w:unhideWhenUsed/>
    <w:pPr>
      <w:spacing w:before="0"/>
    </w:pPr>
    <w:rPr>
      <w:sz w:val="20"/>
      <w:szCs w:val="20"/>
    </w:rPr>
  </w:style>
  <w:style w:type="character" w:customStyle="1" w:styleId="FootnoteTextChar">
    <w:name w:val="Footnote Text Char"/>
    <w:basedOn w:val="DefaultParagraphFont"/>
    <w:link w:val="FootnoteText"/>
    <w:uiPriority w:val="99"/>
    <w:locked/>
    <w:rPr>
      <w:rFonts w:ascii="Times New Roman" w:hAnsi="Times New Roman" w:cs="Times New Roman"/>
      <w:sz w:val="20"/>
      <w:lang w:val="ru-RU" w:eastAsia="ru-RU"/>
    </w:rPr>
  </w:style>
  <w:style w:type="character" w:styleId="FootnoteReference">
    <w:name w:val="footnote reference"/>
    <w:aliases w:val="stylish"/>
    <w:basedOn w:val="DefaultParagraphFont"/>
    <w:uiPriority w:val="99"/>
    <w:semiHidden/>
    <w:rPr>
      <w:rFonts w:ascii="Book Antiqua" w:eastAsia="SimSun" w:hAnsi="Book Antiqua" w:cs="Times New Roman"/>
      <w:smallCaps/>
      <w:sz w:val="24"/>
      <w:vertAlign w:val="superscript"/>
      <w:lang w:val="ru-RU" w:eastAsia="ru-RU"/>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14</Pages>
  <Words>4634</Words>
  <Characters>32537</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Mendez (CPAM)</dc:creator>
  <cp:lastModifiedBy>Marina Uvarova (CPAM)</cp:lastModifiedBy>
  <cp:revision>4</cp:revision>
  <cp:lastPrinted>2015-07-23T12:42:00Z</cp:lastPrinted>
  <dcterms:created xsi:type="dcterms:W3CDTF">2015-07-23T08:19:00Z</dcterms:created>
  <dcterms:modified xsi:type="dcterms:W3CDTF">2015-07-23T13:06:00Z</dcterms:modified>
</cp:coreProperties>
</file>