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8F" w:rsidRPr="0073685B" w:rsidRDefault="007E628F" w:rsidP="007E628F">
      <w:pPr>
        <w:pStyle w:val="Hidden"/>
      </w:pPr>
    </w:p>
    <w:p w:rsidR="007E628F" w:rsidRPr="006503B9" w:rsidRDefault="007E628F" w:rsidP="007E628F">
      <w:pPr>
        <w:pStyle w:val="DocTitle"/>
        <w:rPr>
          <w:smallCaps/>
          <w:lang w:eastAsia="en-US" w:bidi="ar-SA"/>
        </w:rPr>
      </w:pPr>
      <w:bookmarkStart w:id="0" w:name="CoverTitleBookmark"/>
      <w:bookmarkStart w:id="1" w:name="CoverBookmark"/>
      <w:r w:rsidRPr="006503B9">
        <w:rPr>
          <w:smallCaps/>
          <w:lang w:eastAsia="en-US" w:bidi="ar-SA"/>
        </w:rPr>
        <w:t>Комитет по рыбному хозяйству</w:t>
      </w:r>
    </w:p>
    <w:bookmarkEnd w:id="0"/>
    <w:p w:rsidR="007E628F" w:rsidRDefault="007E628F" w:rsidP="00D54BCC">
      <w:pPr>
        <w:pStyle w:val="MeetingInfo"/>
        <w:pBdr>
          <w:bar w:val="none" w:sz="0" w:color="auto"/>
        </w:pBdr>
        <w:spacing w:after="0"/>
      </w:pPr>
      <w:r>
        <w:t xml:space="preserve">Подкомитет по </w:t>
      </w:r>
      <w:proofErr w:type="spellStart"/>
      <w:r>
        <w:t>Аквакультуре</w:t>
      </w:r>
      <w:proofErr w:type="spellEnd"/>
    </w:p>
    <w:p w:rsidR="007E628F" w:rsidRDefault="007E628F" w:rsidP="00D54BCC">
      <w:pPr>
        <w:pStyle w:val="MeetingInfo"/>
        <w:pBdr>
          <w:bar w:val="none" w:sz="0" w:color="auto"/>
        </w:pBdr>
        <w:spacing w:after="0"/>
      </w:pPr>
      <w:r>
        <w:t>Восьмая сессия</w:t>
      </w:r>
    </w:p>
    <w:p w:rsidR="007E628F" w:rsidRDefault="007E628F" w:rsidP="00D54BCC">
      <w:pPr>
        <w:pStyle w:val="MeetingInfo"/>
        <w:pBdr>
          <w:bar w:val="none" w:sz="0" w:color="auto"/>
        </w:pBdr>
        <w:spacing w:after="0"/>
      </w:pPr>
      <w:r>
        <w:t xml:space="preserve">Бразилиа, Бразилия, 5-9 октября 2015 года </w:t>
      </w:r>
    </w:p>
    <w:p w:rsidR="007E628F" w:rsidRPr="00D54BCC" w:rsidRDefault="00962ED0" w:rsidP="007E628F">
      <w:pPr>
        <w:pStyle w:val="MeetingInfo"/>
        <w:pBdr>
          <w:bar w:val="none" w:sz="0" w:color="auto"/>
        </w:pBdr>
        <w:rPr>
          <w:rFonts w:asciiTheme="minorHAnsi" w:hAnsiTheme="minorHAnsi"/>
        </w:rPr>
      </w:pPr>
      <w:r>
        <w:rPr>
          <w:rFonts w:hint="eastAsia"/>
        </w:rPr>
        <w:t>ПОДГОТОВКА</w:t>
      </w:r>
      <w:r>
        <w:t xml:space="preserve"> </w:t>
      </w:r>
      <w:r w:rsidRPr="00D54BCC">
        <w:rPr>
          <w:rFonts w:ascii="Times New Roman" w:hAnsi="Times New Roman" w:cs="Times New Roman" w:hint="eastAsia"/>
        </w:rPr>
        <w:t>ОТЧЕТОВ</w:t>
      </w:r>
      <w:r>
        <w:t xml:space="preserve"> </w:t>
      </w:r>
      <w:r>
        <w:rPr>
          <w:rFonts w:hint="eastAsia"/>
        </w:rPr>
        <w:t>О</w:t>
      </w:r>
      <w:r>
        <w:t xml:space="preserve"> </w:t>
      </w:r>
      <w:r>
        <w:rPr>
          <w:rFonts w:hint="eastAsia"/>
        </w:rPr>
        <w:t>ПРИМЕНЕНИИ</w:t>
      </w:r>
      <w:r>
        <w:t xml:space="preserve"> </w:t>
      </w:r>
      <w:r>
        <w:rPr>
          <w:rFonts w:hint="eastAsia"/>
        </w:rPr>
        <w:t>ПОЛОЖЕНИЙ</w:t>
      </w:r>
      <w:r>
        <w:t xml:space="preserve"> </w:t>
      </w:r>
      <w:r>
        <w:rPr>
          <w:rFonts w:hint="eastAsia"/>
        </w:rPr>
        <w:t>КОДЕКСА</w:t>
      </w:r>
      <w:r>
        <w:t xml:space="preserve"> </w:t>
      </w:r>
      <w:r>
        <w:rPr>
          <w:rFonts w:hint="eastAsia"/>
        </w:rPr>
        <w:t>ВЕДЕНИЯ</w:t>
      </w:r>
      <w:r>
        <w:t xml:space="preserve"> </w:t>
      </w:r>
      <w:r>
        <w:rPr>
          <w:rFonts w:hint="eastAsia"/>
        </w:rPr>
        <w:t>ОТВЕТСТВЕННОГО</w:t>
      </w:r>
      <w:r>
        <w:t xml:space="preserve"> </w:t>
      </w:r>
      <w:r>
        <w:rPr>
          <w:rFonts w:hint="eastAsia"/>
        </w:rPr>
        <w:t>РЫБОЛОВСТВА</w:t>
      </w:r>
      <w:r>
        <w:t xml:space="preserve"> (</w:t>
      </w:r>
      <w:r>
        <w:rPr>
          <w:rFonts w:hint="eastAsia"/>
        </w:rPr>
        <w:t>КВОР</w:t>
      </w:r>
      <w:r>
        <w:t xml:space="preserve">), </w:t>
      </w:r>
      <w:r>
        <w:rPr>
          <w:rFonts w:hint="eastAsia"/>
        </w:rPr>
        <w:t>КАСАЮЩИХСЯ</w:t>
      </w:r>
      <w:r>
        <w:t xml:space="preserve"> </w:t>
      </w:r>
      <w:r>
        <w:rPr>
          <w:rFonts w:hint="eastAsia"/>
        </w:rPr>
        <w:t>АКВАКУЛЬТУРЫ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ТОВАРНОГО</w:t>
      </w:r>
      <w:r>
        <w:t xml:space="preserve"> </w:t>
      </w:r>
      <w:r>
        <w:rPr>
          <w:rFonts w:hint="eastAsia"/>
        </w:rPr>
        <w:t>РЫБОВОДСТВА</w:t>
      </w:r>
      <w:r>
        <w:t xml:space="preserve">,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ИСПОЛЬЗОВАНИЕМ</w:t>
      </w:r>
      <w:r>
        <w:t xml:space="preserve"> </w:t>
      </w:r>
      <w:r>
        <w:rPr>
          <w:rFonts w:hint="eastAsia"/>
        </w:rPr>
        <w:t>НОВОГО</w:t>
      </w:r>
      <w:r>
        <w:t xml:space="preserve"> </w:t>
      </w:r>
      <w:r>
        <w:rPr>
          <w:rFonts w:hint="eastAsia"/>
        </w:rPr>
        <w:t>МЕХАНИЗМА</w:t>
      </w:r>
      <w:r>
        <w:t xml:space="preserve"> </w:t>
      </w:r>
      <w:r>
        <w:rPr>
          <w:rFonts w:hint="eastAsia"/>
        </w:rPr>
        <w:t>ПРЕДСТАВЛЕНИЯ</w:t>
      </w:r>
      <w:r>
        <w:t xml:space="preserve"> </w:t>
      </w:r>
      <w:r>
        <w:rPr>
          <w:rFonts w:hint="eastAsia"/>
        </w:rPr>
        <w:t>ОТ</w:t>
      </w:r>
      <w:r w:rsidRPr="00D54BCC">
        <w:rPr>
          <w:rFonts w:ascii="Times New Roman" w:hAnsi="Times New Roman" w:cs="Times New Roman"/>
        </w:rPr>
        <w:t>Ч</w:t>
      </w:r>
      <w:r w:rsidR="00D80D13" w:rsidRPr="00D54BCC">
        <w:rPr>
          <w:rFonts w:ascii="Times New Roman" w:hAnsi="Times New Roman" w:cs="Times New Roman"/>
        </w:rPr>
        <w:t>Е</w:t>
      </w:r>
      <w:r w:rsidRPr="00D54BCC">
        <w:rPr>
          <w:rFonts w:ascii="Times New Roman" w:hAnsi="Times New Roman" w:cs="Times New Roman"/>
        </w:rPr>
        <w:t>Т</w:t>
      </w:r>
      <w:r>
        <w:rPr>
          <w:rFonts w:hint="eastAsia"/>
        </w:rPr>
        <w:t>НОСТИ</w:t>
      </w:r>
      <w:r w:rsidR="000C0120">
        <w:rPr>
          <w:rFonts w:asciiTheme="minorHAnsi" w:hAnsiTheme="minorHAnsi"/>
        </w:rPr>
        <w:t xml:space="preserve"> </w:t>
      </w:r>
    </w:p>
    <w:p w:rsidR="007E628F" w:rsidRPr="0017530F" w:rsidRDefault="004C65F0" w:rsidP="007E628F"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63E9D" wp14:editId="360CE06E">
                <wp:simplePos x="0" y="0"/>
                <wp:positionH relativeFrom="column">
                  <wp:posOffset>-2214</wp:posOffset>
                </wp:positionH>
                <wp:positionV relativeFrom="paragraph">
                  <wp:posOffset>124747</wp:posOffset>
                </wp:positionV>
                <wp:extent cx="5762625" cy="4199766"/>
                <wp:effectExtent l="0" t="0" r="28575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2625" cy="419976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6CA" w:rsidRPr="00E2254F" w:rsidRDefault="004936CA" w:rsidP="007E628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Краткое содержание </w:t>
                            </w:r>
                          </w:p>
                          <w:p w:rsidR="004936CA" w:rsidRPr="00E2254F" w:rsidRDefault="004936CA" w:rsidP="007E628F">
                            <w:pPr>
                              <w:jc w:val="both"/>
                            </w:pPr>
                            <w:proofErr w:type="gramStart"/>
                            <w:r>
                              <w:t>Настоящий документ содержит: а) состояние применения положений Кодекса ведения ответственного рыболовства ФАО от 1995 года (КВОР), касающихся аквакультуры и товарного рыбоводства, по данным, полученным от стран членов в 2013 году на основе результатов общего вопросника КВОР, и b) состояние дел по информации от государств</w:t>
                            </w:r>
                            <w:r>
                              <w:noBreakHyphen/>
                              <w:t>членов в 2015 году на основе результатов нового, размещенного на веб</w:t>
                            </w:r>
                            <w:r>
                              <w:noBreakHyphen/>
                              <w:t>платформе вопросника КВОР по аквакультуре.</w:t>
                            </w:r>
                            <w:proofErr w:type="gramEnd"/>
                            <w:r>
                              <w:t xml:space="preserve"> На вопросник, размещенный на веб</w:t>
                            </w:r>
                            <w:r>
                              <w:noBreakHyphen/>
                              <w:t xml:space="preserve">платформе, откликнулась 71 страна, на которые приходится почти 90% мирового производства аквакультуры. Ответы и количество респондентов свидетельствуют в целом о позитивных сдвигах в плане соблюдения положений КВОР в сфере аквакультуры, однако для повышения качества отчетов необходимо предпринять дальнейшие усилия. Ответы стран свидетельствуют, что управление отраслью в целом осуществляется достаточно эффективно благодаря наличию соответствующей политики, а также механизмов планирования и регулирования, в то же время </w:t>
                            </w:r>
                            <w:proofErr w:type="gramStart"/>
                            <w:r>
                              <w:t>предпринимаются усилия</w:t>
                            </w:r>
                            <w:proofErr w:type="gramEnd"/>
                            <w:r>
                              <w:t xml:space="preserve"> для дальнейшего совершенствования применения Кодекса на местах посредством механизмов поддержки и укрепления и наращивания потенциала государств. Результаты нового вопросника, благодаря доступу через интернет </w:t>
                            </w:r>
                            <w:proofErr w:type="gramStart"/>
                            <w:r>
                              <w:t>интернет-доступом</w:t>
                            </w:r>
                            <w:proofErr w:type="gramEnd"/>
                            <w:r>
                              <w:t>, как представляется, являются хорошим источником страновой информации, которая может быть полезной для анализа Организацией региональных и глобальных тенденций и предоставления встречной информации странам-членам. Новая система отчетности на веб-платформе оказалась полезной и для государств-член</w:t>
                            </w:r>
                            <w:r w:rsidR="0065510F">
                              <w:t>ов</w:t>
                            </w:r>
                            <w:r>
                              <w:t xml:space="preserve">. </w:t>
                            </w:r>
                          </w:p>
                          <w:p w:rsidR="004936CA" w:rsidRPr="00E2254F" w:rsidRDefault="004936CA" w:rsidP="007E628F">
                            <w:pPr>
                              <w:pStyle w:val="NewPara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Подкомитету предлагается:</w:t>
                            </w:r>
                          </w:p>
                          <w:p w:rsidR="004936CA" w:rsidRPr="00CF08A6" w:rsidRDefault="004936CA" w:rsidP="00CF08A6">
                            <w:pPr>
                              <w:pStyle w:val="BulletList"/>
                            </w:pPr>
                            <w:r>
                              <w:t xml:space="preserve">рассмотреть документ и сделать по нему замечания;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5pt;margin-top:9.8pt;width:453.75pt;height:33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" fillcolor="white [3201]" strokeweight=".5pt">
                <v:path arrowok="t"/>
                <v:textbox>
                  <w:txbxContent>
                    <w:p w:rsidR="004936CA" w:rsidRPr="00E2254F" w:rsidRDefault="004936CA" w:rsidP="007E628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Краткое содержание </w:t>
                      </w:r>
                    </w:p>
                    <w:p w:rsidR="004936CA" w:rsidRPr="00E2254F" w:rsidRDefault="004936CA" w:rsidP="007E628F">
                      <w:pPr>
                        <w:jc w:val="both"/>
                      </w:pPr>
                      <w:proofErr w:type="gramStart"/>
                      <w:r>
                        <w:t>Настоящий документ содержит: а) состояние применения положений Кодекса ведения ответственного рыболовства ФАО от 1995 года (КВОР), касающихся аквакультуры и товарного рыбоводства, по данным, полученным от стран членов в 2013 году на основе результатов общего вопросника КВОР, и b) состояние дел по информации от государств</w:t>
                      </w:r>
                      <w:r>
                        <w:noBreakHyphen/>
                        <w:t>членов в 2015 году на основе результатов нового, размещенного на веб</w:t>
                      </w:r>
                      <w:r>
                        <w:noBreakHyphen/>
                        <w:t>платформе вопросника КВОР по аквакультуре.</w:t>
                      </w:r>
                      <w:proofErr w:type="gramEnd"/>
                      <w:r>
                        <w:t xml:space="preserve"> На вопросник, размещенный на веб</w:t>
                      </w:r>
                      <w:r>
                        <w:noBreakHyphen/>
                        <w:t xml:space="preserve">платформе, откликнулась 71 страна, на которые приходится почти 90% мирового производства аквакультуры. Ответы и количество респондентов свидетельствуют в целом о позитивных сдвигах в плане соблюдения положений КВОР в сфере аквакультуры, однако для повышения качества отчетов необходимо предпринять дальнейшие усилия. Ответы стран свидетельствуют, что управление отраслью в целом осуществляется достаточно эффективно благодаря наличию соответствующей политики, а также механизмов планирования и регулирования, в то же время </w:t>
                      </w:r>
                      <w:proofErr w:type="gramStart"/>
                      <w:r>
                        <w:t>предпринимаются усилия</w:t>
                      </w:r>
                      <w:proofErr w:type="gramEnd"/>
                      <w:r>
                        <w:t xml:space="preserve"> для дальнейшего совершенствования применения Кодекса на местах посредством механизмов поддержки и укрепления и наращивания потенциала государств. Результаты нового вопросника, благодаря доступу через интернет </w:t>
                      </w:r>
                      <w:proofErr w:type="gramStart"/>
                      <w:r>
                        <w:t>интернет-доступом</w:t>
                      </w:r>
                      <w:proofErr w:type="gramEnd"/>
                      <w:r>
                        <w:t>, как представляется, являются хорошим источником страновой информации, которая может быть полезной для анализа Организацией региональных и глобальных тенденций и предоставления встречной информации странам-членам. Новая система отчетности на веб-платформе оказалась полезной и для государств-член</w:t>
                      </w:r>
                      <w:r w:rsidR="0065510F">
                        <w:t>ов</w:t>
                      </w:r>
                      <w:r>
                        <w:t xml:space="preserve">. </w:t>
                      </w:r>
                    </w:p>
                    <w:p w:rsidR="004936CA" w:rsidRPr="00E2254F" w:rsidRDefault="004936CA" w:rsidP="007E628F">
                      <w:pPr>
                        <w:pStyle w:val="NewPara"/>
                        <w:numPr>
                          <w:ilvl w:val="0"/>
                          <w:numId w:val="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Подкомитету предлагается:</w:t>
                      </w:r>
                    </w:p>
                    <w:p w:rsidR="004936CA" w:rsidRPr="00CF08A6" w:rsidRDefault="004936CA" w:rsidP="00CF08A6">
                      <w:pPr>
                        <w:pStyle w:val="BulletList"/>
                      </w:pPr>
                      <w:r>
                        <w:t xml:space="preserve">рассмотреть документ и сделать по нему замечания; </w:t>
                      </w:r>
                    </w:p>
                  </w:txbxContent>
                </v:textbox>
              </v:shape>
            </w:pict>
          </mc:Fallback>
        </mc:AlternateContent>
      </w:r>
      <w:bookmarkEnd w:id="1"/>
      <w:r w:rsidR="00D54BCC">
        <w:t xml:space="preserve"> </w:t>
      </w:r>
    </w:p>
    <w:p w:rsidR="007E628F" w:rsidRPr="0017530F" w:rsidRDefault="007E628F" w:rsidP="007E628F">
      <w:pPr>
        <w:pStyle w:val="SummaryBoxText"/>
      </w:pPr>
    </w:p>
    <w:p w:rsidR="007E628F" w:rsidRPr="0017530F" w:rsidRDefault="007E628F" w:rsidP="007E628F">
      <w:pPr>
        <w:pStyle w:val="SummaryBoxText"/>
      </w:pPr>
    </w:p>
    <w:p w:rsidR="007E628F" w:rsidRDefault="007E628F" w:rsidP="007E628F">
      <w:pPr>
        <w:pStyle w:val="SummaryBoxText"/>
      </w:pPr>
    </w:p>
    <w:p w:rsidR="007E628F" w:rsidRDefault="007E628F" w:rsidP="007E628F">
      <w:pPr>
        <w:pStyle w:val="SummaryBoxText"/>
      </w:pPr>
    </w:p>
    <w:p w:rsidR="007E628F" w:rsidRDefault="007E628F" w:rsidP="007E628F">
      <w:pPr>
        <w:pStyle w:val="SummaryBoxText"/>
      </w:pPr>
    </w:p>
    <w:p w:rsidR="007E628F" w:rsidRDefault="007E628F" w:rsidP="007E628F">
      <w:pPr>
        <w:pStyle w:val="SummaryBoxText"/>
      </w:pPr>
    </w:p>
    <w:p w:rsidR="007E628F" w:rsidRDefault="007E628F" w:rsidP="007E628F">
      <w:pPr>
        <w:pStyle w:val="SummaryBoxText"/>
      </w:pPr>
    </w:p>
    <w:p w:rsidR="007E628F" w:rsidRDefault="007E628F" w:rsidP="007E628F">
      <w:pPr>
        <w:pStyle w:val="SummaryBoxText"/>
      </w:pPr>
    </w:p>
    <w:p w:rsidR="007E628F" w:rsidRDefault="007E628F" w:rsidP="007E628F">
      <w:pPr>
        <w:pStyle w:val="SummaryBoxText"/>
      </w:pPr>
    </w:p>
    <w:p w:rsidR="007E628F" w:rsidRDefault="007E628F" w:rsidP="007E628F">
      <w:pPr>
        <w:pStyle w:val="SummaryBoxText"/>
      </w:pPr>
    </w:p>
    <w:p w:rsidR="007E628F" w:rsidRDefault="007E628F" w:rsidP="007E628F">
      <w:pPr>
        <w:pStyle w:val="SummaryBoxText"/>
      </w:pPr>
    </w:p>
    <w:p w:rsidR="0012156A" w:rsidRDefault="004C65F0" w:rsidP="007E628F">
      <w:pPr>
        <w:pStyle w:val="Heading2"/>
        <w:numPr>
          <w:ilvl w:val="0"/>
          <w:numId w:val="0"/>
        </w:numPr>
        <w:ind w:left="1"/>
        <w:jc w:val="left"/>
        <w:rPr>
          <w:rFonts w:asciiTheme="minorHAnsi" w:hAnsiTheme="minorHAnsi"/>
        </w:rPr>
      </w:pPr>
      <w:r>
        <w:rPr>
          <w:rFonts w:asciiTheme="minorHAnsi" w:hAnsiTheme="minorHAnsi"/>
          <w:noProof/>
          <w:lang w:val="en-GB" w:eastAsia="en-GB" w:bidi="ar-SA"/>
        </w:rPr>
        <w:lastRenderedPageBreak/>
        <mc:AlternateContent>
          <mc:Choice Requires="wps">
            <w:drawing>
              <wp:inline distT="0" distB="0" distL="0" distR="0" wp14:anchorId="41D9E78A" wp14:editId="5F9461BD">
                <wp:extent cx="5762625" cy="1553671"/>
                <wp:effectExtent l="0" t="0" r="28575" b="2794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2625" cy="155367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3B9" w:rsidRPr="00E2254F" w:rsidRDefault="006503B9" w:rsidP="006503B9">
                            <w:pPr>
                              <w:pStyle w:val="BulletList"/>
                              <w:pageBreakBefore/>
                              <w:jc w:val="both"/>
                            </w:pPr>
                            <w:r>
                              <w:t xml:space="preserve">высказаться в отношении использования данного инструмента отчетности по КВОР, как возможности провести самооценку и глобальную оценку результатов </w:t>
                            </w:r>
                            <w:proofErr w:type="spellStart"/>
                            <w:r>
                              <w:t>аквакультуры</w:t>
                            </w:r>
                            <w:proofErr w:type="spellEnd"/>
                            <w:r>
                              <w:t xml:space="preserve">, включая и исполнение положений Кодекса, касающихся </w:t>
                            </w:r>
                            <w:proofErr w:type="spellStart"/>
                            <w:r>
                              <w:t>аквакультуры</w:t>
                            </w:r>
                            <w:proofErr w:type="spellEnd"/>
                            <w:r>
                              <w:t xml:space="preserve">; и </w:t>
                            </w:r>
                          </w:p>
                          <w:p w:rsidR="006503B9" w:rsidRPr="006503B9" w:rsidRDefault="006503B9" w:rsidP="006503B9">
                            <w:pPr>
                              <w:pStyle w:val="BulletList"/>
                              <w:pageBreakBefore/>
                              <w:numPr>
                                <w:ilvl w:val="0"/>
                                <w:numId w:val="0"/>
                              </w:numPr>
                              <w:jc w:val="both"/>
                            </w:pPr>
                          </w:p>
                          <w:p w:rsidR="004936CA" w:rsidRPr="00E2254F" w:rsidRDefault="004936CA" w:rsidP="00D54BCC">
                            <w:pPr>
                              <w:pStyle w:val="BulletList"/>
                              <w:jc w:val="both"/>
                            </w:pPr>
                            <w:r>
                              <w:t>рекомендовать действия и мероприятия, направленные на дальнейшее совершенствование процесса отчетности и использование инструментария отчетности через Интернет.</w:t>
                            </w:r>
                          </w:p>
                          <w:p w:rsidR="004936CA" w:rsidRDefault="004936CA" w:rsidP="001215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7" type="#_x0000_t202" style="width:453.75pt;height:12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" fillcolor="white [3201]" strokeweight=".5pt">
                <v:path arrowok="t"/>
                <v:textbox>
                  <w:txbxContent>
                    <w:p w:rsidR="006503B9" w:rsidRPr="00E2254F" w:rsidRDefault="006503B9" w:rsidP="006503B9">
                      <w:pPr>
                        <w:pStyle w:val="BulletList"/>
                        <w:pageBreakBefore/>
                        <w:jc w:val="both"/>
                      </w:pPr>
                      <w:r>
                        <w:t xml:space="preserve">высказаться в отношении использования данного инструмента отчетности по КВОР, как возможности провести самооценку и глобальную оценку результатов </w:t>
                      </w:r>
                      <w:proofErr w:type="spellStart"/>
                      <w:r>
                        <w:t>аквакультуры</w:t>
                      </w:r>
                      <w:proofErr w:type="spellEnd"/>
                      <w:r>
                        <w:t xml:space="preserve">, включая и исполнение положений Кодекса, касающихся </w:t>
                      </w:r>
                      <w:proofErr w:type="spellStart"/>
                      <w:r>
                        <w:t>аквакультуры</w:t>
                      </w:r>
                      <w:proofErr w:type="spellEnd"/>
                      <w:r>
                        <w:t xml:space="preserve">; и </w:t>
                      </w:r>
                    </w:p>
                    <w:p w:rsidR="006503B9" w:rsidRPr="006503B9" w:rsidRDefault="006503B9" w:rsidP="006503B9">
                      <w:pPr>
                        <w:pStyle w:val="BulletList"/>
                        <w:pageBreakBefore/>
                        <w:numPr>
                          <w:ilvl w:val="0"/>
                          <w:numId w:val="0"/>
                        </w:numPr>
                        <w:jc w:val="both"/>
                      </w:pPr>
                    </w:p>
                    <w:p w:rsidR="004936CA" w:rsidRPr="00E2254F" w:rsidRDefault="004936CA" w:rsidP="00D54BCC">
                      <w:pPr>
                        <w:pStyle w:val="BulletList"/>
                        <w:jc w:val="both"/>
                      </w:pPr>
                      <w:r>
                        <w:t>рекомендовать действия и мероприятия, направленные на дальнейшее совершенствование процесса отчетности и использование инструментария отчетности через Интернет.</w:t>
                      </w:r>
                    </w:p>
                    <w:p w:rsidR="004936CA" w:rsidRDefault="004936CA" w:rsidP="0012156A"/>
                  </w:txbxContent>
                </v:textbox>
                <w10:anchorlock/>
              </v:shape>
            </w:pict>
          </mc:Fallback>
        </mc:AlternateContent>
      </w:r>
    </w:p>
    <w:p w:rsidR="0012156A" w:rsidRDefault="0012156A" w:rsidP="007E628F">
      <w:pPr>
        <w:pStyle w:val="Heading2"/>
        <w:numPr>
          <w:ilvl w:val="0"/>
          <w:numId w:val="0"/>
        </w:numPr>
        <w:ind w:left="1"/>
        <w:jc w:val="left"/>
        <w:rPr>
          <w:rFonts w:asciiTheme="minorHAnsi" w:hAnsiTheme="minorHAnsi"/>
        </w:rPr>
      </w:pPr>
    </w:p>
    <w:p w:rsidR="007E628F" w:rsidRPr="00E2254F" w:rsidRDefault="0012156A" w:rsidP="007E628F">
      <w:pPr>
        <w:pStyle w:val="Heading2"/>
        <w:numPr>
          <w:ilvl w:val="0"/>
          <w:numId w:val="0"/>
        </w:numPr>
        <w:ind w:left="1"/>
        <w:jc w:val="left"/>
      </w:pPr>
      <w:r>
        <w:rPr>
          <w:rFonts w:hint="eastAsia"/>
        </w:rPr>
        <w:t>РЕЗУЛЬТАТЫ</w:t>
      </w:r>
      <w:r>
        <w:t xml:space="preserve"> </w:t>
      </w:r>
      <w:r>
        <w:rPr>
          <w:rFonts w:hint="eastAsia"/>
        </w:rPr>
        <w:t>ПРИМЕНЕНИЯ</w:t>
      </w:r>
      <w:r>
        <w:t xml:space="preserve"> </w:t>
      </w:r>
      <w:r>
        <w:rPr>
          <w:rFonts w:hint="eastAsia"/>
        </w:rPr>
        <w:t>ПОЛОЖЕНИЙ</w:t>
      </w:r>
      <w:r>
        <w:t xml:space="preserve"> </w:t>
      </w:r>
      <w:r>
        <w:rPr>
          <w:rFonts w:hint="eastAsia"/>
        </w:rPr>
        <w:t>КВОР</w:t>
      </w:r>
      <w:r>
        <w:t xml:space="preserve">, </w:t>
      </w:r>
      <w:r>
        <w:rPr>
          <w:rFonts w:hint="eastAsia"/>
        </w:rPr>
        <w:t>КАСАЮЩИХСЯ</w:t>
      </w:r>
      <w:r>
        <w:t xml:space="preserve"> </w:t>
      </w:r>
      <w:r>
        <w:rPr>
          <w:rFonts w:hint="eastAsia"/>
        </w:rPr>
        <w:t>АКВАКУЛЬТУРЫ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ТОВАРНОГО</w:t>
      </w:r>
      <w:r>
        <w:t xml:space="preserve"> </w:t>
      </w:r>
      <w:r>
        <w:rPr>
          <w:rFonts w:hint="eastAsia"/>
        </w:rPr>
        <w:t>РЫБОВОДСТВА</w:t>
      </w:r>
    </w:p>
    <w:p w:rsidR="007E628F" w:rsidRDefault="007E628F" w:rsidP="007E628F"/>
    <w:p w:rsidR="007E628F" w:rsidRPr="00774A33" w:rsidRDefault="007E628F" w:rsidP="007E628F">
      <w:pPr>
        <w:pStyle w:val="NewPara"/>
        <w:jc w:val="both"/>
      </w:pPr>
      <w:r>
        <w:t xml:space="preserve">ФАО осуществляла мониторинг применения Кодекса ведения ответственного рыболовства (далее </w:t>
      </w:r>
      <w:r w:rsidR="004D47C5">
        <w:t>–</w:t>
      </w:r>
      <w:r>
        <w:t xml:space="preserve"> Кодекс или КВОР) с помощью стандартного вопросника, распространяемого среди стран-членов, региональных рыбохозяйственных организаций (РРО) и международных неправительственных организаций</w:t>
      </w:r>
      <w:r>
        <w:rPr>
          <w:vertAlign w:val="superscript"/>
        </w:rPr>
        <w:footnoteReference w:id="1"/>
      </w:r>
      <w:r>
        <w:t xml:space="preserve"> (МНПО). Вопросник включает разделы по аквакультуре, в частности, Статью 9 и некоторые компоненты </w:t>
      </w:r>
      <w:r w:rsidR="00432984">
        <w:t xml:space="preserve">статей </w:t>
      </w:r>
      <w:r>
        <w:t xml:space="preserve">5 и 10 КВОР. 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>Статья</w:t>
      </w:r>
      <w:r w:rsidR="00432984">
        <w:t> </w:t>
      </w:r>
      <w:r>
        <w:t>4.2 Кодекса устанавливает</w:t>
      </w:r>
      <w:r w:rsidR="0028674B">
        <w:t xml:space="preserve">, </w:t>
      </w:r>
      <w:r>
        <w:t>среди прочего, что ФАО будет докладывать Комитету по рыбному хозяйству ФАО (КРХ) о применении и реализации Кодекса с использованием стандартного вопросника. В этой связи Секретариат КРХ раз в два года проводит обзор ответов, полученных от членов ФАО, региональных рыбохозяйственных организаций (РР</w:t>
      </w:r>
      <w:r w:rsidR="006C1D3C">
        <w:t>Х</w:t>
      </w:r>
      <w:r>
        <w:t>О) и международных неправительственных организаций (МНПО)</w:t>
      </w:r>
      <w:r w:rsidR="006C1D3C">
        <w:t>, а также</w:t>
      </w:r>
      <w:r>
        <w:t xml:space="preserve"> докладывает КРХ о применении положений. Секретариат </w:t>
      </w:r>
      <w:r w:rsidR="00432984">
        <w:t xml:space="preserve">Подкомитета </w:t>
      </w:r>
      <w:r>
        <w:t>КРХ по аквакультуре (КРХ/ПКА) также регулярно рассматривает применение положений Кодекса, касающихся аквакультуры</w:t>
      </w:r>
      <w:r w:rsidR="00432984">
        <w:t>,</w:t>
      </w:r>
      <w:r>
        <w:t xml:space="preserve"> с использованием такой же методологии и представляет результаты </w:t>
      </w:r>
      <w:r w:rsidR="00432984">
        <w:t xml:space="preserve">Подкомитету </w:t>
      </w:r>
      <w:r>
        <w:t xml:space="preserve">для обсуждения и принятия решений. </w:t>
      </w:r>
      <w:proofErr w:type="gramStart"/>
      <w:r>
        <w:t xml:space="preserve">Настоящий документ является седьмым из таких докладов, подготовленных Секретариатом </w:t>
      </w:r>
      <w:r w:rsidR="00432984">
        <w:t xml:space="preserve">Подкомитета, </w:t>
      </w:r>
      <w:r>
        <w:t xml:space="preserve">и </w:t>
      </w:r>
      <w:r w:rsidR="00FD1DEF">
        <w:t xml:space="preserve">содержит </w:t>
      </w:r>
      <w:r>
        <w:t>i)</w:t>
      </w:r>
      <w:r w:rsidR="00432984">
        <w:t> </w:t>
      </w:r>
      <w:r>
        <w:t xml:space="preserve">резюме </w:t>
      </w:r>
      <w:r w:rsidR="00FD1DEF">
        <w:t xml:space="preserve">относящихся к аквакультуре ответов на </w:t>
      </w:r>
      <w:r>
        <w:t>общ</w:t>
      </w:r>
      <w:r w:rsidR="00FD1DEF">
        <w:t>ий</w:t>
      </w:r>
      <w:r>
        <w:t xml:space="preserve"> вопросник КВОР и </w:t>
      </w:r>
      <w:proofErr w:type="spellStart"/>
      <w:r>
        <w:t>ii</w:t>
      </w:r>
      <w:proofErr w:type="spellEnd"/>
      <w:r>
        <w:t>)</w:t>
      </w:r>
      <w:r w:rsidR="00432984">
        <w:t> </w:t>
      </w:r>
      <w:r>
        <w:t xml:space="preserve">второй глобальный </w:t>
      </w:r>
      <w:r w:rsidR="00432984">
        <w:t xml:space="preserve">отчет </w:t>
      </w:r>
      <w:r>
        <w:t xml:space="preserve">по </w:t>
      </w:r>
      <w:r w:rsidR="00F92EC7">
        <w:t>результатам ответов на</w:t>
      </w:r>
      <w:r w:rsidR="00FD1DEF">
        <w:t xml:space="preserve"> </w:t>
      </w:r>
      <w:r>
        <w:t>нов</w:t>
      </w:r>
      <w:r w:rsidR="00F92EC7">
        <w:t>ый</w:t>
      </w:r>
      <w:r>
        <w:t xml:space="preserve"> вопросник КВОР по аквакультуре, </w:t>
      </w:r>
      <w:r w:rsidR="00F92EC7">
        <w:t xml:space="preserve">который </w:t>
      </w:r>
      <w:r>
        <w:t xml:space="preserve">впервые </w:t>
      </w:r>
      <w:r w:rsidR="001546E4">
        <w:t xml:space="preserve">был </w:t>
      </w:r>
      <w:r w:rsidR="00F92EC7">
        <w:t>размещен</w:t>
      </w:r>
      <w:r>
        <w:t xml:space="preserve"> </w:t>
      </w:r>
      <w:r w:rsidR="001546E4">
        <w:t xml:space="preserve">в </w:t>
      </w:r>
      <w:r>
        <w:t>сети Интернет</w:t>
      </w:r>
      <w:r w:rsidR="001546E4">
        <w:t xml:space="preserve"> в электронном виде</w:t>
      </w:r>
      <w:r>
        <w:t>.</w:t>
      </w:r>
      <w:proofErr w:type="gramEnd"/>
    </w:p>
    <w:p w:rsidR="007E628F" w:rsidRDefault="007E628F" w:rsidP="007E628F"/>
    <w:p w:rsidR="007E628F" w:rsidRPr="00E2254F" w:rsidRDefault="007E628F" w:rsidP="007E628F">
      <w:pPr>
        <w:pStyle w:val="Heading2"/>
        <w:numPr>
          <w:ilvl w:val="0"/>
          <w:numId w:val="0"/>
        </w:numPr>
        <w:ind w:left="1"/>
        <w:jc w:val="left"/>
      </w:pPr>
      <w:r>
        <w:t>ОТВЕТЫ, КАСАЮЩИЕСЯ АКВАКУЛЬТУРЫ</w:t>
      </w:r>
      <w:r w:rsidR="00432984">
        <w:rPr>
          <w:rFonts w:asciiTheme="minorHAnsi" w:hAnsiTheme="minorHAnsi"/>
        </w:rPr>
        <w:t>,</w:t>
      </w:r>
      <w:r>
        <w:t xml:space="preserve"> В ОБЩЕМ ВОПРОСНИКЕ КВОР</w:t>
      </w:r>
    </w:p>
    <w:p w:rsidR="007E628F" w:rsidRDefault="007E628F" w:rsidP="007E628F">
      <w:pPr>
        <w:pStyle w:val="NewPara"/>
        <w:numPr>
          <w:ilvl w:val="0"/>
          <w:numId w:val="0"/>
        </w:numPr>
      </w:pPr>
    </w:p>
    <w:p w:rsidR="007E628F" w:rsidRPr="00774A33" w:rsidRDefault="007E628F" w:rsidP="00D54BCC">
      <w:pPr>
        <w:pStyle w:val="NewPara"/>
        <w:jc w:val="both"/>
      </w:pPr>
      <w:r>
        <w:t xml:space="preserve">Девяносто шесть стран заполнили и представили общий вопросник КВОР 2013 года, из </w:t>
      </w:r>
      <w:r w:rsidR="00CF08A6">
        <w:t>которых</w:t>
      </w:r>
      <w:r w:rsidR="00CF08A6" w:rsidRPr="00CF08A6">
        <w:t xml:space="preserve"> </w:t>
      </w:r>
      <w:r w:rsidR="00432984">
        <w:t>82 </w:t>
      </w:r>
      <w:r>
        <w:t xml:space="preserve">ответили на вопросы, касающиеся аквакультуры. Это представляет собой </w:t>
      </w:r>
      <w:r>
        <w:lastRenderedPageBreak/>
        <w:t>увеличение на 82</w:t>
      </w:r>
      <w:r w:rsidR="00432984">
        <w:t>%</w:t>
      </w:r>
      <w:r>
        <w:t xml:space="preserve"> ответов по аквакультуре из общего вопросника. Ниже представлен ряд таких элементов в </w:t>
      </w:r>
      <w:r w:rsidR="00432984">
        <w:t xml:space="preserve">обобщенном </w:t>
      </w:r>
      <w:r>
        <w:t>виде</w:t>
      </w:r>
      <w:r>
        <w:rPr>
          <w:vertAlign w:val="superscript"/>
        </w:rPr>
        <w:footnoteReference w:id="2"/>
      </w:r>
      <w:r>
        <w:t>.</w:t>
      </w:r>
      <w:r w:rsidR="00D54BCC">
        <w:t xml:space="preserve"> 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>В числе восьми тем Кодекса вопросы "Управления рыбным хозяйством" и "Развития аквакультуры" по-прежнему оцениваются как самые приоритетные с 76,9</w:t>
      </w:r>
      <w:r w:rsidR="001832CB">
        <w:t>%</w:t>
      </w:r>
      <w:r>
        <w:t xml:space="preserve"> для рыбного хозяйства и 59</w:t>
      </w:r>
      <w:r w:rsidR="001832CB">
        <w:t>%</w:t>
      </w:r>
      <w:r>
        <w:t xml:space="preserve"> для аквакультуры. На общемировом уровне 42</w:t>
      </w:r>
      <w:r w:rsidR="001832CB">
        <w:t>%</w:t>
      </w:r>
      <w:r>
        <w:t xml:space="preserve"> стран указали, что их национальные нормативно-правовые базы в сфере аквакультуры в значительной степени сформированы и</w:t>
      </w:r>
      <w:r w:rsidR="001832CB">
        <w:t>/</w:t>
      </w:r>
      <w:r>
        <w:t>или реализуются.</w:t>
      </w:r>
      <w:r w:rsidR="00D54BCC">
        <w:t xml:space="preserve"> </w:t>
      </w:r>
      <w:r>
        <w:t>Тридцать шесть и 48</w:t>
      </w:r>
      <w:r w:rsidR="001832CB">
        <w:t>%</w:t>
      </w:r>
      <w:r>
        <w:t xml:space="preserve"> стран отметили сходство в состоянии соответственно своих национальных нормативно-правовых и институциональных основ при наличии определенных региональных особенностей.</w:t>
      </w:r>
      <w:r w:rsidR="00D54BCC">
        <w:t xml:space="preserve"> </w:t>
      </w:r>
      <w:r>
        <w:t>Эти показатели не отражают сколько-нибудь значительных изменений по сравнению с ситуацией, о которой сообщалось в 2011 году.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>Семьдесят четыре процента стран сообщили о наличии разработанных государственными органами кодексов или инструментов передовой практики по вопросам аквакультуры в соответствии с положениями КВОР, в то время как 55</w:t>
      </w:r>
      <w:r w:rsidR="001832CB">
        <w:t>%</w:t>
      </w:r>
      <w:r>
        <w:t xml:space="preserve"> стран указали, что у них кодексы разработаны и реализуются производителями, 32</w:t>
      </w:r>
      <w:r w:rsidR="001832CB">
        <w:t xml:space="preserve">% </w:t>
      </w:r>
      <w:r>
        <w:t>– поставщиками продукции аквакультуры и 30</w:t>
      </w:r>
      <w:r w:rsidR="001832CB">
        <w:t xml:space="preserve">% </w:t>
      </w:r>
      <w:r>
        <w:t xml:space="preserve">– различными предприятиями перерабатывающей промышленности. 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>Восемьдесят два процента стран отметили необходимость совершенствования экологической оценки аквакультурного производства и 77</w:t>
      </w:r>
      <w:r w:rsidR="001832CB">
        <w:t xml:space="preserve">% </w:t>
      </w:r>
      <w:r>
        <w:t xml:space="preserve">– необходимость </w:t>
      </w:r>
      <w:r>
        <w:br/>
        <w:t>совершенствования мониторинга аквакультурного производства. В отношении минимизации вредных последствий интродукции чужеродных видов 42</w:t>
      </w:r>
      <w:r w:rsidR="001832CB">
        <w:t>%</w:t>
      </w:r>
      <w:r>
        <w:t xml:space="preserve"> стран отметили наличие у них действенных мер в этой области, в то время как 58</w:t>
      </w:r>
      <w:r w:rsidR="001832CB">
        <w:t>%</w:t>
      </w:r>
      <w:r>
        <w:t xml:space="preserve"> отметили необходимость их совершенствования. Как и</w:t>
      </w:r>
      <w:r w:rsidR="00D54BCC">
        <w:t xml:space="preserve"> </w:t>
      </w:r>
      <w:r>
        <w:t>преж</w:t>
      </w:r>
      <w:r w:rsidR="006C1D3C">
        <w:t>де</w:t>
      </w:r>
      <w:r>
        <w:t xml:space="preserve">, </w:t>
      </w:r>
      <w:r w:rsidR="006C1D3C">
        <w:t xml:space="preserve">в своих ответах </w:t>
      </w:r>
      <w:r>
        <w:t xml:space="preserve">государства-члены отметили, что укрепление институционального технического потенциала является важнейшим условием совершенствования всех трех указанных выше основных процедур. Государствам-членам предлагается содействовать распространению ответственной практики аквакультуры в целях поддержки сельского населения, организаций производителей и рыбоводов. Восемьдесят восемь процентов государств-членов указали, что ими приняты необходимые меры в этой сфере. </w:t>
      </w:r>
    </w:p>
    <w:p w:rsidR="007E628F" w:rsidRDefault="007E628F" w:rsidP="007E628F"/>
    <w:p w:rsidR="007E628F" w:rsidRPr="00AB7919" w:rsidRDefault="00CF08A6" w:rsidP="00D54BCC">
      <w:pPr>
        <w:pStyle w:val="Heading2"/>
        <w:numPr>
          <w:ilvl w:val="0"/>
          <w:numId w:val="0"/>
        </w:numPr>
        <w:ind w:left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НОВЫЙ ЭЛЕКТРОННЫЙ ВОПРОСНИК</w:t>
      </w:r>
      <w:r w:rsidRPr="00CF08A6">
        <w:rPr>
          <w:rFonts w:ascii="Times New Roman" w:hAnsi="Times New Roman" w:cs="Times New Roman"/>
        </w:rPr>
        <w:t xml:space="preserve"> – </w:t>
      </w:r>
      <w:r w:rsidR="00AB7919">
        <w:rPr>
          <w:rFonts w:ascii="Times New Roman" w:hAnsi="Times New Roman" w:cs="Times New Roman"/>
        </w:rPr>
        <w:t>ИНСТРУМЕНТ БО</w:t>
      </w:r>
      <w:r w:rsidR="00AB7919" w:rsidRPr="00AB7919">
        <w:rPr>
          <w:rFonts w:ascii="Times New Roman" w:hAnsi="Times New Roman" w:cs="Times New Roman"/>
        </w:rPr>
        <w:t>ЛЕЕ ЭФФЕКТИВНОГО ИНФОРМИРОВАНИЯ О ВЫПОЛНЕНИ</w:t>
      </w:r>
      <w:r w:rsidR="00AB7919">
        <w:rPr>
          <w:rFonts w:ascii="Times New Roman" w:hAnsi="Times New Roman" w:cs="Times New Roman"/>
        </w:rPr>
        <w:t>И</w:t>
      </w:r>
      <w:r w:rsidR="00AB7919" w:rsidRPr="00AB7919">
        <w:rPr>
          <w:rFonts w:ascii="Times New Roman" w:hAnsi="Times New Roman" w:cs="Times New Roman"/>
        </w:rPr>
        <w:t xml:space="preserve"> ПОЛОЖЕНИЙ КВОР, КАСАЮЩИХСЯ АКВАКУЛЬТУРЫ И ТОВАРНОГО РЫБОВОДСТВА</w:t>
      </w:r>
    </w:p>
    <w:p w:rsidR="007E628F" w:rsidRPr="00E2254F" w:rsidRDefault="007E628F" w:rsidP="007E628F">
      <w:pPr>
        <w:rPr>
          <w:b/>
        </w:rPr>
      </w:pPr>
      <w:r>
        <w:rPr>
          <w:b/>
        </w:rPr>
        <w:t>Общая информация</w:t>
      </w:r>
    </w:p>
    <w:p w:rsidR="007E628F" w:rsidRDefault="007E628F" w:rsidP="007E628F"/>
    <w:p w:rsidR="007E628F" w:rsidRPr="00E2254F" w:rsidRDefault="007E628F" w:rsidP="007E628F">
      <w:pPr>
        <w:pStyle w:val="NewPara"/>
        <w:jc w:val="both"/>
      </w:pPr>
      <w:r>
        <w:t>В целях лучшего учета вопросов аквакультуры</w:t>
      </w:r>
      <w:r w:rsidR="00C77574">
        <w:t xml:space="preserve">, а также </w:t>
      </w:r>
      <w:r>
        <w:t>и</w:t>
      </w:r>
      <w:r w:rsidR="00D54BCC">
        <w:t xml:space="preserve"> </w:t>
      </w:r>
      <w:r w:rsidR="000C0120">
        <w:t xml:space="preserve">увеличения числа респондентов </w:t>
      </w:r>
      <w:r>
        <w:t xml:space="preserve">и </w:t>
      </w:r>
      <w:r w:rsidR="00C77574">
        <w:t xml:space="preserve">обеспечения </w:t>
      </w:r>
      <w:r>
        <w:t xml:space="preserve">соблюдения Кодекса КРХ и КРХ-ПКА </w:t>
      </w:r>
      <w:r w:rsidR="006C1D3C">
        <w:t>поручили</w:t>
      </w:r>
      <w:r>
        <w:t xml:space="preserve"> ФАО</w:t>
      </w:r>
      <w:r w:rsidR="00D54BCC">
        <w:t xml:space="preserve"> </w:t>
      </w:r>
      <w:r>
        <w:t>разработать вопросник для оценки соблюдения государствами положений КВОР, касающихся аквакультуры</w:t>
      </w:r>
      <w:r w:rsidR="001832CB">
        <w:t>.</w:t>
      </w:r>
      <w:r>
        <w:t xml:space="preserve"> </w:t>
      </w:r>
      <w:proofErr w:type="gramStart"/>
      <w:r>
        <w:t xml:space="preserve">Во исполнение этого </w:t>
      </w:r>
      <w:r w:rsidR="006C1D3C">
        <w:t>поручения</w:t>
      </w:r>
      <w:r>
        <w:t xml:space="preserve"> ФАО начала длительный процесс с широким участием для разработки конкретного вопросника </w:t>
      </w:r>
      <w:r w:rsidR="006C1D3C">
        <w:t xml:space="preserve">к </w:t>
      </w:r>
      <w:r>
        <w:t xml:space="preserve">2008 году, который </w:t>
      </w:r>
      <w:r w:rsidR="006C1D3C">
        <w:t>стал</w:t>
      </w:r>
      <w:r w:rsidR="0027003C">
        <w:t xml:space="preserve"> </w:t>
      </w:r>
      <w:r w:rsidR="00B56FDC">
        <w:t>примен</w:t>
      </w:r>
      <w:r w:rsidR="006C1D3C">
        <w:t>яться</w:t>
      </w:r>
      <w:r w:rsidR="00B56FDC">
        <w:t xml:space="preserve"> </w:t>
      </w:r>
      <w:r w:rsidR="006C1D3C">
        <w:t xml:space="preserve">во всем мире </w:t>
      </w:r>
      <w:r>
        <w:t>в начале 2013</w:t>
      </w:r>
      <w:r w:rsidR="00B56FDC">
        <w:t> года,</w:t>
      </w:r>
      <w:r>
        <w:t xml:space="preserve"> и первый </w:t>
      </w:r>
      <w:r w:rsidR="006C1D3C">
        <w:t>доклад</w:t>
      </w:r>
      <w:r w:rsidR="00B56FDC">
        <w:t xml:space="preserve"> </w:t>
      </w:r>
      <w:r>
        <w:t xml:space="preserve">о применении положений </w:t>
      </w:r>
      <w:r w:rsidR="00B56FDC">
        <w:t xml:space="preserve">Кодекса </w:t>
      </w:r>
      <w:r>
        <w:t xml:space="preserve">в </w:t>
      </w:r>
      <w:r>
        <w:lastRenderedPageBreak/>
        <w:t xml:space="preserve">аквакультуре и </w:t>
      </w:r>
      <w:r w:rsidR="000E51C1">
        <w:t>товарном рыбоводстве</w:t>
      </w:r>
      <w:r>
        <w:t xml:space="preserve"> был представлен КПА-ПКА в Санкт-Петербурге в октябре этого же года</w:t>
      </w:r>
      <w:r w:rsidRPr="00D54BCC">
        <w:rPr>
          <w:rStyle w:val="FootnoteReference"/>
          <w:rFonts w:ascii="Times New Roman" w:hAnsi="Times New Roman" w:cs="Times New Roman"/>
          <w:sz w:val="22"/>
          <w:szCs w:val="22"/>
        </w:rPr>
        <w:footnoteReference w:id="3"/>
      </w:r>
      <w:r>
        <w:t>. Подкомитет приветствовал новый вопросник и рекомендовал загрузить его в новую</w:t>
      </w:r>
      <w:proofErr w:type="gramEnd"/>
      <w:r>
        <w:t xml:space="preserve"> систему с </w:t>
      </w:r>
      <w:proofErr w:type="gramStart"/>
      <w:r>
        <w:t>интернет</w:t>
      </w:r>
      <w:r w:rsidR="00B56FDC">
        <w:t>-</w:t>
      </w:r>
      <w:r>
        <w:t>расположением</w:t>
      </w:r>
      <w:proofErr w:type="gramEnd"/>
      <w:r>
        <w:t xml:space="preserve">, проектировавшуюся для основного вопросника КВОР. Данная рекомендация была в дальнейшем поддержана 30-й сессией </w:t>
      </w:r>
      <w:r w:rsidR="00B56FDC">
        <w:t xml:space="preserve">КРХ </w:t>
      </w:r>
      <w:r>
        <w:t>(Рим, июль 2014 года).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proofErr w:type="gramStart"/>
      <w:r>
        <w:t>Во исполнение вышеупомянутых рекомендаций Секретариат в ходе последнего межсессионного периода:</w:t>
      </w:r>
      <w:r w:rsidR="00D54BCC">
        <w:t xml:space="preserve"> </w:t>
      </w:r>
      <w:r>
        <w:t>i) адаптировал и загрузил новый вопросник по положениям КВОР в сфере аквакультуры и пояснительную инструкцию (на официальных языках организации) на веб</w:t>
      </w:r>
      <w:r w:rsidR="00B56FDC">
        <w:t>-</w:t>
      </w:r>
      <w:r>
        <w:t>портал основного вопросника КВОР и</w:t>
      </w:r>
      <w:r w:rsidR="00D54BCC">
        <w:t xml:space="preserve"> </w:t>
      </w:r>
      <w:r>
        <w:t>ii)</w:t>
      </w:r>
      <w:r w:rsidR="00B56FDC">
        <w:t> </w:t>
      </w:r>
      <w:r>
        <w:t>в начале марта 2015</w:t>
      </w:r>
      <w:r w:rsidR="00B56FDC">
        <w:t> </w:t>
      </w:r>
      <w:r>
        <w:t>года распространил вопросник среди всех стран-членов.</w:t>
      </w:r>
      <w:proofErr w:type="gramEnd"/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 xml:space="preserve">Система вопросника в режиме онлайн доступна через выделенный портал домена ФАО, с использованием неповторяющихся </w:t>
      </w:r>
      <w:r w:rsidR="00B56FDC">
        <w:t xml:space="preserve">имен </w:t>
      </w:r>
      <w:r>
        <w:t>пользователей и паролей и отвечает необходимым требованиям конфиденциальности, безопасности и применимости.</w:t>
      </w:r>
    </w:p>
    <w:p w:rsidR="007E628F" w:rsidRDefault="007E628F" w:rsidP="007E628F"/>
    <w:p w:rsidR="007E628F" w:rsidRPr="003F7CA0" w:rsidRDefault="007E628F" w:rsidP="007E628F">
      <w:pPr>
        <w:pStyle w:val="Heading2"/>
        <w:numPr>
          <w:ilvl w:val="0"/>
          <w:numId w:val="0"/>
        </w:numPr>
        <w:ind w:left="709" w:hanging="708"/>
        <w:jc w:val="left"/>
      </w:pPr>
      <w:r>
        <w:t xml:space="preserve">РАСПРОСТРАНЕНИЕ ВОПРОСНИКА, ОТВЕТЫ И АНАЛИЗ ДАННЫХ </w:t>
      </w:r>
    </w:p>
    <w:p w:rsidR="007E628F" w:rsidRPr="003F7CA0" w:rsidRDefault="007E628F" w:rsidP="007E628F">
      <w:pPr>
        <w:pStyle w:val="NewPara"/>
        <w:numPr>
          <w:ilvl w:val="0"/>
          <w:numId w:val="0"/>
        </w:numPr>
      </w:pPr>
    </w:p>
    <w:p w:rsidR="007E628F" w:rsidRPr="00E178FD" w:rsidRDefault="00B56FDC" w:rsidP="007E628F">
      <w:pPr>
        <w:pStyle w:val="NewPara"/>
        <w:jc w:val="both"/>
      </w:pPr>
      <w:r>
        <w:t xml:space="preserve">Семьдесят </w:t>
      </w:r>
      <w:r w:rsidR="007E628F">
        <w:t>одна страна заполнила вышеназванный вопросник и направила его в ФАО</w:t>
      </w:r>
      <w:r w:rsidR="007E628F" w:rsidRPr="00D54BCC">
        <w:rPr>
          <w:rStyle w:val="FootnoteReference"/>
          <w:rFonts w:ascii="Times New Roman" w:hAnsi="Times New Roman" w:cs="Times New Roman"/>
          <w:sz w:val="22"/>
          <w:szCs w:val="22"/>
        </w:rPr>
        <w:footnoteReference w:id="4"/>
      </w:r>
      <w:r w:rsidR="007E628F">
        <w:t>, включая те страны, которые обеспечивают порядка 90</w:t>
      </w:r>
      <w:r>
        <w:t>%</w:t>
      </w:r>
      <w:r w:rsidR="007E628F">
        <w:t xml:space="preserve"> мирового производст</w:t>
      </w:r>
      <w:r>
        <w:t>в</w:t>
      </w:r>
      <w:r w:rsidR="007E628F">
        <w:t xml:space="preserve">а. Большинство вопросников </w:t>
      </w:r>
      <w:r w:rsidR="00880042">
        <w:t xml:space="preserve">было загружено </w:t>
      </w:r>
      <w:r w:rsidR="007E628F">
        <w:t>в систему сети в соответствии с указанными сроками. Однако в некоторых случаях он</w:t>
      </w:r>
      <w:r>
        <w:t>и</w:t>
      </w:r>
      <w:r w:rsidR="007E628F">
        <w:t xml:space="preserve"> были представлены после того, как Секретариат напрямую обратился к орган</w:t>
      </w:r>
      <w:r>
        <w:t>а</w:t>
      </w:r>
      <w:r w:rsidR="007E628F">
        <w:t xml:space="preserve">м, отвечающим за аквакультуру. В немногих случаях государства-члены отмечали некоторые проблемы доступа к порталу сети на основе своих </w:t>
      </w:r>
      <w:r w:rsidR="00BE79C6">
        <w:t>прав</w:t>
      </w:r>
      <w:r w:rsidR="007E628F">
        <w:t>, но все они были быстро разрешены Секретариатом.</w:t>
      </w:r>
    </w:p>
    <w:p w:rsidR="007E628F" w:rsidRPr="00E2254F" w:rsidRDefault="007E628F" w:rsidP="007E628F"/>
    <w:p w:rsidR="007E628F" w:rsidRPr="00E178FD" w:rsidRDefault="007E628F" w:rsidP="007E628F">
      <w:pPr>
        <w:pStyle w:val="NewPara"/>
        <w:jc w:val="both"/>
      </w:pPr>
      <w:r>
        <w:t xml:space="preserve">Вопросники не распространялись в данном случае среди </w:t>
      </w:r>
      <w:r w:rsidR="00502B07">
        <w:t xml:space="preserve">организаций </w:t>
      </w:r>
      <w:r>
        <w:t xml:space="preserve">гражданского общества, МПО и региональных рыбохозяйственных организаций. В следующий </w:t>
      </w:r>
      <w:r w:rsidR="00502B07">
        <w:t xml:space="preserve">отчетный </w:t>
      </w:r>
      <w:r>
        <w:t>период для этих целей будет подготовлен адаптированный вариант.</w:t>
      </w:r>
    </w:p>
    <w:p w:rsidR="007E628F" w:rsidRPr="00E2254F" w:rsidRDefault="007E628F" w:rsidP="007E628F">
      <w:pPr>
        <w:pStyle w:val="NewPara"/>
        <w:numPr>
          <w:ilvl w:val="0"/>
          <w:numId w:val="0"/>
        </w:numPr>
      </w:pPr>
    </w:p>
    <w:p w:rsidR="007E628F" w:rsidRPr="00E178FD" w:rsidRDefault="007E628F" w:rsidP="007E628F">
      <w:pPr>
        <w:pStyle w:val="NewPara"/>
        <w:jc w:val="both"/>
      </w:pPr>
      <w:r>
        <w:t>Вопросник на веб</w:t>
      </w:r>
      <w:r w:rsidR="00502B07">
        <w:t>-</w:t>
      </w:r>
      <w:r>
        <w:t>платформе следует тому же формату, как и предыдущая версия в формате Excel, с незначительными изменениями</w:t>
      </w:r>
      <w:r w:rsidRPr="00D54BCC">
        <w:rPr>
          <w:rStyle w:val="FootnoteReference"/>
          <w:rFonts w:ascii="Times New Roman" w:hAnsi="Times New Roman" w:cs="Times New Roman"/>
          <w:sz w:val="22"/>
          <w:szCs w:val="22"/>
        </w:rPr>
        <w:footnoteReference w:id="5"/>
      </w:r>
      <w:r>
        <w:t xml:space="preserve">, </w:t>
      </w:r>
      <w:r w:rsidR="00880042">
        <w:t>то есть</w:t>
      </w:r>
      <w:r>
        <w:t xml:space="preserve"> по каждому вопросу предоставляется </w:t>
      </w:r>
      <w:r>
        <w:lastRenderedPageBreak/>
        <w:t>возможность поставить от 0</w:t>
      </w:r>
      <w:r w:rsidR="00502B07">
        <w:t> </w:t>
      </w:r>
      <w:r>
        <w:t>до</w:t>
      </w:r>
      <w:r w:rsidR="00502B07">
        <w:t> </w:t>
      </w:r>
      <w:r>
        <w:t>5</w:t>
      </w:r>
      <w:r w:rsidR="00502B07">
        <w:t> </w:t>
      </w:r>
      <w:r>
        <w:t xml:space="preserve">баллов, </w:t>
      </w:r>
      <w:proofErr w:type="gramStart"/>
      <w:r>
        <w:t>притом</w:t>
      </w:r>
      <w:proofErr w:type="gramEnd"/>
      <w:r>
        <w:t xml:space="preserve"> что 0 означает полное отсутствие затрагиваемых вопросом или утверждением мер или механизмов, 4 означает, что мера или механизм </w:t>
      </w:r>
      <w:r w:rsidR="00502B07">
        <w:t>применяется</w:t>
      </w:r>
      <w:r>
        <w:t xml:space="preserve">, а 5 выставляется, когда на местном уровне обеспечивается полное исполнение. Существовала также возможность указать, что вопрос или утверждение не </w:t>
      </w:r>
      <w:proofErr w:type="gramStart"/>
      <w:r>
        <w:t>применимы</w:t>
      </w:r>
      <w:proofErr w:type="gramEnd"/>
      <w:r>
        <w:t xml:space="preserve"> или не релевантны (n.a.). Система в сети также </w:t>
      </w:r>
      <w:r w:rsidR="00502B07">
        <w:t xml:space="preserve">дает </w:t>
      </w:r>
      <w:r>
        <w:t>указания по оценке в баллах по каждому утверждению или вопросу посредством всплывающих информационных подсказок.</w:t>
      </w:r>
    </w:p>
    <w:p w:rsidR="007E628F" w:rsidRPr="00E2254F" w:rsidRDefault="007E628F" w:rsidP="007E628F"/>
    <w:p w:rsidR="007E628F" w:rsidRPr="00E178FD" w:rsidRDefault="007E628F" w:rsidP="007E628F">
      <w:pPr>
        <w:pStyle w:val="NewPara"/>
        <w:jc w:val="both"/>
      </w:pPr>
      <w:r>
        <w:t>Как и в предыдущем варианте, вопросник предусматривает возможность оценки поддержки</w:t>
      </w:r>
      <w:r w:rsidR="00502B07">
        <w:t>,</w:t>
      </w:r>
      <w:r>
        <w:t xml:space="preserve"> оказываемой ФАО</w:t>
      </w:r>
      <w:r w:rsidR="00502B07">
        <w:t>,</w:t>
      </w:r>
      <w:r>
        <w:t xml:space="preserve"> в выполнении каждой конкретной меры. Также предлагаются ссылки в режиме онлайн на соответствующие публикации или инструментарий ФАО. </w:t>
      </w:r>
    </w:p>
    <w:p w:rsidR="007E628F" w:rsidRPr="00E2254F" w:rsidRDefault="007E628F" w:rsidP="007E628F"/>
    <w:p w:rsidR="007E628F" w:rsidRDefault="007E628F" w:rsidP="007E628F">
      <w:pPr>
        <w:pStyle w:val="NewPara"/>
        <w:jc w:val="both"/>
      </w:pPr>
      <w:r>
        <w:t>Анализ различных разделов вопросника и обработка информации осуществлялись по той же методологии, что использовалась и при первом испытании</w:t>
      </w:r>
      <w:r w:rsidRPr="00D54BCC">
        <w:rPr>
          <w:rStyle w:val="FootnoteReference"/>
          <w:rFonts w:ascii="Times New Roman" w:hAnsi="Times New Roman" w:cs="Times New Roman"/>
          <w:sz w:val="22"/>
          <w:szCs w:val="22"/>
        </w:rPr>
        <w:footnoteReference w:id="6"/>
      </w:r>
      <w:r>
        <w:t>.</w:t>
      </w:r>
    </w:p>
    <w:p w:rsidR="00502B07" w:rsidRPr="00E178FD" w:rsidRDefault="00502B07" w:rsidP="00D54BCC">
      <w:pPr>
        <w:pStyle w:val="NewPara"/>
        <w:numPr>
          <w:ilvl w:val="0"/>
          <w:numId w:val="0"/>
        </w:numPr>
        <w:jc w:val="both"/>
      </w:pPr>
    </w:p>
    <w:p w:rsidR="007E628F" w:rsidRPr="00E2254F" w:rsidRDefault="007E628F" w:rsidP="007E628F">
      <w:pPr>
        <w:pStyle w:val="NewPara"/>
        <w:jc w:val="both"/>
      </w:pPr>
      <w:r>
        <w:t xml:space="preserve">Сводный статистический отчет по ответам государств-членов, содержащий </w:t>
      </w:r>
      <w:r w:rsidR="00502B07">
        <w:t xml:space="preserve">восемь </w:t>
      </w:r>
      <w:r>
        <w:t>таблиц и некоторые данные, приведенные в настоящем документе, будет размещен в виде справочного документа сессии (SBD)</w:t>
      </w:r>
      <w:r w:rsidR="00502B07">
        <w:t xml:space="preserve"> </w:t>
      </w:r>
      <w:r>
        <w:t xml:space="preserve">на английском языке на веб-сайте КРХ-ПКА и </w:t>
      </w:r>
      <w:r w:rsidR="00502B07">
        <w:t xml:space="preserve">распространен </w:t>
      </w:r>
      <w:r>
        <w:t>на заседании КРХ-ПКА в качестве сопроводительного материала к настоящему документу.</w:t>
      </w:r>
      <w:r>
        <w:rPr>
          <w:highlight w:val="lightGray"/>
        </w:rPr>
        <w:t xml:space="preserve"> </w:t>
      </w:r>
    </w:p>
    <w:p w:rsidR="007E628F" w:rsidRPr="002271D3" w:rsidRDefault="007E628F" w:rsidP="007E628F">
      <w:pPr>
        <w:rPr>
          <w:highlight w:val="lightGray"/>
        </w:rPr>
      </w:pPr>
    </w:p>
    <w:p w:rsidR="007E628F" w:rsidRPr="00E2254F" w:rsidRDefault="007E628F" w:rsidP="007E628F">
      <w:pPr>
        <w:pStyle w:val="NewPara"/>
        <w:jc w:val="both"/>
      </w:pPr>
      <w:r>
        <w:t xml:space="preserve">Вопросник обеспечил обширную информацию; была сделана попытка обратиться к наиболее существенным положениям Кодекса и сопряженным проблемам, также в увязке, где следует, с основным вопросником и прежними результатами. Так как это уже вторая отработка нового вопросника, то в некоторых </w:t>
      </w:r>
      <w:proofErr w:type="gramStart"/>
      <w:r>
        <w:t>случаях</w:t>
      </w:r>
      <w:proofErr w:type="gramEnd"/>
      <w:r>
        <w:t xml:space="preserve"> возможно оценить и временную последовательность ответов.</w:t>
      </w:r>
    </w:p>
    <w:p w:rsidR="007E628F" w:rsidRDefault="007E628F" w:rsidP="007E628F"/>
    <w:p w:rsidR="007E628F" w:rsidRPr="00E2254F" w:rsidRDefault="007E628F" w:rsidP="007E628F">
      <w:pPr>
        <w:pStyle w:val="Heading2"/>
        <w:numPr>
          <w:ilvl w:val="0"/>
          <w:numId w:val="0"/>
        </w:numPr>
        <w:ind w:left="1"/>
        <w:jc w:val="left"/>
      </w:pPr>
      <w:r>
        <w:t>РЕЗУЛЬТАТЫ ПО АКВАКУЛЬТУРЕ И ПРИМЕНЕНИЕ КОДЕКСА:</w:t>
      </w:r>
      <w:r w:rsidR="00D54BCC">
        <w:t xml:space="preserve"> </w:t>
      </w:r>
      <w:r>
        <w:t>ВТОРАЯ ОЦЕНКА В МИРОВОМ МАСШТАБЕ НА ОСНОВЕ ВОПРОСНИКА КВОР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>Общие результаты пробного применения 2015</w:t>
      </w:r>
      <w:r w:rsidR="00502B07">
        <w:t> </w:t>
      </w:r>
      <w:r>
        <w:t>года соответствуют результатам 2013</w:t>
      </w:r>
      <w:r w:rsidR="00502B07">
        <w:t> </w:t>
      </w:r>
      <w:r>
        <w:t xml:space="preserve">года; как и при предыдущем использовании, многие страны провели критическую самооценку, которая была очевидна благодаря единообразию выставления баллов по различным частям и вопросам. </w:t>
      </w:r>
    </w:p>
    <w:p w:rsidR="00B8537E" w:rsidRPr="006503B9" w:rsidRDefault="00B8537E" w:rsidP="007E628F"/>
    <w:p w:rsidR="007E628F" w:rsidRPr="00E2254F" w:rsidRDefault="007E628F" w:rsidP="007E628F">
      <w:pPr>
        <w:pStyle w:val="NewPara"/>
        <w:numPr>
          <w:ilvl w:val="0"/>
          <w:numId w:val="0"/>
        </w:numPr>
        <w:rPr>
          <w:b/>
        </w:rPr>
      </w:pPr>
      <w:r>
        <w:rPr>
          <w:b/>
        </w:rPr>
        <w:lastRenderedPageBreak/>
        <w:t>Существование и внедрение основных управленческих инструментов и мер (EMM), которые необходимы для применения Кодекса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 xml:space="preserve">Данный раздел </w:t>
      </w:r>
      <w:r w:rsidR="00E60DD7">
        <w:t xml:space="preserve">четко </w:t>
      </w:r>
      <w:r>
        <w:t xml:space="preserve">подтверждает, что развитие аквакультуры имеет упорядоченный характер тогда, когда цели </w:t>
      </w:r>
      <w:r w:rsidR="00E70F39">
        <w:t xml:space="preserve">ее </w:t>
      </w:r>
      <w:r>
        <w:t>развития ясны и наличествует система управления ею.</w:t>
      </w:r>
      <w:r w:rsidR="00D54BCC">
        <w:t xml:space="preserve"> </w:t>
      </w:r>
      <w:r>
        <w:t>Государственная политика и подзаконные акты регулируют развитие отрасли, а их проведение в жизнь определяется национальными планами. Балльные оценки должны определяться наличием этих условий и степенью их эффективности</w:t>
      </w:r>
      <w:r w:rsidR="00E70F39">
        <w:t>.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 xml:space="preserve">На общемировом уровне средние оценки по </w:t>
      </w:r>
      <w:r>
        <w:rPr>
          <w:b/>
        </w:rPr>
        <w:t>основным управленческим механизмам</w:t>
      </w:r>
      <w:r>
        <w:t xml:space="preserve"> (ЕММ), </w:t>
      </w:r>
      <w:r>
        <w:rPr>
          <w:b/>
        </w:rPr>
        <w:t>вспомогательным</w:t>
      </w:r>
      <w:r>
        <w:t xml:space="preserve"> </w:t>
      </w:r>
      <w:r>
        <w:rPr>
          <w:b/>
        </w:rPr>
        <w:t>механизмам</w:t>
      </w:r>
      <w:r>
        <w:t xml:space="preserve"> (SM), </w:t>
      </w:r>
      <w:r>
        <w:rPr>
          <w:b/>
        </w:rPr>
        <w:t>механизмам</w:t>
      </w:r>
      <w:r>
        <w:t xml:space="preserve"> </w:t>
      </w:r>
      <w:r>
        <w:rPr>
          <w:b/>
        </w:rPr>
        <w:t>усиления</w:t>
      </w:r>
      <w:r>
        <w:t xml:space="preserve"> (ENM) и </w:t>
      </w:r>
      <w:r>
        <w:rPr>
          <w:b/>
        </w:rPr>
        <w:t>потенциалу поддержки</w:t>
      </w:r>
      <w:r>
        <w:t xml:space="preserve"> (SCP) составляли, соответственно, 3,5, 3, 2,6 и 3,1, что указывает на лучшее применение EMM, нежели </w:t>
      </w:r>
      <w:r w:rsidR="00E70F39">
        <w:t xml:space="preserve">трех </w:t>
      </w:r>
      <w:r>
        <w:t xml:space="preserve">других, возможно демонстрируя некоторую переоценку первых. </w:t>
      </w:r>
      <w:proofErr w:type="gramStart"/>
      <w:r>
        <w:t>В целом, оценки по всем вопросам тяготели к 4 и 5 в Северной Америке, Европе и в меньшей степени в Азии и на Ближнем Востоке, тогда как в других регионах они были ближе к</w:t>
      </w:r>
      <w:r w:rsidR="00E70F39">
        <w:t> </w:t>
      </w:r>
      <w:r>
        <w:t>3 и ниже, возможно отражая как различия в стадии развития в отрасли, так и более объективный характер оценок, что можно видеть в степени корреляции между ответами</w:t>
      </w:r>
      <w:proofErr w:type="gramEnd"/>
      <w:r w:rsidRPr="00D54BCC">
        <w:rPr>
          <w:rStyle w:val="FootnoteReference"/>
          <w:rFonts w:ascii="Times New Roman" w:hAnsi="Times New Roman" w:cs="Times New Roman"/>
          <w:sz w:val="22"/>
          <w:szCs w:val="22"/>
        </w:rPr>
        <w:footnoteReference w:id="7"/>
      </w:r>
      <w:r>
        <w:t xml:space="preserve"> и из комментариев, сделанных в отведенных для них местах. 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>Шестнадцать стран поставили очень высокие оценки, между 4,5 и 5</w:t>
      </w:r>
      <w:r w:rsidR="00E70F39">
        <w:t>,</w:t>
      </w:r>
      <w:r>
        <w:t xml:space="preserve"> по ЕММ</w:t>
      </w:r>
      <w:r w:rsidRPr="00D54BCC">
        <w:rPr>
          <w:rStyle w:val="FootnoteReference"/>
          <w:rFonts w:ascii="Times New Roman" w:hAnsi="Times New Roman" w:cs="Times New Roman"/>
          <w:sz w:val="22"/>
          <w:szCs w:val="22"/>
        </w:rPr>
        <w:footnoteReference w:id="8"/>
      </w:r>
      <w:r>
        <w:t>, что представляет собой совокупный индикатор наличия и полного применения на местах плана развития акв</w:t>
      </w:r>
      <w:r w:rsidR="00E70F39">
        <w:t>а</w:t>
      </w:r>
      <w:r>
        <w:t xml:space="preserve">культуры через надлежащее регулирование и в соответствии с национальной политикой в отношении аквакультуры, тем самым не требуя дальнейших улучшений. Однако в некоторых из этих стран оценка механизмов </w:t>
      </w:r>
      <w:r w:rsidR="00BE79C6">
        <w:t xml:space="preserve">поддержки </w:t>
      </w:r>
      <w:r>
        <w:t xml:space="preserve">и </w:t>
      </w:r>
      <w:r w:rsidR="0089509D">
        <w:t>развития</w:t>
      </w:r>
      <w:r>
        <w:t>, как и потенциал</w:t>
      </w:r>
      <w:r w:rsidR="0089509D">
        <w:t>а</w:t>
      </w:r>
      <w:r>
        <w:t xml:space="preserve"> государства, </w:t>
      </w:r>
      <w:r w:rsidR="00BE79C6">
        <w:t xml:space="preserve">оказалась </w:t>
      </w:r>
      <w:r>
        <w:t xml:space="preserve">более низкой, что делает маловероятным полное осуществление ЕММ на местном уровне. Так, например, несколько стран с оценкой ЕММ от 4 до 5 имели 3 балла или менее по мониторингу аквакультурной деятельности, что означает недостаточность имеющихся подтверждений для оценки ЕММ как полностью применяемых. 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>Возможно, что в некоторых из этих случаев процесс оценки не был проведен достаточно тщательно из-за временных ограничений и/или предоставленные инструкции не были использованы должным образом. Для некоторых государств-членов дополнительной проблемой может являться и конфиденциальность ответов.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proofErr w:type="gramStart"/>
      <w:r>
        <w:t>Что касается общемировой оценки ЕММ, то 34 и 21</w:t>
      </w:r>
      <w:r w:rsidR="00E70F39">
        <w:t>%</w:t>
      </w:r>
      <w:r>
        <w:t xml:space="preserve"> стран получили оценку</w:t>
      </w:r>
      <w:r w:rsidR="00E70F39">
        <w:t> </w:t>
      </w:r>
      <w:r>
        <w:t>4</w:t>
      </w:r>
      <w:r w:rsidR="00E70F39">
        <w:t> </w:t>
      </w:r>
      <w:r>
        <w:t>и</w:t>
      </w:r>
      <w:r w:rsidR="00E70F39">
        <w:t> </w:t>
      </w:r>
      <w:r>
        <w:t>5</w:t>
      </w:r>
      <w:r w:rsidR="00CA3E63">
        <w:t>,</w:t>
      </w:r>
      <w:r>
        <w:t xml:space="preserve"> соответственно, ни одна страна не получила оценку 0 и только 6</w:t>
      </w:r>
      <w:r w:rsidR="00E70F39">
        <w:t xml:space="preserve">% </w:t>
      </w:r>
      <w:r>
        <w:t>получили оценку</w:t>
      </w:r>
      <w:r w:rsidR="00E70F39">
        <w:t> </w:t>
      </w:r>
      <w:r>
        <w:t xml:space="preserve">1, тогда как средние общемировые оценки по </w:t>
      </w:r>
      <w:r w:rsidR="00E70F39">
        <w:t xml:space="preserve">трем </w:t>
      </w:r>
      <w:r>
        <w:t>основным компонентам ЕММ, а именно по</w:t>
      </w:r>
      <w:r w:rsidR="00E70F39">
        <w:t xml:space="preserve"> </w:t>
      </w:r>
      <w:r>
        <w:rPr>
          <w:b/>
        </w:rPr>
        <w:t xml:space="preserve">политике, плану развития </w:t>
      </w:r>
      <w:r w:rsidRPr="00D54BCC">
        <w:t>и</w:t>
      </w:r>
      <w:r>
        <w:rPr>
          <w:b/>
        </w:rPr>
        <w:t xml:space="preserve"> мерам регулирования, </w:t>
      </w:r>
      <w:r>
        <w:t>составили 3,6, 3,5</w:t>
      </w:r>
      <w:r>
        <w:rPr>
          <w:b/>
        </w:rPr>
        <w:t xml:space="preserve"> </w:t>
      </w:r>
      <w:r>
        <w:t>и 3,0</w:t>
      </w:r>
      <w:r w:rsidR="00E70F39">
        <w:t> </w:t>
      </w:r>
      <w:r>
        <w:t>баллов</w:t>
      </w:r>
      <w:r w:rsidR="00CA3E63">
        <w:t>,</w:t>
      </w:r>
      <w:r>
        <w:t xml:space="preserve"> соответственно, что являет собой ситуацию, схожую</w:t>
      </w:r>
      <w:proofErr w:type="gramEnd"/>
      <w:r>
        <w:t xml:space="preserve"> с прежним </w:t>
      </w:r>
      <w:r w:rsidR="00E70F39">
        <w:t xml:space="preserve">отчетом, </w:t>
      </w:r>
      <w:r>
        <w:t xml:space="preserve">за исключением снижения средней оценки по мерам регулирования. 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lastRenderedPageBreak/>
        <w:t xml:space="preserve">В отношении наличия и применения </w:t>
      </w:r>
      <w:r>
        <w:rPr>
          <w:b/>
        </w:rPr>
        <w:t>политики</w:t>
      </w:r>
      <w:r>
        <w:t xml:space="preserve"> в </w:t>
      </w:r>
      <w:r w:rsidR="006C1D3C">
        <w:t xml:space="preserve">области </w:t>
      </w:r>
      <w:r>
        <w:t>аквакультуры 62</w:t>
      </w:r>
      <w:r w:rsidR="00E70F39">
        <w:t>%</w:t>
      </w:r>
      <w:r>
        <w:t xml:space="preserve"> от </w:t>
      </w:r>
      <w:r w:rsidR="006C1D3C">
        <w:t xml:space="preserve">ответивших </w:t>
      </w:r>
      <w:r>
        <w:t xml:space="preserve">государств-членов </w:t>
      </w:r>
      <w:r w:rsidR="006C1D3C">
        <w:t>дали</w:t>
      </w:r>
      <w:r>
        <w:t xml:space="preserve"> оценку</w:t>
      </w:r>
      <w:r w:rsidR="00E70F39">
        <w:t> </w:t>
      </w:r>
      <w:r>
        <w:t>4</w:t>
      </w:r>
      <w:r w:rsidR="00E70F39">
        <w:t> </w:t>
      </w:r>
      <w:r>
        <w:t>или</w:t>
      </w:r>
      <w:r w:rsidR="00E70F39">
        <w:t> </w:t>
      </w:r>
      <w:r>
        <w:t xml:space="preserve">5, что указывает на хорошо разработанную и применяемую </w:t>
      </w:r>
      <w:r>
        <w:rPr>
          <w:b/>
        </w:rPr>
        <w:t>политику</w:t>
      </w:r>
      <w:r>
        <w:t xml:space="preserve"> в отношении аквакультуры. Как и </w:t>
      </w:r>
      <w:proofErr w:type="gramStart"/>
      <w:r>
        <w:t>при</w:t>
      </w:r>
      <w:proofErr w:type="gramEnd"/>
      <w:r>
        <w:t xml:space="preserve"> </w:t>
      </w:r>
      <w:proofErr w:type="gramStart"/>
      <w:r w:rsidR="006C1D3C">
        <w:t>в</w:t>
      </w:r>
      <w:proofErr w:type="gramEnd"/>
      <w:r w:rsidR="006C1D3C">
        <w:t xml:space="preserve"> ходе предыдущего опроса</w:t>
      </w:r>
      <w:r>
        <w:t xml:space="preserve">, эти показатели представляют собой более высокую цифру, чем та, которая была отмечена в </w:t>
      </w:r>
      <w:r w:rsidR="00E70F39">
        <w:t xml:space="preserve">отчете </w:t>
      </w:r>
      <w:r>
        <w:t>по общему вопроснику КВОР 2013</w:t>
      </w:r>
      <w:r w:rsidR="00E70F39">
        <w:t> </w:t>
      </w:r>
      <w:r>
        <w:t>года, в котором 42</w:t>
      </w:r>
      <w:r w:rsidR="00E70F39">
        <w:t>%</w:t>
      </w:r>
      <w:r>
        <w:t xml:space="preserve"> стран</w:t>
      </w:r>
      <w:r w:rsidR="00E70F39">
        <w:t>-</w:t>
      </w:r>
      <w:r>
        <w:t xml:space="preserve">респондентов указали на наличие у них </w:t>
      </w:r>
      <w:r w:rsidR="003E4CDC">
        <w:t>достаточно полной и благоприятствующей</w:t>
      </w:r>
      <w:r>
        <w:t xml:space="preserve"> политики. </w:t>
      </w:r>
    </w:p>
    <w:p w:rsidR="007E628F" w:rsidRPr="00E2254F" w:rsidRDefault="007E628F" w:rsidP="007E628F">
      <w:pPr>
        <w:pStyle w:val="NewPara"/>
        <w:jc w:val="both"/>
      </w:pPr>
      <w:r>
        <w:t>В отношении существования и реализации плана по аквакультуре 19</w:t>
      </w:r>
      <w:r w:rsidR="00CA4059">
        <w:t>%</w:t>
      </w:r>
      <w:r>
        <w:t xml:space="preserve"> стран </w:t>
      </w:r>
      <w:r w:rsidR="003E4CDC">
        <w:t xml:space="preserve">указали </w:t>
      </w:r>
      <w:r>
        <w:t>2</w:t>
      </w:r>
      <w:r w:rsidR="00CA4059">
        <w:t> </w:t>
      </w:r>
      <w:r>
        <w:t xml:space="preserve">или менее, </w:t>
      </w:r>
      <w:r w:rsidR="003E4CDC">
        <w:t>обозначив</w:t>
      </w:r>
      <w:r>
        <w:t>, таким образом</w:t>
      </w:r>
      <w:r w:rsidR="00CA4059">
        <w:t>,</w:t>
      </w:r>
      <w:r>
        <w:t xml:space="preserve"> необходимость улучшения, а некоторые запросили содействия. Низкая оценка также включает несколько стран с быстро развивающейся аквакультурой, что указывает на срочную необходимость обратить внимание на этот разрыв, так как надлежащие планы развития могут облегчить применение </w:t>
      </w:r>
      <w:r w:rsidR="00CA4059">
        <w:t>Кодекса</w:t>
      </w:r>
      <w:r>
        <w:t>, особенно если они будут включать адекватный мониторинг и механизмы ответного реагирования и адаптации.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 xml:space="preserve">Что касается осуществления мер </w:t>
      </w:r>
      <w:r>
        <w:rPr>
          <w:b/>
        </w:rPr>
        <w:t>регулирования</w:t>
      </w:r>
      <w:r w:rsidRPr="00D54BCC">
        <w:rPr>
          <w:rStyle w:val="FootnoteReference"/>
          <w:rFonts w:ascii="Times New Roman" w:hAnsi="Times New Roman" w:cs="Times New Roman"/>
          <w:sz w:val="22"/>
          <w:szCs w:val="22"/>
        </w:rPr>
        <w:footnoteReference w:id="9"/>
      </w:r>
      <w:r w:rsidR="00BB30C9">
        <w:rPr>
          <w:b/>
        </w:rPr>
        <w:t xml:space="preserve"> </w:t>
      </w:r>
      <w:r>
        <w:t>аквакультуры, 19</w:t>
      </w:r>
      <w:r w:rsidR="00BB30C9">
        <w:t>% </w:t>
      </w:r>
      <w:r>
        <w:t>стран, преимущественно в Европе и Северной Америке</w:t>
      </w:r>
      <w:r w:rsidR="00BB30C9">
        <w:t>,</w:t>
      </w:r>
      <w:r>
        <w:t xml:space="preserve"> оценили ситуацию у себя в 4,5 балла или выше, тогда как 21</w:t>
      </w:r>
      <w:r w:rsidR="00BB30C9">
        <w:t>%</w:t>
      </w:r>
      <w:r>
        <w:t xml:space="preserve"> </w:t>
      </w:r>
      <w:r w:rsidR="003E4CDC">
        <w:t xml:space="preserve">поставили </w:t>
      </w:r>
      <w:r>
        <w:t xml:space="preserve">2 балла или меньше, в большинстве случаев это страны, которые только начинают развивать аквакультуру. При анализе применения конкретных мер регулирования проявляются некоторые общемировые тенденции и региональные различия, есть также некоторые отличия по сравнению с прежней </w:t>
      </w:r>
      <w:r w:rsidR="00BB30C9">
        <w:t>отчетностью</w:t>
      </w:r>
      <w:r>
        <w:t xml:space="preserve">. На мировом уровне самый высокий показатель в 3,7 балла получили меры регулирования по </w:t>
      </w:r>
      <w:r>
        <w:rPr>
          <w:b/>
        </w:rPr>
        <w:t>соблюдению норм безопасности продуктов питания, регистрации хозяйств и прав на доступ к использованию</w:t>
      </w:r>
      <w:r w:rsidRPr="00D54BCC">
        <w:t>.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 xml:space="preserve">На мировом уровне выполнение норм регулирования, касающихся </w:t>
      </w:r>
      <w:r>
        <w:rPr>
          <w:b/>
        </w:rPr>
        <w:t>использования чужеродных видов</w:t>
      </w:r>
      <w:r w:rsidR="00BB30C9">
        <w:t>,</w:t>
      </w:r>
      <w:r>
        <w:t xml:space="preserve"> было оценено ниже, </w:t>
      </w:r>
      <w:r w:rsidR="006C7D86">
        <w:t xml:space="preserve">чем </w:t>
      </w:r>
      <w:r>
        <w:t xml:space="preserve">в предыдущий </w:t>
      </w:r>
      <w:r w:rsidR="00BB30C9">
        <w:t xml:space="preserve">отчетный </w:t>
      </w:r>
      <w:r>
        <w:t>период</w:t>
      </w:r>
      <w:r w:rsidR="006C7D86">
        <w:t>,</w:t>
      </w:r>
      <w:r>
        <w:t xml:space="preserve"> и хотя 18</w:t>
      </w:r>
      <w:r w:rsidR="006C7D86">
        <w:t> </w:t>
      </w:r>
      <w:r>
        <w:t>и</w:t>
      </w:r>
      <w:r w:rsidR="006C7D86">
        <w:t> </w:t>
      </w:r>
      <w:r>
        <w:t>34</w:t>
      </w:r>
      <w:r w:rsidR="006C7D86">
        <w:t>% </w:t>
      </w:r>
      <w:r>
        <w:t xml:space="preserve">стран </w:t>
      </w:r>
      <w:r w:rsidR="003E4CDC">
        <w:t xml:space="preserve">дали </w:t>
      </w:r>
      <w:r>
        <w:t>оценки в 4 и 5 баллов</w:t>
      </w:r>
      <w:r w:rsidR="00CA3E63">
        <w:t>,</w:t>
      </w:r>
      <w:r>
        <w:t xml:space="preserve"> со</w:t>
      </w:r>
      <w:r w:rsidR="00BB30C9">
        <w:t>о</w:t>
      </w:r>
      <w:r>
        <w:t>тветственно, 23</w:t>
      </w:r>
      <w:r w:rsidR="006C7D86">
        <w:t>%</w:t>
      </w:r>
      <w:r>
        <w:t xml:space="preserve"> стран </w:t>
      </w:r>
      <w:r w:rsidR="003E4CDC">
        <w:t xml:space="preserve">дали </w:t>
      </w:r>
      <w:r>
        <w:t>оценку в 2</w:t>
      </w:r>
      <w:r w:rsidR="006C7D86">
        <w:t> </w:t>
      </w:r>
      <w:r>
        <w:t>балла или ниже. И действительно</w:t>
      </w:r>
      <w:r w:rsidR="006C7D86">
        <w:t>,</w:t>
      </w:r>
      <w:r>
        <w:t xml:space="preserve"> имели место значимые различия между регионами, например, средняя оценка для Африки составила 2,5 и для Азии </w:t>
      </w:r>
      <w:r w:rsidR="00CA3E63">
        <w:t xml:space="preserve">– </w:t>
      </w:r>
      <w:r>
        <w:t>3,9, однако были значительные различия в рамках регионов. Это является проблемой</w:t>
      </w:r>
      <w:r w:rsidR="006C7D86">
        <w:t>,</w:t>
      </w:r>
      <w:r>
        <w:t xml:space="preserve"> заслуживающей большего внимания, особенно учитывая, что в Африке аквакультуре </w:t>
      </w:r>
      <w:r w:rsidR="006C7D86">
        <w:t xml:space="preserve">еще </w:t>
      </w:r>
      <w:r>
        <w:t xml:space="preserve">предстоит </w:t>
      </w:r>
      <w:r w:rsidR="006C7D86">
        <w:t xml:space="preserve">расти </w:t>
      </w:r>
      <w:r>
        <w:t>и расширяться.</w:t>
      </w:r>
    </w:p>
    <w:p w:rsidR="007E628F" w:rsidRPr="00154CE7" w:rsidRDefault="007E628F" w:rsidP="007E628F"/>
    <w:p w:rsidR="007E628F" w:rsidRPr="00E2254F" w:rsidRDefault="007E628F" w:rsidP="007E628F">
      <w:pPr>
        <w:pStyle w:val="NewPara"/>
        <w:jc w:val="both"/>
      </w:pPr>
      <w:r>
        <w:t xml:space="preserve"> Что касается выполнения </w:t>
      </w:r>
      <w:r w:rsidR="003E4CDC">
        <w:t>правил</w:t>
      </w:r>
      <w:r>
        <w:t xml:space="preserve"> </w:t>
      </w:r>
      <w:r w:rsidR="003E4CDC">
        <w:t xml:space="preserve">проведения </w:t>
      </w:r>
      <w:r>
        <w:rPr>
          <w:b/>
        </w:rPr>
        <w:t>О</w:t>
      </w:r>
      <w:r w:rsidR="003E4CDC">
        <w:rPr>
          <w:b/>
        </w:rPr>
        <w:t>ВОС</w:t>
      </w:r>
      <w:r>
        <w:t>, то средний показатель был 3,3, что также ниже, чем в 2013 году. Двадцать три и 24</w:t>
      </w:r>
      <w:r w:rsidR="006C7D86">
        <w:t>%</w:t>
      </w:r>
      <w:r>
        <w:t xml:space="preserve"> отчитывавшихся стран поставили оценки 4 и 5</w:t>
      </w:r>
      <w:r w:rsidR="00CA3E63">
        <w:t>,</w:t>
      </w:r>
      <w:r>
        <w:t xml:space="preserve"> соответственно, однако для 25</w:t>
      </w:r>
      <w:r w:rsidR="006C7D86">
        <w:t>%</w:t>
      </w:r>
      <w:r>
        <w:t xml:space="preserve"> оценка была 2 балла или меньше, что указывает на необходимость для значительного числа стран улучшить соблюдение </w:t>
      </w:r>
      <w:r w:rsidR="003E4CDC">
        <w:t xml:space="preserve">правил проведения ОВОС </w:t>
      </w:r>
      <w:r>
        <w:t xml:space="preserve">ОЭП, особенно в Африке, Латинской </w:t>
      </w:r>
      <w:r w:rsidR="006C7D86">
        <w:t xml:space="preserve">Америке, </w:t>
      </w:r>
      <w:r>
        <w:t>и нескольким странам в Азии и на Ближнем Востоке.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proofErr w:type="gramStart"/>
      <w:r>
        <w:t xml:space="preserve">Средняя мировая оценка мер </w:t>
      </w:r>
      <w:r w:rsidR="006C7D86">
        <w:t xml:space="preserve">регулирования </w:t>
      </w:r>
      <w:r>
        <w:t xml:space="preserve">по </w:t>
      </w:r>
      <w:r>
        <w:rPr>
          <w:b/>
        </w:rPr>
        <w:t>охране здоровья рыб</w:t>
      </w:r>
      <w:r>
        <w:t xml:space="preserve"> составила 3,3, что также несколько ниже, чем в 2013</w:t>
      </w:r>
      <w:r w:rsidR="006C7D86">
        <w:t> </w:t>
      </w:r>
      <w:r>
        <w:t>году, хотя 28 и 22</w:t>
      </w:r>
      <w:r w:rsidR="006C7D86">
        <w:t>%</w:t>
      </w:r>
      <w:r>
        <w:t xml:space="preserve"> стран имели 4</w:t>
      </w:r>
      <w:r w:rsidR="006C7D86">
        <w:t> </w:t>
      </w:r>
      <w:r>
        <w:t>и</w:t>
      </w:r>
      <w:r w:rsidR="006C7D86">
        <w:t> </w:t>
      </w:r>
      <w:r>
        <w:t>5</w:t>
      </w:r>
      <w:r w:rsidR="006C7D86">
        <w:t> </w:t>
      </w:r>
      <w:r>
        <w:t>баллов</w:t>
      </w:r>
      <w:r w:rsidR="00CA3E63">
        <w:t>,</w:t>
      </w:r>
      <w:r>
        <w:t xml:space="preserve"> соответственно, но 25</w:t>
      </w:r>
      <w:r w:rsidR="006C7D86">
        <w:t>%</w:t>
      </w:r>
      <w:r>
        <w:t xml:space="preserve"> </w:t>
      </w:r>
      <w:r w:rsidR="006C7D86">
        <w:t xml:space="preserve">стран </w:t>
      </w:r>
      <w:r>
        <w:t>имел</w:t>
      </w:r>
      <w:r w:rsidR="006C7D86">
        <w:t>и</w:t>
      </w:r>
      <w:r>
        <w:t xml:space="preserve"> оценку в 2</w:t>
      </w:r>
      <w:r w:rsidR="006C7D86">
        <w:t> </w:t>
      </w:r>
      <w:r>
        <w:t>балла или ниже, что указывает на необходимость для соответствующего числа стран улучшить соблюдение такого регулирования.</w:t>
      </w:r>
      <w:proofErr w:type="gramEnd"/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lastRenderedPageBreak/>
        <w:t>Как и в отчетности за 2013</w:t>
      </w:r>
      <w:r w:rsidR="006C7D86">
        <w:t> </w:t>
      </w:r>
      <w:r>
        <w:t xml:space="preserve">год, наиболее низкие оценки по конкретным мерам регулирования почти во всех регионах относились к </w:t>
      </w:r>
      <w:r>
        <w:rPr>
          <w:b/>
        </w:rPr>
        <w:t>зарыблению, допустимой нагрузке</w:t>
      </w:r>
      <w:r>
        <w:t xml:space="preserve"> на </w:t>
      </w:r>
      <w:r w:rsidR="00EE7550">
        <w:t>водоемы</w:t>
      </w:r>
      <w:r>
        <w:t xml:space="preserve">, </w:t>
      </w:r>
      <w:r w:rsidR="00EE7550">
        <w:t xml:space="preserve">предотвращению </w:t>
      </w:r>
      <w:r>
        <w:t xml:space="preserve">и </w:t>
      </w:r>
      <w:r w:rsidR="00EE7550">
        <w:t xml:space="preserve">уменьшению </w:t>
      </w:r>
      <w:r>
        <w:t>"</w:t>
      </w:r>
      <w:r>
        <w:rPr>
          <w:b/>
        </w:rPr>
        <w:t>бегства</w:t>
      </w:r>
      <w:r>
        <w:t xml:space="preserve">" и </w:t>
      </w:r>
      <w:r w:rsidR="00EE7550">
        <w:rPr>
          <w:b/>
        </w:rPr>
        <w:t>аквакультурному зонированию</w:t>
      </w:r>
      <w:r>
        <w:t>. Среднемировые оценки составляли 2,9, 2,9, 2,6 и 2,5</w:t>
      </w:r>
      <w:r w:rsidR="00CA3E63">
        <w:t>,</w:t>
      </w:r>
      <w:r>
        <w:t xml:space="preserve"> соответственно, тогда как 27,</w:t>
      </w:r>
      <w:r w:rsidR="00EE7550">
        <w:t> </w:t>
      </w:r>
      <w:r>
        <w:t>31,</w:t>
      </w:r>
      <w:r w:rsidR="00EE7550">
        <w:t> </w:t>
      </w:r>
      <w:r>
        <w:t>30 и</w:t>
      </w:r>
      <w:r w:rsidR="00EE7550">
        <w:t> </w:t>
      </w:r>
      <w:r>
        <w:t>34</w:t>
      </w:r>
      <w:r w:rsidR="00EE7550">
        <w:t>% </w:t>
      </w:r>
      <w:r>
        <w:t xml:space="preserve">стран имели оценку в 2 балла или ниже по вышеперечисленным мерам в порядке их упоминания. Страны Ближнего Востока, Африки и юго-западной части Тихого океана поставили самые низкие баллы по мерам регулирования в отношении аквакультурного "бегства". 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 xml:space="preserve">Как и в прежней </w:t>
      </w:r>
      <w:r w:rsidR="00EE7550">
        <w:t>отчетности</w:t>
      </w:r>
      <w:r>
        <w:t>, баллы по большинству мер регулирования были несколько ниже в Африке, Латинской Америке и на Ближнем Востоке, но распределение было не</w:t>
      </w:r>
      <w:r w:rsidR="00D54BCC">
        <w:t xml:space="preserve"> </w:t>
      </w:r>
      <w:r>
        <w:t xml:space="preserve">единообразным. Несколько стран в Европе и Азии также имели низкие оценки, что отражает </w:t>
      </w:r>
      <w:r w:rsidR="00EE7550">
        <w:t xml:space="preserve">внутрирегиональные </w:t>
      </w:r>
      <w:r>
        <w:t xml:space="preserve">различия. 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>Дополнительная информация о показателях соблюдения конкретных норм регулирования приводится в справочном документе.</w:t>
      </w:r>
    </w:p>
    <w:p w:rsidR="007E628F" w:rsidRPr="002271D3" w:rsidRDefault="007E628F" w:rsidP="007E628F">
      <w:pPr>
        <w:rPr>
          <w:highlight w:val="lightGray"/>
        </w:rPr>
      </w:pPr>
    </w:p>
    <w:p w:rsidR="007E628F" w:rsidRPr="00D03CB6" w:rsidRDefault="007E628F" w:rsidP="007E628F">
      <w:pPr>
        <w:rPr>
          <w:b/>
        </w:rPr>
      </w:pPr>
      <w:r>
        <w:rPr>
          <w:b/>
        </w:rPr>
        <w:t>Вспомогательные механизмы (SM), способствующие реализации основных мер управления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>Вопросы в данном разделе были направлены на оценку степени реализации и возможностей стран по поддержке мер политики и планов развития, а конкретно – действующих мер регулирования. Как и в 2013</w:t>
      </w:r>
      <w:r w:rsidR="00EE7550">
        <w:t> </w:t>
      </w:r>
      <w:r>
        <w:t>году, среднемировые оценки по SM были в целом ниже, чем оценки по мерам регулирования. Также в 2015 году показатели оценок были слегка ниже, чем в 2013 году.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proofErr w:type="gramStart"/>
      <w:r>
        <w:t>Аналогично ситуации, наблюдавшейся в 2013 году</w:t>
      </w:r>
      <w:r w:rsidR="00EE7550">
        <w:t>,</w:t>
      </w:r>
      <w:r>
        <w:t xml:space="preserve"> самые высокие средние оценки, а именно 4 и 3,6</w:t>
      </w:r>
      <w:r w:rsidR="00EE7550">
        <w:t>,</w:t>
      </w:r>
      <w:r>
        <w:t xml:space="preserve"> были получены по позициям, посвященным</w:t>
      </w:r>
      <w:r w:rsidR="00EE7550">
        <w:t>,</w:t>
      </w:r>
      <w:r>
        <w:t xml:space="preserve"> соответственно</w:t>
      </w:r>
      <w:r w:rsidR="00EE7550">
        <w:t>,</w:t>
      </w:r>
      <w:r>
        <w:t xml:space="preserve"> </w:t>
      </w:r>
      <w:r>
        <w:rPr>
          <w:b/>
        </w:rPr>
        <w:t xml:space="preserve">консультациям с заинтересованными сторонами </w:t>
      </w:r>
      <w:r>
        <w:t xml:space="preserve">при выработке политики и планов развития и участию </w:t>
      </w:r>
      <w:r>
        <w:rPr>
          <w:b/>
        </w:rPr>
        <w:t xml:space="preserve">хозяйственных ассоциаций </w:t>
      </w:r>
      <w:r>
        <w:t>в управлении и развитии сектора.</w:t>
      </w:r>
      <w:proofErr w:type="gramEnd"/>
      <w:r>
        <w:t xml:space="preserve"> В первом случае 72</w:t>
      </w:r>
      <w:r w:rsidR="00EE7550">
        <w:t>%</w:t>
      </w:r>
      <w:r>
        <w:t xml:space="preserve"> стран поставили 4 и 5 баллов и лишь только 24</w:t>
      </w:r>
      <w:r w:rsidR="00EE7550">
        <w:t xml:space="preserve">% </w:t>
      </w:r>
      <w:r>
        <w:t xml:space="preserve">– 2 балла или менее, что представляет собой значительное снижение по сравнению с оценками 2013 года. 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 xml:space="preserve">Государственный </w:t>
      </w:r>
      <w:r>
        <w:rPr>
          <w:b/>
        </w:rPr>
        <w:t>мониторинг и сбор данных</w:t>
      </w:r>
      <w:r>
        <w:t xml:space="preserve"> также получил</w:t>
      </w:r>
      <w:r w:rsidR="00CA3E63">
        <w:t>и</w:t>
      </w:r>
      <w:r>
        <w:t xml:space="preserve"> относительно высокие среднемировые оценки в 3,5 балла, а в 55</w:t>
      </w:r>
      <w:r w:rsidR="00EE7550">
        <w:t>%</w:t>
      </w:r>
      <w:r>
        <w:t> стран по этому показателю были выставлены оценки 4 и 5. При этом в оценках прослеживалась высокая вариативность между регионами и внутри них – 36</w:t>
      </w:r>
      <w:r w:rsidR="00EE7550">
        <w:t>%</w:t>
      </w:r>
      <w:r>
        <w:t> стран Африки, 26</w:t>
      </w:r>
      <w:r w:rsidR="00EE7550">
        <w:t>%</w:t>
      </w:r>
      <w:r>
        <w:t> стран ЛАК и 20</w:t>
      </w:r>
      <w:r w:rsidR="00EE7550">
        <w:t>%</w:t>
      </w:r>
      <w:r>
        <w:t xml:space="preserve"> стран Ближнего Востока </w:t>
      </w:r>
      <w:r w:rsidR="00437A60">
        <w:t xml:space="preserve">и 10% стран Азии </w:t>
      </w:r>
      <w:r>
        <w:t xml:space="preserve">оценили ситуацию на 2 балла и менее, что свидетельствует о необходимости значительного улучшения мониторинга аквакультуры в них. 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 xml:space="preserve">Применение </w:t>
      </w:r>
      <w:r w:rsidR="00437A60">
        <w:rPr>
          <w:b/>
        </w:rPr>
        <w:t>передовых методов</w:t>
      </w:r>
      <w:r>
        <w:rPr>
          <w:b/>
        </w:rPr>
        <w:t xml:space="preserve"> аквакультуры</w:t>
      </w:r>
      <w:r>
        <w:t xml:space="preserve">, </w:t>
      </w:r>
      <w:r w:rsidR="00437A60">
        <w:t xml:space="preserve">наиболее эффективных методов </w:t>
      </w:r>
      <w:r>
        <w:t>управления</w:t>
      </w:r>
      <w:r w:rsidR="00437A60">
        <w:t xml:space="preserve">, </w:t>
      </w:r>
      <w:r w:rsidR="00B51ACC">
        <w:t>передовой сельскохозяйственной практики</w:t>
      </w:r>
      <w:r>
        <w:t xml:space="preserve"> и т.п. </w:t>
      </w:r>
      <w:r w:rsidR="008B59DF">
        <w:t xml:space="preserve">получило </w:t>
      </w:r>
      <w:r>
        <w:t>общемировую оценку в 3 балла, однако 32</w:t>
      </w:r>
      <w:r w:rsidR="008B59DF">
        <w:t>%</w:t>
      </w:r>
      <w:r>
        <w:t xml:space="preserve"> стран оценили это направление в 2</w:t>
      </w:r>
      <w:r w:rsidR="008B59DF">
        <w:t> </w:t>
      </w:r>
      <w:r>
        <w:t>балла или менее, что означает, что практика такого рода не получила широкого применения. Сюда входят 54</w:t>
      </w:r>
      <w:r w:rsidR="008B59DF">
        <w:t>%</w:t>
      </w:r>
      <w:r>
        <w:t xml:space="preserve"> стран в Африке, </w:t>
      </w:r>
      <w:r>
        <w:lastRenderedPageBreak/>
        <w:t>40</w:t>
      </w:r>
      <w:r w:rsidR="008B59DF">
        <w:t>%</w:t>
      </w:r>
      <w:r>
        <w:t xml:space="preserve"> - на Ближнем Востоке,</w:t>
      </w:r>
      <w:r w:rsidR="00B51ACC">
        <w:t xml:space="preserve"> 33% в Европе и</w:t>
      </w:r>
      <w:r>
        <w:t xml:space="preserve"> 26</w:t>
      </w:r>
      <w:r w:rsidR="008B59DF">
        <w:t>%</w:t>
      </w:r>
      <w:r>
        <w:t xml:space="preserve"> -</w:t>
      </w:r>
      <w:r w:rsidR="00D54BCC">
        <w:t xml:space="preserve"> </w:t>
      </w:r>
      <w:r>
        <w:t xml:space="preserve">в Латинской Америке, что указывает на необходимость дальнейших усилий на мировом уровне. 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 xml:space="preserve">Учет </w:t>
      </w:r>
      <w:r>
        <w:rPr>
          <w:b/>
        </w:rPr>
        <w:t>функций</w:t>
      </w:r>
      <w:r>
        <w:t xml:space="preserve"> экосистем в планировании аквакультуры в среднем по миру был оценен в 2,9 балла, причем 30</w:t>
      </w:r>
      <w:r w:rsidR="008B59DF">
        <w:t>%</w:t>
      </w:r>
      <w:r w:rsidR="00D54BCC">
        <w:t xml:space="preserve"> </w:t>
      </w:r>
      <w:r>
        <w:t>стран оценили его состояние на 2</w:t>
      </w:r>
      <w:r w:rsidR="008B59DF">
        <w:t> балла</w:t>
      </w:r>
      <w:r>
        <w:t xml:space="preserve"> и менее, что свидетельствует о том, что функции экосистем </w:t>
      </w:r>
      <w:r w:rsidR="008B59DF">
        <w:t xml:space="preserve">еще </w:t>
      </w:r>
      <w:r>
        <w:t>не принимаются во внимание</w:t>
      </w:r>
      <w:r w:rsidR="007752BC">
        <w:t xml:space="preserve"> </w:t>
      </w:r>
      <w:r>
        <w:t>в должной мере во многих из стран. Имели место серьезные внутрирегиональные различия, когда в каждом регионе некоторые страны имели высокий балл, а другие - крайне низкий.</w:t>
      </w:r>
    </w:p>
    <w:p w:rsidR="007E628F" w:rsidRPr="00154CE7" w:rsidRDefault="007E628F" w:rsidP="007E628F"/>
    <w:p w:rsidR="007E628F" w:rsidRPr="00E2254F" w:rsidRDefault="007E628F" w:rsidP="007E628F">
      <w:pPr>
        <w:pStyle w:val="NewPara"/>
        <w:jc w:val="both"/>
      </w:pPr>
      <w:r>
        <w:t xml:space="preserve">Мы видим, что наиболее низкое мировое ранжирование приходится на </w:t>
      </w:r>
      <w:r>
        <w:rPr>
          <w:b/>
        </w:rPr>
        <w:t>инвестиции в информационно-консультативные услуги аквакультуры, инфраструктуру</w:t>
      </w:r>
      <w:r>
        <w:t xml:space="preserve"> и </w:t>
      </w:r>
      <w:r>
        <w:rPr>
          <w:b/>
        </w:rPr>
        <w:t>исследования</w:t>
      </w:r>
      <w:r>
        <w:t xml:space="preserve"> в поддержку Кодекса со средними показателями в 2,8, 2,7 и 2,6 баллов</w:t>
      </w:r>
      <w:r w:rsidR="008B59DF">
        <w:t>,</w:t>
      </w:r>
      <w:r>
        <w:t xml:space="preserve"> соответственно. Эти показатели несколько ниже, чем в 2013</w:t>
      </w:r>
      <w:r w:rsidR="008B59DF">
        <w:t> </w:t>
      </w:r>
      <w:r>
        <w:t xml:space="preserve">году. На общемировом уровне </w:t>
      </w:r>
      <w:r w:rsidR="008B59DF">
        <w:t>39</w:t>
      </w:r>
      <w:r>
        <w:t xml:space="preserve"> и 41</w:t>
      </w:r>
      <w:r w:rsidR="008B59DF">
        <w:t xml:space="preserve">% </w:t>
      </w:r>
      <w:r>
        <w:t>стран по инвестициям в исследования и расширение</w:t>
      </w:r>
      <w:r w:rsidR="008B59DF">
        <w:t>,</w:t>
      </w:r>
      <w:r>
        <w:t xml:space="preserve"> соответственно, оценивались в </w:t>
      </w:r>
      <w:r w:rsidR="008B59DF">
        <w:t xml:space="preserve">2 </w:t>
      </w:r>
      <w:r>
        <w:t xml:space="preserve">и менее балла, и ситуация была </w:t>
      </w:r>
      <w:r w:rsidR="008B59DF">
        <w:t xml:space="preserve">еще </w:t>
      </w:r>
      <w:r>
        <w:t>более выраженной в Африке, Латинской Америке и на Ближнем Востоке, но сюда входят и страны Европы и юго-восточ</w:t>
      </w:r>
      <w:r w:rsidR="008B59DF">
        <w:t>н</w:t>
      </w:r>
      <w:r>
        <w:t xml:space="preserve">ой части Тихого океана. Очевидно, что требуется усиление этих вспомогательных механизмов для продвижения вперед </w:t>
      </w:r>
      <w:r w:rsidR="008B59DF">
        <w:t xml:space="preserve">применения </w:t>
      </w:r>
      <w:r>
        <w:t>Кодекса в аквакультуре на мировом уровне.</w:t>
      </w:r>
      <w:r w:rsidR="00D54BCC">
        <w:t xml:space="preserve"> 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>Применение принципа "</w:t>
      </w:r>
      <w:r>
        <w:rPr>
          <w:b/>
        </w:rPr>
        <w:t>кто загрязняет, тот и платит</w:t>
      </w:r>
      <w:r>
        <w:t>" в аквакультуре набрало, как и в 2013</w:t>
      </w:r>
      <w:r w:rsidR="008B59DF">
        <w:t> </w:t>
      </w:r>
      <w:r>
        <w:t xml:space="preserve">году, в среднем 2,5 балла, </w:t>
      </w:r>
      <w:proofErr w:type="gramStart"/>
      <w:r>
        <w:t>притом</w:t>
      </w:r>
      <w:proofErr w:type="gramEnd"/>
      <w:r>
        <w:t xml:space="preserve"> что 37</w:t>
      </w:r>
      <w:r w:rsidR="008B59DF">
        <w:t>%</w:t>
      </w:r>
      <w:r>
        <w:t xml:space="preserve"> стран поставили оценку в 2 или ниже, что означает, что этот механизм в основном отсутствует. Однако имели место значимые различия между регионами и внутри регионов. Такие результаты могут в какой-то мере противоречить более высокой оценке применения </w:t>
      </w:r>
      <w:r w:rsidR="00B51ACC">
        <w:t>правил проведения ОВАОС</w:t>
      </w:r>
      <w:r>
        <w:t xml:space="preserve"> (</w:t>
      </w:r>
      <w:r w:rsidR="008B59DF">
        <w:t xml:space="preserve">пункт </w:t>
      </w:r>
      <w:r>
        <w:t>27).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rPr>
          <w:b/>
        </w:rPr>
        <w:t>Включение</w:t>
      </w:r>
      <w:r>
        <w:t xml:space="preserve"> аквакультуры в планы развития и рационального использования </w:t>
      </w:r>
      <w:r>
        <w:rPr>
          <w:b/>
        </w:rPr>
        <w:t>прибрежных и водо</w:t>
      </w:r>
      <w:r w:rsidR="00B51ACC">
        <w:rPr>
          <w:b/>
        </w:rPr>
        <w:t>сборных бассейнов</w:t>
      </w:r>
      <w:r>
        <w:t xml:space="preserve"> получило также низкие оценки – соответственно</w:t>
      </w:r>
      <w:r w:rsidR="008B59DF">
        <w:t>,</w:t>
      </w:r>
      <w:r>
        <w:t xml:space="preserve"> 2,6 и 2,5 баллов, а 38</w:t>
      </w:r>
      <w:r w:rsidR="008B59DF">
        <w:t>%</w:t>
      </w:r>
      <w:r>
        <w:t xml:space="preserve"> стран оценили включение в планирование прибрежных районов в 2 и менее баллов. По данным показателям Азия имела самую высокую оценку по включению аквакультуры в управление прибрежных районов и вторую по включению в управление водо</w:t>
      </w:r>
      <w:r w:rsidR="00E21BCE">
        <w:t>сборными бассейнами</w:t>
      </w:r>
      <w:r>
        <w:t xml:space="preserve">. Это может являться результатом давней традиции аквакультуры в регионе, а та же логика объясняет самые низкие оценки в Африке или Латинской </w:t>
      </w:r>
      <w:r w:rsidR="00C77D44">
        <w:t xml:space="preserve">Америке </w:t>
      </w:r>
      <w:r>
        <w:t xml:space="preserve">и в Европе в целом, где аквакультура является более новым направлением. </w:t>
      </w:r>
    </w:p>
    <w:p w:rsidR="007E628F" w:rsidRPr="00E2254F" w:rsidRDefault="007E628F" w:rsidP="007E628F"/>
    <w:p w:rsidR="007E628F" w:rsidRDefault="007E628F" w:rsidP="007E628F">
      <w:pPr>
        <w:pStyle w:val="NewPara"/>
        <w:jc w:val="both"/>
      </w:pPr>
      <w:r>
        <w:t xml:space="preserve">Как и в </w:t>
      </w:r>
      <w:r w:rsidR="00B51ACC">
        <w:t>ответах в</w:t>
      </w:r>
      <w:r>
        <w:t xml:space="preserve"> 2013 год</w:t>
      </w:r>
      <w:r w:rsidR="00B51ACC">
        <w:t>у</w:t>
      </w:r>
      <w:r w:rsidR="00B53CC9">
        <w:t>,</w:t>
      </w:r>
      <w:r>
        <w:t xml:space="preserve"> самые низкие средние оценки по разделу SM во всех регионах были выставлены по показателям </w:t>
      </w:r>
      <w:r>
        <w:rPr>
          <w:b/>
        </w:rPr>
        <w:t xml:space="preserve">стимулирования деятельности по восстановлению </w:t>
      </w:r>
      <w:r>
        <w:t>пострадавших ареалов – среднемировая оценка составила 1,5 балла, что свидетельствует о практическом отсутствии такой системы стимулирования. Двадцать пять процентов стран сочли, что этот вопрос к ним не относится, что близко к такому показателю 2013 года. Тем не менее, такие стимулы рассматриваются в рамках программ сертификации и могли бы учитываться при платежах за услуги экосистемы и представлять собой важный стимул раз</w:t>
      </w:r>
      <w:r w:rsidR="00C77D44">
        <w:t>в</w:t>
      </w:r>
      <w:r>
        <w:t xml:space="preserve">ития </w:t>
      </w:r>
      <w:proofErr w:type="spellStart"/>
      <w:r>
        <w:t>аквакультуры</w:t>
      </w:r>
      <w:proofErr w:type="spellEnd"/>
      <w:r>
        <w:t>.</w:t>
      </w:r>
    </w:p>
    <w:p w:rsidR="005B472C" w:rsidRDefault="005B472C" w:rsidP="005B472C">
      <w:pPr>
        <w:pStyle w:val="ListParagraph"/>
      </w:pPr>
    </w:p>
    <w:p w:rsidR="005B472C" w:rsidRPr="00E2254F" w:rsidRDefault="005B472C" w:rsidP="005B472C">
      <w:pPr>
        <w:pStyle w:val="NewPara"/>
        <w:numPr>
          <w:ilvl w:val="0"/>
          <w:numId w:val="0"/>
        </w:numPr>
        <w:jc w:val="both"/>
      </w:pPr>
    </w:p>
    <w:p w:rsidR="007E628F" w:rsidRPr="00D03CB6" w:rsidRDefault="007E628F" w:rsidP="007E628F">
      <w:pPr>
        <w:jc w:val="both"/>
        <w:rPr>
          <w:b/>
        </w:rPr>
      </w:pPr>
      <w:bookmarkStart w:id="2" w:name="_GoBack"/>
      <w:bookmarkEnd w:id="2"/>
      <w:r>
        <w:rPr>
          <w:b/>
        </w:rPr>
        <w:lastRenderedPageBreak/>
        <w:t>Механизмы усиления (ENM), повышающие эффективность основных управленческих мер и вспомогательных механизмов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>К таким "механизмам усиления" относятся меры, являющиеся не необходимыми, но желательными.</w:t>
      </w:r>
      <w:r w:rsidR="00D54BCC">
        <w:t xml:space="preserve"> </w:t>
      </w:r>
      <w:r>
        <w:t>Их наличие снижает издержки и повышает эффективность политики и планирования в сфере аквакультуры. Эти механизмы направлены на повышение социальной роли аквакультуры, а также актуальности поддержки хозяйств, особенно малых, в деле выполнения норм регулирования и планов развития аквакультуры для применения Кодекса в целом.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 xml:space="preserve">Аналогично тому, что наблюдалось в </w:t>
      </w:r>
      <w:r w:rsidR="00E21BCE">
        <w:t>ответах в</w:t>
      </w:r>
      <w:r w:rsidR="00225C4A">
        <w:t xml:space="preserve"> </w:t>
      </w:r>
      <w:r>
        <w:t>2013 год</w:t>
      </w:r>
      <w:r w:rsidR="00E21BCE">
        <w:t>у</w:t>
      </w:r>
      <w:r>
        <w:t>, данный раздел вопросника содержал самые низкие оценки. Также произошло понижение уровня оценок по сравнению с 2013 годом.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 xml:space="preserve">Вопрос, касающийся наличия механизмов, обеспечивающих </w:t>
      </w:r>
      <w:r>
        <w:rPr>
          <w:b/>
        </w:rPr>
        <w:t xml:space="preserve">укрепление источников доходов местных общин </w:t>
      </w:r>
      <w:r>
        <w:t>и исключение негативных последствий для них при осуществлении проектов развития аквакультуры, получил среднемировую оценку в 2,9 балла, и хотя 39</w:t>
      </w:r>
      <w:r w:rsidR="00225C4A">
        <w:t>%</w:t>
      </w:r>
      <w:r>
        <w:t xml:space="preserve"> стран выставили оценки от 3 до 4, что отражает в целом позитивную ситуацию, между регионами имела место </w:t>
      </w:r>
      <w:r w:rsidR="00225C4A">
        <w:t xml:space="preserve">определенная </w:t>
      </w:r>
      <w:r>
        <w:t>вариативность. Так</w:t>
      </w:r>
      <w:r w:rsidR="00225C4A">
        <w:t>,</w:t>
      </w:r>
      <w:r>
        <w:t xml:space="preserve"> 47</w:t>
      </w:r>
      <w:r w:rsidR="00225C4A">
        <w:t>% </w:t>
      </w:r>
      <w:r>
        <w:t>стран в Африке, 37</w:t>
      </w:r>
      <w:r w:rsidR="00225C4A">
        <w:t>%</w:t>
      </w:r>
      <w:r>
        <w:t xml:space="preserve"> - в Латинской Америке и Карибском бассейне</w:t>
      </w:r>
      <w:r w:rsidR="00225C4A">
        <w:t xml:space="preserve"> </w:t>
      </w:r>
      <w:r>
        <w:t>и 30</w:t>
      </w:r>
      <w:r w:rsidR="00225C4A">
        <w:t>%</w:t>
      </w:r>
      <w:r>
        <w:t xml:space="preserve"> расположенных </w:t>
      </w:r>
      <w:r w:rsidR="00225C4A">
        <w:t xml:space="preserve">в </w:t>
      </w:r>
      <w:r>
        <w:t xml:space="preserve">Азии дали оценку в 2 балла и меньше. 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 xml:space="preserve">Как и в 2013 году, показатель наличия </w:t>
      </w:r>
      <w:r>
        <w:rPr>
          <w:b/>
        </w:rPr>
        <w:t>льготного кредитования хозяйств</w:t>
      </w:r>
      <w:r>
        <w:t xml:space="preserve"> имел низкий среднемировой уровень в 2,5, а 40</w:t>
      </w:r>
      <w:r w:rsidR="00225C4A">
        <w:t>%</w:t>
      </w:r>
      <w:r>
        <w:t xml:space="preserve"> стран в Африке, 40</w:t>
      </w:r>
      <w:r w:rsidR="00225C4A">
        <w:t>%</w:t>
      </w:r>
      <w:r>
        <w:t xml:space="preserve"> в Латинской Америке и 30</w:t>
      </w:r>
      <w:r w:rsidR="00225C4A">
        <w:t>% </w:t>
      </w:r>
      <w:r>
        <w:t>в Азии дали оценку в 2 или меньше баллов, что отражает</w:t>
      </w:r>
      <w:r w:rsidR="00225C4A">
        <w:t xml:space="preserve"> </w:t>
      </w:r>
      <w:r>
        <w:t xml:space="preserve">низкую доступность и применение кредитов. Таким образом, ситуацию в этой области необходимо улучшать в первоочередном порядке, </w:t>
      </w:r>
      <w:r w:rsidR="00E21BCE">
        <w:t xml:space="preserve">поскольку речь идет о </w:t>
      </w:r>
      <w:r>
        <w:t>важно</w:t>
      </w:r>
      <w:r w:rsidR="00E21BCE">
        <w:t>м</w:t>
      </w:r>
      <w:r>
        <w:t xml:space="preserve"> механизм</w:t>
      </w:r>
      <w:r w:rsidR="00E21BCE">
        <w:t>е</w:t>
      </w:r>
      <w:r>
        <w:t xml:space="preserve"> разработки планов развити</w:t>
      </w:r>
      <w:r w:rsidR="00E21BCE">
        <w:t>я</w:t>
      </w:r>
      <w:r>
        <w:t xml:space="preserve"> аквакультуры.</w:t>
      </w:r>
    </w:p>
    <w:p w:rsidR="007E628F" w:rsidRPr="00E2254F" w:rsidRDefault="007E628F" w:rsidP="007E628F">
      <w:pPr>
        <w:rPr>
          <w:highlight w:val="yellow"/>
        </w:rPr>
      </w:pPr>
    </w:p>
    <w:p w:rsidR="007E628F" w:rsidRPr="00E2254F" w:rsidRDefault="007E628F" w:rsidP="007E628F">
      <w:pPr>
        <w:pStyle w:val="NewPara"/>
        <w:jc w:val="both"/>
      </w:pPr>
      <w:r>
        <w:t xml:space="preserve">Показатель создания добровольных </w:t>
      </w:r>
      <w:r>
        <w:rPr>
          <w:b/>
        </w:rPr>
        <w:t>систем сертификации</w:t>
      </w:r>
      <w:r>
        <w:t>, которые способствуют практике ответственного ведения аквакультуры</w:t>
      </w:r>
      <w:r w:rsidR="009C3AC6">
        <w:t>,</w:t>
      </w:r>
      <w:r>
        <w:t xml:space="preserve"> получил общемировую оценку 2,2,</w:t>
      </w:r>
      <w:r w:rsidR="00D54BCC">
        <w:t xml:space="preserve"> </w:t>
      </w:r>
      <w:r>
        <w:t>41</w:t>
      </w:r>
      <w:r w:rsidR="009C3AC6">
        <w:t>% </w:t>
      </w:r>
      <w:r>
        <w:t>стран оценили эту категорию в 2 или ниже, 16</w:t>
      </w:r>
      <w:r w:rsidR="009C3AC6">
        <w:t>%</w:t>
      </w:r>
      <w:r>
        <w:t xml:space="preserve"> стран поставили 0, а 13</w:t>
      </w:r>
      <w:r w:rsidR="009C3AC6">
        <w:t>%</w:t>
      </w:r>
      <w:r>
        <w:t xml:space="preserve"> отметили, что вопрос к ним не относится. Оценка указывает на то, что применение систем сертификации для аквакультуры на мировом уровне является слабым во всех регионах, за исключением стран Северной Америки. </w:t>
      </w:r>
    </w:p>
    <w:p w:rsidR="007E628F" w:rsidRPr="00E2254F" w:rsidRDefault="007E628F" w:rsidP="007E628F"/>
    <w:p w:rsidR="007E628F" w:rsidRDefault="007E628F" w:rsidP="007E628F">
      <w:pPr>
        <w:pStyle w:val="NewPara"/>
        <w:jc w:val="both"/>
      </w:pPr>
      <w:r>
        <w:t xml:space="preserve">Показатели наличия системы государственной </w:t>
      </w:r>
      <w:r>
        <w:rPr>
          <w:b/>
        </w:rPr>
        <w:t>помощи на случай стихийных бедствий</w:t>
      </w:r>
      <w:r>
        <w:t xml:space="preserve"> и коммерческого </w:t>
      </w:r>
      <w:r>
        <w:rPr>
          <w:b/>
        </w:rPr>
        <w:t>страхования для хозяйств</w:t>
      </w:r>
      <w:r>
        <w:t xml:space="preserve"> оценены в 2,1 и 1,5 соответственно, что отражает высокую уязвимость отрасли от бедствий и потерь во всех регионах. Шестьдесят четыре процента стран в Африке, </w:t>
      </w:r>
      <w:r w:rsidR="00E21BCE">
        <w:t xml:space="preserve">60% стран Азии </w:t>
      </w:r>
      <w:r>
        <w:t>и 74</w:t>
      </w:r>
      <w:r w:rsidR="009C3AC6">
        <w:t>%</w:t>
      </w:r>
      <w:r>
        <w:t xml:space="preserve"> стра</w:t>
      </w:r>
      <w:r w:rsidR="009C3AC6">
        <w:t>н</w:t>
      </w:r>
      <w:r>
        <w:t xml:space="preserve"> ЛАК оценили наличие страхования в 2 или меньше, а 32</w:t>
      </w:r>
      <w:r w:rsidR="009C3AC6">
        <w:t>%</w:t>
      </w:r>
      <w:r>
        <w:t xml:space="preserve"> на общемировом уровне отмечают полное отсутствие таких механизмов. Схемы помощи в случае бедствий являют схожий результат, так как 45</w:t>
      </w:r>
      <w:r w:rsidR="009C3AC6">
        <w:t>%</w:t>
      </w:r>
      <w:r>
        <w:t xml:space="preserve"> стран </w:t>
      </w:r>
      <w:r w:rsidR="00E21BCE">
        <w:t xml:space="preserve">дали оценку </w:t>
      </w:r>
      <w:r>
        <w:t>в 2 или менее</w:t>
      </w:r>
      <w:r w:rsidR="00E21BCE">
        <w:t xml:space="preserve"> баллов</w:t>
      </w:r>
      <w:r>
        <w:t>, особенно в странах Латинской Америки и Африки, но этот показатель был низким и в странах в других регионах.</w:t>
      </w:r>
    </w:p>
    <w:p w:rsidR="007E628F" w:rsidRPr="00E2254F" w:rsidRDefault="007E628F" w:rsidP="007E628F">
      <w:pPr>
        <w:pStyle w:val="NewPara"/>
        <w:numPr>
          <w:ilvl w:val="0"/>
          <w:numId w:val="0"/>
        </w:numPr>
        <w:jc w:val="both"/>
      </w:pPr>
    </w:p>
    <w:p w:rsidR="007E628F" w:rsidRPr="00D03CB6" w:rsidRDefault="007E628F" w:rsidP="007E628F">
      <w:pPr>
        <w:rPr>
          <w:b/>
        </w:rPr>
      </w:pPr>
      <w:r>
        <w:rPr>
          <w:b/>
        </w:rPr>
        <w:lastRenderedPageBreak/>
        <w:t>Уровень и степень развития потенциала государства поддерживать основные управленческие меры, вспомогательные механизмы и механизмы усиления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>В этом разделе вопросника делается попытка оценить возможности государства, в том числе его государственного аппарата, научных учреждений, частного сектора по созданию базы</w:t>
      </w:r>
      <w:r w:rsidR="00D54BCC">
        <w:t xml:space="preserve"> </w:t>
      </w:r>
      <w:r>
        <w:t>знаний, информации, технологий</w:t>
      </w:r>
      <w:r w:rsidR="00D54BCC">
        <w:t xml:space="preserve"> </w:t>
      </w:r>
      <w:r>
        <w:t>и консультирования и по их продвижению в поддержку разработки, применения, реализации и мониторинга, а также оценки указанных в вопроснике мер. Также включены вопросы о потенциале реагирования на стихийные бедствия и изменение климата.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 xml:space="preserve">Среднемировая оценка </w:t>
      </w:r>
      <w:r w:rsidRPr="00D54BCC">
        <w:rPr>
          <w:b/>
        </w:rPr>
        <w:t>потенциала государства</w:t>
      </w:r>
      <w:r>
        <w:t xml:space="preserve"> составила 3, и хотя </w:t>
      </w:r>
      <w:r w:rsidR="00A807BF">
        <w:t>25% </w:t>
      </w:r>
      <w:r>
        <w:t xml:space="preserve">стран поставили оценку 2 или ниже, тем не </w:t>
      </w:r>
      <w:proofErr w:type="gramStart"/>
      <w:r>
        <w:t>менее</w:t>
      </w:r>
      <w:proofErr w:type="gramEnd"/>
      <w:r>
        <w:t xml:space="preserve"> 35</w:t>
      </w:r>
      <w:r w:rsidR="00A807BF">
        <w:t>%</w:t>
      </w:r>
      <w:r>
        <w:t xml:space="preserve"> оценили данный параметр в 4 и 5, что отражает в целом приемлемую ситуацию, но с возможностью дальнейшего улучшения. Возможность решения проблем </w:t>
      </w:r>
      <w:r>
        <w:rPr>
          <w:b/>
        </w:rPr>
        <w:t>продовольственной безопасности, экологи</w:t>
      </w:r>
      <w:r w:rsidR="00B04572">
        <w:rPr>
          <w:b/>
        </w:rPr>
        <w:t>и</w:t>
      </w:r>
      <w:r>
        <w:rPr>
          <w:b/>
        </w:rPr>
        <w:t>, здоровья рыб</w:t>
      </w:r>
      <w:r w:rsidR="00E0711A">
        <w:rPr>
          <w:b/>
        </w:rPr>
        <w:t>, а также проведения</w:t>
      </w:r>
      <w:r>
        <w:t xml:space="preserve"> </w:t>
      </w:r>
      <w:r>
        <w:rPr>
          <w:b/>
        </w:rPr>
        <w:t>исследований</w:t>
      </w:r>
      <w:r>
        <w:t xml:space="preserve"> </w:t>
      </w:r>
      <w:r w:rsidR="00D634D5">
        <w:t>получила</w:t>
      </w:r>
      <w:r>
        <w:t>, соответственно</w:t>
      </w:r>
      <w:r w:rsidR="009B2015">
        <w:t>,</w:t>
      </w:r>
      <w:r>
        <w:t xml:space="preserve"> 3,8, 3,4, 3,2 и 3,1 баллов. Возможности решения проблем </w:t>
      </w:r>
      <w:r>
        <w:rPr>
          <w:b/>
        </w:rPr>
        <w:t>расширения</w:t>
      </w:r>
      <w:r>
        <w:t xml:space="preserve"> и </w:t>
      </w:r>
      <w:r>
        <w:rPr>
          <w:b/>
        </w:rPr>
        <w:t>разрешения конфликтов</w:t>
      </w:r>
      <w:r>
        <w:t xml:space="preserve"> оценены, соответственно, в 2,9 и 2,8, тогда как </w:t>
      </w:r>
      <w:r w:rsidRPr="00D54BCC">
        <w:t>готовность</w:t>
      </w:r>
      <w:r>
        <w:rPr>
          <w:b/>
        </w:rPr>
        <w:t xml:space="preserve"> на случай стихийных бедствий</w:t>
      </w:r>
      <w:r>
        <w:t xml:space="preserve"> и </w:t>
      </w:r>
      <w:r w:rsidR="00E0711A">
        <w:t xml:space="preserve">потенциал </w:t>
      </w:r>
      <w:r>
        <w:t xml:space="preserve">адаптации к </w:t>
      </w:r>
      <w:r>
        <w:rPr>
          <w:b/>
        </w:rPr>
        <w:t>изменению климата</w:t>
      </w:r>
      <w:r>
        <w:t xml:space="preserve"> получили самые низкие оценки - 2,6 и 2,3</w:t>
      </w:r>
      <w:r w:rsidR="00D634D5">
        <w:t>,</w:t>
      </w:r>
      <w:r>
        <w:t xml:space="preserve"> соответственно, что подтверждает уязвимость отрасли от бедствий, на что указывалось выше в ENM (см. </w:t>
      </w:r>
      <w:r w:rsidR="00E0711A">
        <w:t xml:space="preserve">пункт </w:t>
      </w:r>
      <w:r>
        <w:t>48 выше).</w:t>
      </w:r>
    </w:p>
    <w:p w:rsidR="007E628F" w:rsidRPr="00E2254F" w:rsidRDefault="007E628F" w:rsidP="007E628F"/>
    <w:p w:rsidR="007E628F" w:rsidRPr="00E2254F" w:rsidRDefault="007E628F" w:rsidP="007E628F">
      <w:pPr>
        <w:pStyle w:val="Heading2"/>
        <w:numPr>
          <w:ilvl w:val="0"/>
          <w:numId w:val="0"/>
        </w:numPr>
        <w:jc w:val="left"/>
      </w:pPr>
      <w:r>
        <w:t>ОЦЕНКА СОДЕЙСТВИЯ ФАО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 xml:space="preserve">Большинство </w:t>
      </w:r>
      <w:r w:rsidR="009B2015">
        <w:t>государств</w:t>
      </w:r>
      <w:r>
        <w:t xml:space="preserve">-членов (68) ответили на вопросы этого раздела и, как это было </w:t>
      </w:r>
      <w:r w:rsidR="00E0711A">
        <w:t>при ответе на вопросник</w:t>
      </w:r>
      <w:r w:rsidR="009B2015">
        <w:t xml:space="preserve"> </w:t>
      </w:r>
      <w:r>
        <w:t xml:space="preserve">2013 года, содействие со стороны ФАО получило меньше оценок, чем было дано по другим позициям вопросника. Впрочем, в значительной части ответов было указано, что они не относятся к респондентам (n.a.) </w:t>
      </w:r>
      <w:r w:rsidR="009B2015">
        <w:t xml:space="preserve">и </w:t>
      </w:r>
      <w:r>
        <w:t xml:space="preserve">в некоторых случаях (Европа, Северная Америка) страны указали, что разработка и внедрение их механизмов </w:t>
      </w:r>
      <w:r w:rsidR="00B04572">
        <w:t xml:space="preserve">проходят в соответствии с </w:t>
      </w:r>
      <w:proofErr w:type="gramStart"/>
      <w:r>
        <w:t>Кодекс</w:t>
      </w:r>
      <w:r w:rsidR="00B04572">
        <w:t>ом</w:t>
      </w:r>
      <w:proofErr w:type="gramEnd"/>
      <w:r>
        <w:t xml:space="preserve"> и они не нуждаются в помощи ФАО, либо, что они использовали публикации ФАО и поэтому сочли эти вопросы к ним не относя</w:t>
      </w:r>
      <w:r w:rsidR="00B04572">
        <w:t>тся</w:t>
      </w:r>
      <w:r>
        <w:t xml:space="preserve">. 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>Данный раздел вопросника был использован в гораздо большей мере, чем при предыдуще</w:t>
      </w:r>
      <w:r w:rsidR="00E0711A">
        <w:t>м ответе</w:t>
      </w:r>
      <w:r>
        <w:t xml:space="preserve">, для того чтобы указать на пробелы и потребности стран в содействии для реализации </w:t>
      </w:r>
      <w:r w:rsidR="009B2015">
        <w:t xml:space="preserve">определенных </w:t>
      </w:r>
      <w:r>
        <w:t xml:space="preserve">мер регулирования и механизмов. 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>Среднемировые оценки в разделах EMM, SP и ENM составили</w:t>
      </w:r>
      <w:r w:rsidR="009B2015">
        <w:t>,</w:t>
      </w:r>
      <w:r>
        <w:t xml:space="preserve"> соответственно</w:t>
      </w:r>
      <w:r w:rsidR="009B2015">
        <w:t>,</w:t>
      </w:r>
      <w:r>
        <w:t xml:space="preserve"> 2,9</w:t>
      </w:r>
      <w:r w:rsidR="009B2015">
        <w:t>,</w:t>
      </w:r>
      <w:r>
        <w:t xml:space="preserve"> 2 и 1,6. На общемировом уровне государства-члены оценили содействие </w:t>
      </w:r>
      <w:r w:rsidR="009B2015">
        <w:t xml:space="preserve">политике </w:t>
      </w:r>
      <w:r>
        <w:t>аквакультуры по планированию и мерам регулирования в 2,5, 2,5, и 2,3</w:t>
      </w:r>
      <w:r w:rsidR="009B2015">
        <w:t>,</w:t>
      </w:r>
      <w:r>
        <w:t xml:space="preserve"> соответственно. Пятьдесят пять процентов государств-членов </w:t>
      </w:r>
      <w:r w:rsidR="00E0711A">
        <w:t xml:space="preserve">оценили </w:t>
      </w:r>
      <w:r>
        <w:t xml:space="preserve">помощь </w:t>
      </w:r>
      <w:r w:rsidR="00E0711A">
        <w:t>в нормативной работе</w:t>
      </w:r>
      <w:r>
        <w:t xml:space="preserve"> в 2 </w:t>
      </w:r>
      <w:r w:rsidR="00E0711A">
        <w:t xml:space="preserve">балла </w:t>
      </w:r>
      <w:r>
        <w:t>и ниже, такую же оценку 39 и 34</w:t>
      </w:r>
      <w:r w:rsidR="009B2015">
        <w:t>%</w:t>
      </w:r>
      <w:r>
        <w:t xml:space="preserve"> </w:t>
      </w:r>
      <w:r w:rsidR="00080BF8">
        <w:t xml:space="preserve">респондентов </w:t>
      </w:r>
      <w:r w:rsidR="00E0711A">
        <w:t xml:space="preserve">дали соответственно </w:t>
      </w:r>
      <w:r>
        <w:t xml:space="preserve">содействию </w:t>
      </w:r>
      <w:r w:rsidR="00E0711A">
        <w:t xml:space="preserve">в </w:t>
      </w:r>
      <w:r>
        <w:t>планировани</w:t>
      </w:r>
      <w:r w:rsidR="00E0711A">
        <w:t xml:space="preserve">и и </w:t>
      </w:r>
      <w:r w:rsidR="00080BF8">
        <w:t xml:space="preserve">содействию </w:t>
      </w:r>
      <w:r w:rsidR="00E0711A">
        <w:t>в разработке</w:t>
      </w:r>
      <w:r>
        <w:t xml:space="preserve"> политики</w:t>
      </w:r>
      <w:proofErr w:type="gramStart"/>
      <w:r w:rsidR="009B2015">
        <w:t>,</w:t>
      </w:r>
      <w:r>
        <w:t>.</w:t>
      </w:r>
      <w:proofErr w:type="gramEnd"/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lastRenderedPageBreak/>
        <w:t xml:space="preserve">Наиболее высокие оценки в отношении содействия ФАО применению отдельных мер регулирования или механизмов относились к </w:t>
      </w:r>
      <w:r>
        <w:rPr>
          <w:b/>
        </w:rPr>
        <w:t>безопасности продуктов питания, консультациям с заинтересованными сторонами</w:t>
      </w:r>
      <w:r>
        <w:t xml:space="preserve"> и </w:t>
      </w:r>
      <w:r w:rsidR="009B2015">
        <w:rPr>
          <w:b/>
        </w:rPr>
        <w:t xml:space="preserve">здоровью </w:t>
      </w:r>
      <w:r>
        <w:rPr>
          <w:b/>
        </w:rPr>
        <w:t>рыб,</w:t>
      </w:r>
      <w:r>
        <w:t xml:space="preserve"> которые были оценены в 2,6, 2,4 и 2,4</w:t>
      </w:r>
      <w:r w:rsidR="009B2015">
        <w:t>,</w:t>
      </w:r>
      <w:r>
        <w:t xml:space="preserve"> соответственно. Поддержка мониторинга аквакультурной деятельности и</w:t>
      </w:r>
      <w:r w:rsidR="00D54BCC">
        <w:t xml:space="preserve"> </w:t>
      </w:r>
      <w:r>
        <w:t xml:space="preserve">практики лучшего управления </w:t>
      </w:r>
      <w:r w:rsidR="009B2015">
        <w:t xml:space="preserve">была </w:t>
      </w:r>
      <w:r>
        <w:t>оценен</w:t>
      </w:r>
      <w:r w:rsidR="009B2015">
        <w:t>а</w:t>
      </w:r>
      <w:r w:rsidR="00D54BCC">
        <w:t xml:space="preserve"> </w:t>
      </w:r>
      <w:r>
        <w:t>в 2,1 и 2</w:t>
      </w:r>
      <w:r w:rsidR="009B2015">
        <w:t>,</w:t>
      </w:r>
      <w:r>
        <w:t xml:space="preserve"> соответственно.</w:t>
      </w:r>
    </w:p>
    <w:p w:rsidR="007E628F" w:rsidRPr="00154CE7" w:rsidRDefault="007E628F" w:rsidP="007E628F"/>
    <w:p w:rsidR="007E628F" w:rsidRPr="00E2254F" w:rsidRDefault="007E628F" w:rsidP="007E628F">
      <w:pPr>
        <w:pStyle w:val="NewPara"/>
        <w:jc w:val="both"/>
      </w:pPr>
      <w:r>
        <w:t>Самую высокую оценку получило содействие со стороны ФАО (по всем мерам регулирования, включая меры или механизмы) в Азии – 2,3 балла; затем следуют страны Африки и юго-западной части Тихого океана</w:t>
      </w:r>
      <w:r w:rsidR="009B2015">
        <w:t xml:space="preserve"> </w:t>
      </w:r>
      <w:r>
        <w:t>– 2 балла; Ближнего Востока – 1,7 балла; ЛАК – 1,5</w:t>
      </w:r>
      <w:r w:rsidR="009B2015">
        <w:t> </w:t>
      </w:r>
      <w:r>
        <w:t xml:space="preserve">балла, Европы – 1,5 балла и Северной Америки </w:t>
      </w:r>
      <w:r w:rsidR="009B2015">
        <w:t>–</w:t>
      </w:r>
      <w:r>
        <w:t xml:space="preserve"> </w:t>
      </w:r>
      <w:r w:rsidR="000E51C1">
        <w:t>0,</w:t>
      </w:r>
      <w:r>
        <w:t xml:space="preserve">4 балла. Наряду с этим, как и при предыдущей </w:t>
      </w:r>
      <w:r w:rsidR="009B2015">
        <w:t>отчетности</w:t>
      </w:r>
      <w:r>
        <w:t>, средние оценки не дают надлежащего представления о содействии со стороны ФАО в силу поляризации оценок, то есть значительная доля стран, оценки которых находятся между 0 и 1 и 3 и 4 баллами.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 xml:space="preserve">Имела место некоторая корреляция между оценками респондентов по мерам регулирования и прочим мерам и их оценками содействия ФАО в отношении тех же самых мер регулирования и прочих мер, но </w:t>
      </w:r>
      <w:proofErr w:type="gramStart"/>
      <w:r>
        <w:t>по</w:t>
      </w:r>
      <w:proofErr w:type="gramEnd"/>
      <w:r>
        <w:t xml:space="preserve"> </w:t>
      </w:r>
      <w:proofErr w:type="gramStart"/>
      <w:r>
        <w:t>последним</w:t>
      </w:r>
      <w:proofErr w:type="gramEnd"/>
      <w:r>
        <w:t xml:space="preserve"> показатели всегда были ниже. В некоторых случаях комментарии, сделанные государствами-членами</w:t>
      </w:r>
      <w:r w:rsidR="00D52275">
        <w:t>,</w:t>
      </w:r>
      <w:r>
        <w:t xml:space="preserve"> указывают на то, что имеющиеся публикации и инструментарии ФАО являются малоизвестными либо не переведены на необходимые языки. Также неясно</w:t>
      </w:r>
      <w:r w:rsidR="00D52275">
        <w:t>,</w:t>
      </w:r>
      <w:r>
        <w:t xml:space="preserve"> пользуются ли респонденты на практике</w:t>
      </w:r>
      <w:r w:rsidR="00D52275">
        <w:t xml:space="preserve"> </w:t>
      </w:r>
      <w:r>
        <w:t>ссылками, предоставленными</w:t>
      </w:r>
      <w:r w:rsidR="00B8537E">
        <w:rPr>
          <w:lang w:val="en-US"/>
        </w:rPr>
        <w:t> </w:t>
      </w:r>
      <w:r>
        <w:t>в</w:t>
      </w:r>
      <w:r w:rsidR="00B8537E">
        <w:rPr>
          <w:lang w:val="en-US"/>
        </w:rPr>
        <w:t> </w:t>
      </w:r>
      <w:r>
        <w:t>самом</w:t>
      </w:r>
      <w:r w:rsidR="00B8537E">
        <w:rPr>
          <w:lang w:val="en-US"/>
        </w:rPr>
        <w:t> </w:t>
      </w:r>
      <w:r>
        <w:t>вопроснике</w:t>
      </w:r>
      <w:r w:rsidR="00D52275">
        <w:t>,</w:t>
      </w:r>
      <w:r w:rsidR="00B8537E">
        <w:rPr>
          <w:lang w:val="en-US"/>
        </w:rPr>
        <w:t> </w:t>
      </w:r>
      <w:r>
        <w:t>на</w:t>
      </w:r>
      <w:r w:rsidR="00B8537E">
        <w:rPr>
          <w:lang w:val="en-US"/>
        </w:rPr>
        <w:t> </w:t>
      </w:r>
      <w:r>
        <w:t>публикации</w:t>
      </w:r>
      <w:r w:rsidR="00B8537E">
        <w:rPr>
          <w:lang w:val="en-US"/>
        </w:rPr>
        <w:t> </w:t>
      </w:r>
      <w:r>
        <w:t>и</w:t>
      </w:r>
      <w:r w:rsidR="00B8537E">
        <w:rPr>
          <w:lang w:val="en-US"/>
        </w:rPr>
        <w:t> </w:t>
      </w:r>
      <w:r>
        <w:t>инструментарий.</w:t>
      </w:r>
      <w:r w:rsidR="00B8537E" w:rsidRPr="00B8537E">
        <w:br/>
      </w:r>
    </w:p>
    <w:p w:rsidR="007E628F" w:rsidRPr="00E2254F" w:rsidRDefault="007E628F" w:rsidP="007E628F">
      <w:pPr>
        <w:pStyle w:val="NewPara"/>
        <w:jc w:val="both"/>
      </w:pPr>
      <w:r>
        <w:t xml:space="preserve">Информация, предоставляемая отдельными странами, очень полезна для ФАО, </w:t>
      </w:r>
      <w:r w:rsidR="00080BF8">
        <w:t>поскольку позволяет повышать адресность</w:t>
      </w:r>
      <w:r>
        <w:t xml:space="preserve"> </w:t>
      </w:r>
      <w:r w:rsidR="00080BF8">
        <w:t xml:space="preserve">содействия </w:t>
      </w:r>
      <w:r>
        <w:t xml:space="preserve">и </w:t>
      </w:r>
      <w:r w:rsidR="00080BF8">
        <w:t xml:space="preserve">лучше увязывать </w:t>
      </w:r>
      <w:r>
        <w:t xml:space="preserve">его с </w:t>
      </w:r>
      <w:r w:rsidR="00080BF8">
        <w:t>работой по реализации</w:t>
      </w:r>
      <w:r>
        <w:t xml:space="preserve"> странов</w:t>
      </w:r>
      <w:r w:rsidR="00080BF8">
        <w:t xml:space="preserve">ых рамочных программ </w:t>
      </w:r>
      <w:r>
        <w:t>и региональны</w:t>
      </w:r>
      <w:r w:rsidR="00080BF8">
        <w:t>х</w:t>
      </w:r>
      <w:r>
        <w:t xml:space="preserve"> инициатив.</w:t>
      </w:r>
    </w:p>
    <w:p w:rsidR="007E628F" w:rsidRDefault="007E628F" w:rsidP="007E628F"/>
    <w:p w:rsidR="007E628F" w:rsidRPr="00E2254F" w:rsidRDefault="007E628F" w:rsidP="007E628F">
      <w:pPr>
        <w:pStyle w:val="Heading2"/>
        <w:numPr>
          <w:ilvl w:val="0"/>
          <w:numId w:val="0"/>
        </w:numPr>
        <w:ind w:left="1"/>
        <w:jc w:val="left"/>
      </w:pPr>
      <w:r>
        <w:t xml:space="preserve">ОБОБЩЕНИЕ ДАННЫХ О ВЫПОЛНЕНИИ СООТВЕТСТВУЮЩИХ ПОЛОЖЕНИЙ КОДЕКСА ПРИ ВЕДЕНИИ АКВАКУЛЬТУРЫ И </w:t>
      </w:r>
      <w:r w:rsidR="00D52275">
        <w:t>ДОБЫЧ</w:t>
      </w:r>
      <w:r w:rsidR="00D52275" w:rsidRPr="00D54BCC">
        <w:rPr>
          <w:rFonts w:ascii="Times New Roman" w:hAnsi="Times New Roman" w:cs="Times New Roman"/>
        </w:rPr>
        <w:t>Е</w:t>
      </w:r>
      <w:r w:rsidR="00D52275">
        <w:t xml:space="preserve"> </w:t>
      </w:r>
      <w:r>
        <w:t xml:space="preserve">ВЫРАЩЕННОЙ РЫБЫ 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>По значительному числу стран отклик 2015 года отражает более единообразную оценку применения положений Кодекса, чем это было в 2013</w:t>
      </w:r>
      <w:r w:rsidR="00D52275">
        <w:t> </w:t>
      </w:r>
      <w:r>
        <w:t>году, а некот</w:t>
      </w:r>
      <w:r w:rsidR="00D52275">
        <w:t>о</w:t>
      </w:r>
      <w:r>
        <w:t xml:space="preserve">рое сокращение выставленных оценок по большинству вопросов может отражать более реалистичную оценку ситуации (а не тенденцию к сокращению). Тем не менее, существуют возможности корректировки и рассмотрения, например, высоких оценок </w:t>
      </w:r>
      <w:r>
        <w:rPr>
          <w:b/>
        </w:rPr>
        <w:t>ЕММ</w:t>
      </w:r>
      <w:r>
        <w:t xml:space="preserve"> и некоторых конкретных </w:t>
      </w:r>
      <w:r>
        <w:rPr>
          <w:b/>
        </w:rPr>
        <w:t>мер по регулированию</w:t>
      </w:r>
      <w:r>
        <w:t xml:space="preserve">, так как они могут переоценивать нынешнюю ситуацию в свете более низких оценок </w:t>
      </w:r>
      <w:r>
        <w:rPr>
          <w:b/>
        </w:rPr>
        <w:t>механизмов усиления</w:t>
      </w:r>
      <w:r>
        <w:t xml:space="preserve"> и </w:t>
      </w:r>
      <w:r>
        <w:rPr>
          <w:b/>
        </w:rPr>
        <w:t xml:space="preserve">возможностей поддержки </w:t>
      </w:r>
      <w:r w:rsidR="00D52275">
        <w:rPr>
          <w:b/>
        </w:rPr>
        <w:t>государствами</w:t>
      </w:r>
      <w:r>
        <w:t>. Возможно</w:t>
      </w:r>
      <w:r w:rsidR="0027003C">
        <w:t>,</w:t>
      </w:r>
      <w:r>
        <w:t xml:space="preserve"> проще оценить и более объективно выставить баллы в отношении наличия и </w:t>
      </w:r>
      <w:proofErr w:type="gramStart"/>
      <w:r>
        <w:t>применения</w:t>
      </w:r>
      <w:proofErr w:type="gramEnd"/>
      <w:r>
        <w:t xml:space="preserve"> отдельных мер и механизмов, чем выставить оценку за общую реализацию национальной политики по аквакультуре или плана развития. В этом плане нынешняя система </w:t>
      </w:r>
      <w:r w:rsidR="00D52275">
        <w:t xml:space="preserve">отчетности </w:t>
      </w:r>
      <w:r>
        <w:t xml:space="preserve">по самооценке может использоваться государствами-членами в качестве хорошего </w:t>
      </w:r>
      <w:r w:rsidR="00D52275">
        <w:t>инструмента</w:t>
      </w:r>
      <w:r>
        <w:t xml:space="preserve"> для рассмотрения соответствия между национальной политикой и планом развития и состоянием мер по регулированию и механизмами для облегчения реализации на национальном уровне. </w:t>
      </w:r>
    </w:p>
    <w:p w:rsidR="007E628F" w:rsidRPr="00E2254F" w:rsidRDefault="007E628F" w:rsidP="007E628F"/>
    <w:p w:rsidR="007E628F" w:rsidRPr="00B8537E" w:rsidRDefault="007E628F" w:rsidP="007E628F">
      <w:pPr>
        <w:pStyle w:val="NewPara"/>
        <w:jc w:val="both"/>
      </w:pPr>
      <w:r>
        <w:lastRenderedPageBreak/>
        <w:t xml:space="preserve">В целом государства-члены </w:t>
      </w:r>
      <w:proofErr w:type="gramStart"/>
      <w:r>
        <w:t>предпринимают усилия</w:t>
      </w:r>
      <w:proofErr w:type="gramEnd"/>
      <w:r>
        <w:t xml:space="preserve"> по применению Кодекса в сфере аквакультуры. В массе своей большинство стран, где развивается аквакультура</w:t>
      </w:r>
      <w:r w:rsidR="00D52275">
        <w:t>,</w:t>
      </w:r>
      <w:r>
        <w:t xml:space="preserve"> </w:t>
      </w:r>
      <w:r w:rsidR="002A1953">
        <w:t>имеют</w:t>
      </w:r>
      <w:r>
        <w:t xml:space="preserve"> какую</w:t>
      </w:r>
      <w:r w:rsidR="00D52275">
        <w:noBreakHyphen/>
      </w:r>
      <w:r>
        <w:t xml:space="preserve">либо политику по аквакультуре либо же отрасль развивается в соответствии с национальной политикой, которая соответствует </w:t>
      </w:r>
      <w:r w:rsidR="00D52275">
        <w:t>Кодексу</w:t>
      </w:r>
      <w:r>
        <w:t xml:space="preserve">. Тем не менее, в целом применение </w:t>
      </w:r>
      <w:r>
        <w:rPr>
          <w:b/>
        </w:rPr>
        <w:t>политики</w:t>
      </w:r>
      <w:r>
        <w:t xml:space="preserve"> и </w:t>
      </w:r>
      <w:r>
        <w:rPr>
          <w:b/>
        </w:rPr>
        <w:t>планов развития аквакультуры</w:t>
      </w:r>
      <w:r>
        <w:t xml:space="preserve"> </w:t>
      </w:r>
      <w:r w:rsidR="00D52275">
        <w:t xml:space="preserve">могло </w:t>
      </w:r>
      <w:r>
        <w:t xml:space="preserve">бы оцениваться лучше. Более низкие оценки по планам развития аквакультуры представляются наиболее реалистичными в странах ЛАК и Африки, что может стать приоритетной сферой повышения применения Кодекса в отрасли. Но ситуация может быть аналогичной и во многих странах в других регионах, особенно там, где </w:t>
      </w:r>
      <w:proofErr w:type="spellStart"/>
      <w:r>
        <w:t>аквакультура</w:t>
      </w:r>
      <w:proofErr w:type="spellEnd"/>
      <w:r>
        <w:t xml:space="preserve"> только начинает развиваться.</w:t>
      </w:r>
    </w:p>
    <w:p w:rsidR="00B8537E" w:rsidRPr="00E2254F" w:rsidRDefault="00B8537E" w:rsidP="00B8537E">
      <w:pPr>
        <w:pStyle w:val="NewPara"/>
        <w:numPr>
          <w:ilvl w:val="0"/>
          <w:numId w:val="0"/>
        </w:numPr>
        <w:jc w:val="both"/>
      </w:pPr>
    </w:p>
    <w:p w:rsidR="007E628F" w:rsidRPr="00E2254F" w:rsidRDefault="007E628F" w:rsidP="007E628F">
      <w:pPr>
        <w:pStyle w:val="NewPara"/>
        <w:jc w:val="both"/>
      </w:pPr>
      <w:proofErr w:type="gramStart"/>
      <w:r>
        <w:t xml:space="preserve">Принятие и исполнение конкретных мер регулирования </w:t>
      </w:r>
      <w:r w:rsidR="00D52275">
        <w:t xml:space="preserve">демонстрируют </w:t>
      </w:r>
      <w:r>
        <w:t xml:space="preserve">некоторые пробелы в мировом масштабе, в отношении которых должны быть предприняты усилия по обеспечению стабильности отрасли и сведению к минимуму воздействия на биологическое разнообразие и экологические системы, куда входят </w:t>
      </w:r>
      <w:r>
        <w:rPr>
          <w:b/>
        </w:rPr>
        <w:t>аквакультурное зонирование</w:t>
      </w:r>
      <w:r w:rsidRPr="00D54BCC">
        <w:rPr>
          <w:rStyle w:val="FootnoteReference"/>
          <w:rFonts w:ascii="Times New Roman" w:hAnsi="Times New Roman" w:cs="Times New Roman"/>
          <w:sz w:val="22"/>
          <w:szCs w:val="22"/>
        </w:rPr>
        <w:footnoteReference w:id="10"/>
      </w:r>
      <w:r>
        <w:t>, предотвращение и сокращение</w:t>
      </w:r>
      <w:r w:rsidR="00D54BCC">
        <w:t xml:space="preserve"> </w:t>
      </w:r>
      <w:r>
        <w:rPr>
          <w:b/>
        </w:rPr>
        <w:t>аквакультурного "бегства"</w:t>
      </w:r>
      <w:r>
        <w:t xml:space="preserve"> и </w:t>
      </w:r>
      <w:r>
        <w:rPr>
          <w:b/>
        </w:rPr>
        <w:t>зарыбления</w:t>
      </w:r>
      <w:r>
        <w:t xml:space="preserve"> и меры по регулированию в отношении </w:t>
      </w:r>
      <w:r>
        <w:rPr>
          <w:b/>
        </w:rPr>
        <w:t>допустимой нагрузки</w:t>
      </w:r>
      <w:r>
        <w:t xml:space="preserve"> </w:t>
      </w:r>
      <w:r w:rsidR="00D52275">
        <w:t>водоемов</w:t>
      </w:r>
      <w:r>
        <w:t>.</w:t>
      </w:r>
      <w:proofErr w:type="gramEnd"/>
      <w:r>
        <w:t xml:space="preserve"> Аквакультурное зонирование и соображения по допустимой нагрузке на </w:t>
      </w:r>
      <w:r w:rsidR="00D52275">
        <w:t xml:space="preserve">водоемы </w:t>
      </w:r>
      <w:r>
        <w:t xml:space="preserve">являются жизненно необходимыми для предотвращения эвтрофикации и потери биоразнообразия. Зонирование также важно для сведения к минимуму разрушения мест обитания и </w:t>
      </w:r>
      <w:r w:rsidR="00D52275">
        <w:t xml:space="preserve">повышения </w:t>
      </w:r>
      <w:r>
        <w:t>уровня интеграции аквакультуры с другими пользователями зон и бассейнов, улучшая тем самым эффективность использования ресурсов и сводя к минимуму воздействие (включая социальное), тогда как меры регулирования "бегства" и зарыбления могут предотвратить воздействие на генетические ресурсы и экосистемные услуги.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>Социальная роль аквакультуры и поддержка хозяйств, особенно мелких хозяйств</w:t>
      </w:r>
      <w:r w:rsidR="0035046D">
        <w:t>,</w:t>
      </w:r>
      <w:r>
        <w:t xml:space="preserve"> для облегчения применения ими мер регулирования и выполнения плана по аквакультуре для того, чтобы в целом соответствовать Кодексу, </w:t>
      </w:r>
      <w:r w:rsidR="0035046D">
        <w:t xml:space="preserve">продолжают </w:t>
      </w:r>
      <w:r>
        <w:t xml:space="preserve">демонстрировать незначительную поддержку, а это может быть </w:t>
      </w:r>
      <w:r w:rsidR="0035046D">
        <w:t xml:space="preserve">серьезным </w:t>
      </w:r>
      <w:r>
        <w:t xml:space="preserve">препятствием для применения </w:t>
      </w:r>
      <w:r w:rsidR="0035046D">
        <w:t xml:space="preserve">Кодекса </w:t>
      </w:r>
      <w:r>
        <w:t xml:space="preserve">на общемировом уровне. Таким образом, </w:t>
      </w:r>
      <w:r w:rsidR="0035046D">
        <w:t xml:space="preserve">четко </w:t>
      </w:r>
      <w:r>
        <w:t xml:space="preserve">видится приоритетность повышения устойчивости аквакультурной отрасли. Необходимы более значительные усилия по совершенствованию механизмов поддержки, таких как интеграция аквакультуры в планы по управлению </w:t>
      </w:r>
      <w:r w:rsidR="0035046D">
        <w:t xml:space="preserve">водоемами </w:t>
      </w:r>
      <w:r>
        <w:t xml:space="preserve">и прибрежными районами с соответствующими механизмами усиления; обеспечение положительного воздействия со стороны аквакультуры на местное население и их благосостояние, улучшение доступа к кредитам для малых хозяйств, улучшение содействия государства в случае бедствий. 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proofErr w:type="gramStart"/>
      <w:r>
        <w:t xml:space="preserve">Интеграция аквакультуры в планы </w:t>
      </w:r>
      <w:r w:rsidR="008768F8">
        <w:t xml:space="preserve">развития </w:t>
      </w:r>
      <w:r>
        <w:t>прибрежны</w:t>
      </w:r>
      <w:r w:rsidR="008768F8">
        <w:t>х</w:t>
      </w:r>
      <w:r>
        <w:t xml:space="preserve"> район</w:t>
      </w:r>
      <w:r w:rsidR="008768F8">
        <w:t>ов</w:t>
      </w:r>
      <w:r>
        <w:t xml:space="preserve"> и </w:t>
      </w:r>
      <w:r w:rsidR="0035046D">
        <w:t>водо</w:t>
      </w:r>
      <w:r w:rsidR="008768F8">
        <w:t>сборный бассейнов</w:t>
      </w:r>
      <w:r>
        <w:t xml:space="preserve">, а также </w:t>
      </w:r>
      <w:r w:rsidR="008768F8">
        <w:t>повышение роли аквакультуры в жизни местного населения относятся к числу</w:t>
      </w:r>
      <w:r>
        <w:t xml:space="preserve"> ключевых компонентов экосистемного подхода к аквакультуре (ЕАА) как стратегии содействия устойчивому развитию отрасли на местном уровне</w:t>
      </w:r>
      <w:r w:rsidRPr="00D54BCC">
        <w:rPr>
          <w:rStyle w:val="FootnoteReference"/>
          <w:rFonts w:ascii="Times New Roman" w:hAnsi="Times New Roman" w:cs="Times New Roman"/>
          <w:sz w:val="22"/>
          <w:szCs w:val="22"/>
        </w:rPr>
        <w:footnoteReference w:id="11"/>
      </w:r>
      <w:r>
        <w:t xml:space="preserve">. Дальнейшая поддержка этому может быть предоставлена через Инициативу </w:t>
      </w:r>
      <w:r w:rsidR="0035046D">
        <w:t>"</w:t>
      </w:r>
      <w:r>
        <w:t xml:space="preserve">Голубой </w:t>
      </w:r>
      <w:r w:rsidR="0035046D">
        <w:t>рост"</w:t>
      </w:r>
      <w:r>
        <w:t>, которая делает больший акцент на других пользователей общих ресурсов и облегчает связь</w:t>
      </w:r>
      <w:proofErr w:type="gramEnd"/>
      <w:r>
        <w:t xml:space="preserve"> с ними.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lastRenderedPageBreak/>
        <w:t xml:space="preserve">Хотя и наличествуют ярко выраженные региональные схемы, также существует и значительная </w:t>
      </w:r>
      <w:proofErr w:type="spellStart"/>
      <w:r>
        <w:t>внутрирегиональная</w:t>
      </w:r>
      <w:proofErr w:type="spellEnd"/>
      <w:r>
        <w:t xml:space="preserve"> вариа</w:t>
      </w:r>
      <w:r w:rsidR="00D54BCC">
        <w:t>тивность</w:t>
      </w:r>
      <w:r>
        <w:t xml:space="preserve"> и содействие и техническая поддержка должны быть ориентированы на наиболее нуждающиеся страны. Данный инструмент</w:t>
      </w:r>
      <w:r w:rsidR="0027003C">
        <w:t>,</w:t>
      </w:r>
      <w:r>
        <w:t xml:space="preserve"> бес</w:t>
      </w:r>
      <w:r w:rsidR="0035046D">
        <w:t>с</w:t>
      </w:r>
      <w:r>
        <w:t>порно</w:t>
      </w:r>
      <w:r w:rsidR="0027003C">
        <w:t>,</w:t>
      </w:r>
      <w:r>
        <w:t xml:space="preserve"> </w:t>
      </w:r>
      <w:r w:rsidR="0035046D">
        <w:t xml:space="preserve">дает </w:t>
      </w:r>
      <w:r>
        <w:t>возможность ФАО лучше нацелевать помощь по странам и регионам, а страны</w:t>
      </w:r>
      <w:r w:rsidR="0035046D">
        <w:noBreakHyphen/>
      </w:r>
      <w:r>
        <w:t>члены могут получить выгоду через создание собственных баз данных и инструментарии самооценки на основе настоящего вопросника.</w:t>
      </w:r>
    </w:p>
    <w:p w:rsidR="007E628F" w:rsidRPr="00E2254F" w:rsidRDefault="007E628F" w:rsidP="007E628F">
      <w:pPr>
        <w:pStyle w:val="NewPara"/>
        <w:jc w:val="both"/>
      </w:pPr>
      <w:r>
        <w:t xml:space="preserve">Такая </w:t>
      </w:r>
      <w:r w:rsidR="0035046D">
        <w:t xml:space="preserve">отчетность </w:t>
      </w:r>
      <w:r>
        <w:t xml:space="preserve">по соответствию аквакультуры Кодексу не только позволяет осуществить самооценку результатов в сфере аквакультуры, но и обеспечивает соответствующую информацию для определения региональных приоритетов и стратегических </w:t>
      </w:r>
      <w:r w:rsidR="008B41EF">
        <w:t>направлений</w:t>
      </w:r>
      <w:r>
        <w:t xml:space="preserve"> деятельности Подкомитета, как это показано в </w:t>
      </w:r>
      <w:r w:rsidR="0035046D">
        <w:t xml:space="preserve">пунктах </w:t>
      </w:r>
      <w:r>
        <w:t>55 и 58 выше.</w:t>
      </w:r>
    </w:p>
    <w:p w:rsidR="007E628F" w:rsidRDefault="007E628F" w:rsidP="007E628F"/>
    <w:p w:rsidR="007E628F" w:rsidRPr="00E2254F" w:rsidRDefault="007E628F" w:rsidP="007E628F">
      <w:pPr>
        <w:pStyle w:val="Heading2"/>
        <w:numPr>
          <w:ilvl w:val="0"/>
          <w:numId w:val="0"/>
        </w:numPr>
        <w:ind w:left="1"/>
        <w:jc w:val="left"/>
      </w:pPr>
      <w:r>
        <w:t xml:space="preserve">ПОСЛЕДУЮЩИЕ ШАГИ ДЛЯ ДАЛЬНЕЙШЕГО РАСШИРЕНИЯ И СОВЕРШЕНСТВОВАНИЯ </w:t>
      </w:r>
      <w:r w:rsidR="0035046D">
        <w:t>ОТЧ</w:t>
      </w:r>
      <w:r w:rsidR="0035046D" w:rsidRPr="00D54BCC">
        <w:rPr>
          <w:rFonts w:ascii="Times New Roman" w:hAnsi="Times New Roman" w:cs="Times New Roman"/>
        </w:rPr>
        <w:t>Е</w:t>
      </w:r>
      <w:r w:rsidR="0035046D">
        <w:t xml:space="preserve">ТНОСТИ </w:t>
      </w:r>
      <w:r>
        <w:t xml:space="preserve">И </w:t>
      </w:r>
      <w:r w:rsidR="008768F8">
        <w:rPr>
          <w:rFonts w:hint="eastAsia"/>
        </w:rPr>
        <w:t>ИСПОЛЬЗОВАНИЯ</w:t>
      </w:r>
      <w:r w:rsidR="008768F8">
        <w:t xml:space="preserve"> </w:t>
      </w:r>
      <w:r w:rsidR="008768F8" w:rsidRPr="00BE79C6">
        <w:rPr>
          <w:rFonts w:hint="eastAsia"/>
        </w:rPr>
        <w:t>ПОЛУЧЕННОЙ</w:t>
      </w:r>
      <w:r w:rsidR="008768F8" w:rsidRPr="00BE79C6">
        <w:t xml:space="preserve"> </w:t>
      </w:r>
      <w:r w:rsidR="008768F8" w:rsidRPr="00BE79C6">
        <w:rPr>
          <w:rFonts w:hint="eastAsia"/>
        </w:rPr>
        <w:t>ИНФОРМАЦИИ</w:t>
      </w:r>
      <w:r w:rsidR="008768F8" w:rsidRPr="00BE79C6">
        <w:t xml:space="preserve"> </w:t>
      </w:r>
      <w:r w:rsidR="008768F8">
        <w:rPr>
          <w:rFonts w:hint="eastAsia"/>
        </w:rPr>
        <w:t>ДЛЯ</w:t>
      </w:r>
      <w:r w:rsidR="008768F8">
        <w:t xml:space="preserve"> </w:t>
      </w:r>
      <w:r w:rsidR="008768F8" w:rsidRPr="00D54BCC">
        <w:rPr>
          <w:rFonts w:ascii="Times New Roman" w:hAnsi="Times New Roman" w:cs="Times New Roman"/>
        </w:rPr>
        <w:t>ПОВЫШЕНИЯ ЭФФЕКТИВНОСТИ</w:t>
      </w:r>
      <w:r w:rsidR="008768F8">
        <w:t xml:space="preserve"> </w:t>
      </w:r>
      <w:r w:rsidR="008768F8">
        <w:rPr>
          <w:rFonts w:hint="eastAsia"/>
        </w:rPr>
        <w:t>ПРИМЕНЕНИЯ</w:t>
      </w:r>
      <w:r w:rsidR="008768F8">
        <w:t xml:space="preserve"> </w:t>
      </w:r>
      <w:r w:rsidR="008768F8">
        <w:rPr>
          <w:rFonts w:hint="eastAsia"/>
        </w:rPr>
        <w:t>КОДЕКСА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proofErr w:type="gramStart"/>
      <w:r>
        <w:t xml:space="preserve">Хотя результаты двух периодов </w:t>
      </w:r>
      <w:r w:rsidR="008B41EF">
        <w:t xml:space="preserve">апробирования </w:t>
      </w:r>
      <w:r>
        <w:t>вопросника</w:t>
      </w:r>
      <w:r w:rsidR="008B41EF">
        <w:t xml:space="preserve"> весьма</w:t>
      </w:r>
      <w:r>
        <w:t xml:space="preserve"> позитивны</w:t>
      </w:r>
      <w:r w:rsidR="008B41EF">
        <w:t>, в частности возросло число респондентов</w:t>
      </w:r>
      <w:r>
        <w:t xml:space="preserve"> и </w:t>
      </w:r>
      <w:r w:rsidR="008B41EF">
        <w:t>повысилось</w:t>
      </w:r>
      <w:r>
        <w:t xml:space="preserve"> качеств</w:t>
      </w:r>
      <w:r w:rsidR="008B41EF">
        <w:t>о</w:t>
      </w:r>
      <w:r>
        <w:t xml:space="preserve"> ответов, сохраняется необходимость дальнейшего совершенствования отчетности не только для того, чтобы поступали ответы от </w:t>
      </w:r>
      <w:r w:rsidR="008B41EF">
        <w:t xml:space="preserve">ряда </w:t>
      </w:r>
      <w:r>
        <w:t>стран</w:t>
      </w:r>
      <w:r w:rsidR="008B41EF">
        <w:t xml:space="preserve"> с развитой</w:t>
      </w:r>
      <w:r w:rsidR="008768F8">
        <w:t xml:space="preserve"> </w:t>
      </w:r>
      <w:r>
        <w:t>аквакультур</w:t>
      </w:r>
      <w:r w:rsidR="008B41EF">
        <w:t>ой</w:t>
      </w:r>
      <w:r>
        <w:t xml:space="preserve">, которые пока </w:t>
      </w:r>
      <w:r w:rsidR="008768F8">
        <w:t>не отвечают на вопросник</w:t>
      </w:r>
      <w:r>
        <w:t xml:space="preserve">, но и от стран, где эта отрасль находится на стадии становления. </w:t>
      </w:r>
      <w:proofErr w:type="gramEnd"/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 xml:space="preserve">Информация, </w:t>
      </w:r>
      <w:r w:rsidR="008768F8">
        <w:t>сообщаемая с помощью данного</w:t>
      </w:r>
      <w:r>
        <w:t xml:space="preserve"> вопросник</w:t>
      </w:r>
      <w:r w:rsidR="008768F8">
        <w:t>а</w:t>
      </w:r>
      <w:r w:rsidR="0035046D">
        <w:t>,</w:t>
      </w:r>
      <w:r>
        <w:t xml:space="preserve"> </w:t>
      </w:r>
      <w:r w:rsidR="001546E4">
        <w:t>позволяет странам лучше понять особенности</w:t>
      </w:r>
      <w:r>
        <w:t xml:space="preserve"> </w:t>
      </w:r>
      <w:r w:rsidR="0035046D">
        <w:t xml:space="preserve">применения </w:t>
      </w:r>
      <w:r>
        <w:t xml:space="preserve">Кодекса в </w:t>
      </w:r>
      <w:r w:rsidR="001546E4">
        <w:t xml:space="preserve">сфере </w:t>
      </w:r>
      <w:r>
        <w:t xml:space="preserve">аквакультуре и способна улучшить понимание региональных и национальных потребностей для </w:t>
      </w:r>
      <w:proofErr w:type="gramStart"/>
      <w:r>
        <w:t xml:space="preserve">более </w:t>
      </w:r>
      <w:r w:rsidR="001546E4">
        <w:t>адресного</w:t>
      </w:r>
      <w:proofErr w:type="gramEnd"/>
      <w:r>
        <w:t xml:space="preserve"> содействия. Это также уникальная </w:t>
      </w:r>
      <w:r w:rsidR="001546E4">
        <w:t xml:space="preserve">глобальная </w:t>
      </w:r>
      <w:r>
        <w:t xml:space="preserve">самооценка </w:t>
      </w:r>
      <w:r w:rsidR="000E51C1">
        <w:t xml:space="preserve">одного из секторов </w:t>
      </w:r>
      <w:r>
        <w:t>сельскохозяйственной отрасли (</w:t>
      </w:r>
      <w:r w:rsidR="001546E4">
        <w:t xml:space="preserve">в частности, </w:t>
      </w:r>
      <w:r>
        <w:t>экологически</w:t>
      </w:r>
      <w:r w:rsidR="001546E4">
        <w:t>х</w:t>
      </w:r>
      <w:r>
        <w:t>, социальны</w:t>
      </w:r>
      <w:r w:rsidR="001546E4">
        <w:t>х</w:t>
      </w:r>
      <w:r>
        <w:t xml:space="preserve"> и управленчески</w:t>
      </w:r>
      <w:r w:rsidR="001546E4">
        <w:t xml:space="preserve">х аспектов </w:t>
      </w:r>
      <w:r w:rsidR="000E51C1">
        <w:t>его</w:t>
      </w:r>
      <w:r w:rsidR="001546E4">
        <w:t xml:space="preserve"> функционирования</w:t>
      </w:r>
      <w:r>
        <w:t>)</w:t>
      </w:r>
      <w:r w:rsidR="004936CA">
        <w:t>, которая</w:t>
      </w:r>
      <w:r>
        <w:t xml:space="preserve"> должна широко использоваться для демонстрации готовности отрасли становиться более устойчивой через поощрение лучших практических подходов и совершенствование управления на всех уровнях. Результаты данных оценок могут также использоваться для отслеживания </w:t>
      </w:r>
      <w:r w:rsidR="004936CA">
        <w:t>достижения</w:t>
      </w:r>
      <w:r>
        <w:t xml:space="preserve"> ЦУР.</w:t>
      </w:r>
    </w:p>
    <w:p w:rsidR="007E628F" w:rsidRPr="00E2254F" w:rsidRDefault="007E628F" w:rsidP="007E628F"/>
    <w:p w:rsidR="007E628F" w:rsidRPr="00E2254F" w:rsidRDefault="007E628F" w:rsidP="007E628F">
      <w:pPr>
        <w:pStyle w:val="NewPara"/>
        <w:jc w:val="both"/>
      </w:pPr>
      <w:r>
        <w:t xml:space="preserve">С </w:t>
      </w:r>
      <w:r w:rsidR="0035046D">
        <w:t xml:space="preserve">учетом </w:t>
      </w:r>
      <w:r>
        <w:t xml:space="preserve">необходимости дальнейшего совершенствования качества ответов и лучшего понимания государствами-членами ценности самооценки и </w:t>
      </w:r>
      <w:r w:rsidR="00864FDF">
        <w:t>отчетности</w:t>
      </w:r>
      <w:r>
        <w:t xml:space="preserve"> </w:t>
      </w:r>
      <w:r w:rsidR="00864FDF">
        <w:t xml:space="preserve">Секретариат </w:t>
      </w:r>
      <w:r>
        <w:t xml:space="preserve">рекомендует продолжать использовать данный вопросник на веб-платформе с незначительными изменениями </w:t>
      </w:r>
      <w:proofErr w:type="gramStart"/>
      <w:r w:rsidR="00864FDF">
        <w:t>еще</w:t>
      </w:r>
      <w:proofErr w:type="gramEnd"/>
      <w:r w:rsidR="00864FDF">
        <w:t xml:space="preserve"> </w:t>
      </w:r>
      <w:r>
        <w:t xml:space="preserve">по крайней мере в течение </w:t>
      </w:r>
      <w:r w:rsidR="00864FDF">
        <w:t xml:space="preserve">трех </w:t>
      </w:r>
      <w:r>
        <w:t xml:space="preserve">дополнительных </w:t>
      </w:r>
      <w:r w:rsidR="00864FDF">
        <w:t xml:space="preserve">отчетных </w:t>
      </w:r>
      <w:r>
        <w:t xml:space="preserve">периодов, чтобы полностью подготовить </w:t>
      </w:r>
      <w:r w:rsidR="00864FDF">
        <w:t xml:space="preserve">пять отчетов </w:t>
      </w:r>
      <w:r>
        <w:t>с использованием данного нового инструмента</w:t>
      </w:r>
      <w:r w:rsidRPr="00D54BCC">
        <w:rPr>
          <w:rStyle w:val="FootnoteReference"/>
          <w:rFonts w:ascii="Times New Roman" w:hAnsi="Times New Roman" w:cs="Times New Roman"/>
          <w:sz w:val="22"/>
          <w:szCs w:val="22"/>
        </w:rPr>
        <w:footnoteReference w:id="12"/>
      </w:r>
      <w:r>
        <w:t>. Это позволит провести анализ по временным рядам и регионам и предоставит</w:t>
      </w:r>
      <w:r w:rsidR="004936CA">
        <w:t>ь</w:t>
      </w:r>
      <w:r>
        <w:t xml:space="preserve"> более </w:t>
      </w:r>
      <w:r w:rsidR="00864FDF">
        <w:t xml:space="preserve">надежную </w:t>
      </w:r>
      <w:r>
        <w:t xml:space="preserve">информацию для </w:t>
      </w:r>
      <w:r w:rsidR="00864FDF">
        <w:t xml:space="preserve">пересмотра </w:t>
      </w:r>
      <w:r>
        <w:t>и изменения вопросника по мере надобности после такого периода.</w:t>
      </w:r>
    </w:p>
    <w:p w:rsidR="007E628F" w:rsidRPr="00E2254F" w:rsidRDefault="007E628F" w:rsidP="007E628F"/>
    <w:p w:rsidR="007E628F" w:rsidRPr="00E2254F" w:rsidRDefault="004936CA" w:rsidP="007E628F">
      <w:pPr>
        <w:pStyle w:val="NewPara"/>
        <w:jc w:val="both"/>
      </w:pPr>
      <w:proofErr w:type="gramStart"/>
      <w:r>
        <w:lastRenderedPageBreak/>
        <w:t xml:space="preserve">По </w:t>
      </w:r>
      <w:r w:rsidR="007E628F">
        <w:t>результат</w:t>
      </w:r>
      <w:r>
        <w:t>ам</w:t>
      </w:r>
      <w:r w:rsidR="007E628F">
        <w:t xml:space="preserve"> </w:t>
      </w:r>
      <w:r>
        <w:t xml:space="preserve">апробирования системы представления информации в </w:t>
      </w:r>
      <w:r w:rsidR="007E628F">
        <w:t xml:space="preserve">2013 и </w:t>
      </w:r>
      <w:r>
        <w:t xml:space="preserve">в </w:t>
      </w:r>
      <w:r w:rsidR="007E628F">
        <w:t>2015</w:t>
      </w:r>
      <w:r w:rsidR="00864FDF">
        <w:t> </w:t>
      </w:r>
      <w:r w:rsidR="007E628F">
        <w:t>год</w:t>
      </w:r>
      <w:r>
        <w:t>ах стало</w:t>
      </w:r>
      <w:r w:rsidR="007E628F">
        <w:t xml:space="preserve"> ясно, что более точные оценки могут быть обеспечены посредством: i)</w:t>
      </w:r>
      <w:r w:rsidR="00F92320">
        <w:t> </w:t>
      </w:r>
      <w:r w:rsidR="007E628F">
        <w:t>своевременного опре</w:t>
      </w:r>
      <w:r w:rsidR="00864FDF">
        <w:t>де</w:t>
      </w:r>
      <w:r w:rsidR="007E628F">
        <w:t xml:space="preserve">ления контактных </w:t>
      </w:r>
      <w:r>
        <w:t xml:space="preserve">центров </w:t>
      </w:r>
      <w:r w:rsidR="007E628F">
        <w:t>и ответственных лиц</w:t>
      </w:r>
      <w:r>
        <w:t>, которые возглавляли бы работу</w:t>
      </w:r>
      <w:r w:rsidR="007E628F">
        <w:t xml:space="preserve"> </w:t>
      </w:r>
      <w:r>
        <w:t>по представлению информации</w:t>
      </w:r>
      <w:r w:rsidR="007E628F">
        <w:t>,</w:t>
      </w:r>
      <w:r w:rsidR="00D54BCC">
        <w:t xml:space="preserve"> </w:t>
      </w:r>
      <w:r w:rsidR="007E628F">
        <w:t>ii)</w:t>
      </w:r>
      <w:r w:rsidR="00864FDF">
        <w:t> </w:t>
      </w:r>
      <w:r w:rsidR="007E628F">
        <w:t>улучшения рекомендаций для прояснения вопросов и выставления баллов</w:t>
      </w:r>
      <w:r>
        <w:t>, причем</w:t>
      </w:r>
      <w:r w:rsidR="007E628F">
        <w:t xml:space="preserve"> и </w:t>
      </w:r>
      <w:r w:rsidR="00864FDF">
        <w:t xml:space="preserve">Секретариат </w:t>
      </w:r>
      <w:r>
        <w:t xml:space="preserve">по мере надобности </w:t>
      </w:r>
      <w:r w:rsidR="007E628F">
        <w:t>будет пересматривать и совершенствовать эт</w:t>
      </w:r>
      <w:r>
        <w:t>и рекомендации</w:t>
      </w:r>
      <w:r w:rsidR="007C14A0">
        <w:t xml:space="preserve"> </w:t>
      </w:r>
      <w:r w:rsidR="007E628F">
        <w:t>iii)</w:t>
      </w:r>
      <w:r w:rsidR="00864FDF">
        <w:t> </w:t>
      </w:r>
      <w:r w:rsidR="007E628F">
        <w:t>проведени</w:t>
      </w:r>
      <w:r w:rsidR="00864FDF">
        <w:t>я</w:t>
      </w:r>
      <w:proofErr w:type="gramEnd"/>
      <w:r w:rsidR="007E628F">
        <w:t xml:space="preserve"> широкомасштабного </w:t>
      </w:r>
      <w:proofErr w:type="gramStart"/>
      <w:r w:rsidR="007E628F">
        <w:t>обучения по</w:t>
      </w:r>
      <w:proofErr w:type="gramEnd"/>
      <w:r w:rsidR="007E628F">
        <w:t xml:space="preserve"> </w:t>
      </w:r>
      <w:r>
        <w:t xml:space="preserve">таким направлениям, как </w:t>
      </w:r>
      <w:r w:rsidR="007E628F">
        <w:t>использованию данного инструментария, важност</w:t>
      </w:r>
      <w:r>
        <w:t>ь</w:t>
      </w:r>
      <w:r w:rsidR="007E628F">
        <w:t xml:space="preserve"> применения Кодекса и предоставлени</w:t>
      </w:r>
      <w:r>
        <w:t>е</w:t>
      </w:r>
      <w:r w:rsidR="007E628F">
        <w:t xml:space="preserve"> </w:t>
      </w:r>
      <w:r>
        <w:t>информации</w:t>
      </w:r>
      <w:r w:rsidR="007E628F">
        <w:t>. Последнее будет зависеть от наличия ресурсов</w:t>
      </w:r>
      <w:r w:rsidR="00864FDF">
        <w:t>,</w:t>
      </w:r>
      <w:r w:rsidR="007E628F">
        <w:t xml:space="preserve"> </w:t>
      </w:r>
      <w:r w:rsidR="007C14A0">
        <w:t>поэтому</w:t>
      </w:r>
      <w:r w:rsidR="007E628F">
        <w:t xml:space="preserve"> </w:t>
      </w:r>
      <w:r w:rsidR="00864FDF">
        <w:t xml:space="preserve">Секретариат </w:t>
      </w:r>
      <w:r w:rsidR="007E628F">
        <w:t xml:space="preserve">призывает государства-члены обеспечить ресурсы </w:t>
      </w:r>
      <w:r w:rsidR="007C14A0">
        <w:t xml:space="preserve">и </w:t>
      </w:r>
      <w:r w:rsidR="007E628F">
        <w:t xml:space="preserve">для этой </w:t>
      </w:r>
      <w:r w:rsidR="007C14A0">
        <w:t>работы</w:t>
      </w:r>
      <w:r w:rsidR="007E628F">
        <w:t>.</w:t>
      </w:r>
    </w:p>
    <w:p w:rsidR="007E628F" w:rsidRPr="00E2254F" w:rsidRDefault="007E628F" w:rsidP="007E628F">
      <w:pPr>
        <w:pStyle w:val="NewPara"/>
        <w:jc w:val="both"/>
      </w:pPr>
      <w:r>
        <w:t>Секретариат продолж</w:t>
      </w:r>
      <w:r w:rsidR="007C14A0">
        <w:t>ит</w:t>
      </w:r>
      <w:r>
        <w:t xml:space="preserve"> рассматривать возможности увязки данного вопросника с общим вопросником КВОР </w:t>
      </w:r>
      <w:r w:rsidR="00D54BCC">
        <w:t>во</w:t>
      </w:r>
      <w:r>
        <w:t xml:space="preserve"> избежани</w:t>
      </w:r>
      <w:r w:rsidR="00D54BCC">
        <w:t>е</w:t>
      </w:r>
      <w:r>
        <w:t xml:space="preserve"> </w:t>
      </w:r>
      <w:r w:rsidR="007C14A0">
        <w:t xml:space="preserve">дублирования </w:t>
      </w:r>
      <w:r>
        <w:t>и избыточности, а также для повышения их взаимодополняемости.</w:t>
      </w:r>
    </w:p>
    <w:p w:rsidR="007E628F" w:rsidRPr="0017530F" w:rsidRDefault="007E628F" w:rsidP="007E628F">
      <w:pPr>
        <w:pStyle w:val="SummaryBoxText"/>
      </w:pPr>
    </w:p>
    <w:p w:rsidR="00EE7550" w:rsidRPr="007E628F" w:rsidRDefault="00EE7550" w:rsidP="007E628F"/>
    <w:sectPr w:rsidR="00EE7550" w:rsidRPr="007E628F" w:rsidSect="00CF08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6CA" w:rsidRDefault="004936CA" w:rsidP="007E628F">
      <w:pPr>
        <w:spacing w:after="0"/>
      </w:pPr>
      <w:r>
        <w:separator/>
      </w:r>
    </w:p>
  </w:endnote>
  <w:endnote w:type="continuationSeparator" w:id="0">
    <w:p w:rsidR="004936CA" w:rsidRDefault="004936CA" w:rsidP="007E62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CA" w:rsidRDefault="004936CA">
    <w:pPr>
      <w:spacing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CA" w:rsidRDefault="004936CA">
    <w:pPr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4936CA" w:rsidTr="00EE7550">
      <w:tc>
        <w:tcPr>
          <w:tcW w:w="9071" w:type="dxa"/>
        </w:tcPr>
        <w:p w:rsidR="004936CA" w:rsidRDefault="004936CA" w:rsidP="00EE7550">
          <w:pPr>
            <w:pStyle w:val="Note"/>
            <w:textboxTightWrap w:val="allLines"/>
          </w:pPr>
          <w:bookmarkStart w:id="8" w:name="NotesBookmark"/>
          <w:r>
            <w:t>В целях сведения к минимуму воздействия процессов ФАО на окружающую среду и достижения климатической нейтральности настоящий документ напечатан в ограниченном количестве экземпляров. Просьба к делегатам и наблюдателям приносить на заседания свои экземпляры документов и не запрашивать дополнительных копий. Большинство документов</w:t>
          </w:r>
          <w:r w:rsidR="00D54BCC">
            <w:t xml:space="preserve"> </w:t>
          </w:r>
          <w:r>
            <w:t xml:space="preserve">к заседаниям ФАО размещено в Интернете по адресу: www.fao.org </w:t>
          </w:r>
          <w:bookmarkEnd w:id="8"/>
        </w:p>
      </w:tc>
    </w:tr>
  </w:tbl>
  <w:p w:rsidR="004936CA" w:rsidRPr="009C0B0C" w:rsidRDefault="004936CA" w:rsidP="00EE7550">
    <w:bookmarkStart w:id="9" w:name="FooterInformationBookmark"/>
    <w:r>
      <w:t xml:space="preserve"> </w:t>
    </w:r>
    <w:bookmarkEnd w:id="9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6CA" w:rsidRDefault="004936CA" w:rsidP="007E628F">
      <w:pPr>
        <w:spacing w:after="0"/>
      </w:pPr>
      <w:r>
        <w:separator/>
      </w:r>
    </w:p>
  </w:footnote>
  <w:footnote w:type="continuationSeparator" w:id="0">
    <w:p w:rsidR="004936CA" w:rsidRDefault="004936CA" w:rsidP="007E628F">
      <w:pPr>
        <w:spacing w:after="0"/>
      </w:pPr>
      <w:r>
        <w:continuationSeparator/>
      </w:r>
    </w:p>
  </w:footnote>
  <w:footnote w:id="1">
    <w:p w:rsidR="004936CA" w:rsidRDefault="004936CA" w:rsidP="007E628F">
      <w:pPr>
        <w:spacing w:after="0"/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Вопросник для мониторинга применения Кодекса ведения ответственного рыболовства ФАО от 1995 года. Международные планы действий по потенциалу, акулам, морским птицам и незаконному, несообщаемому и нерегулируемому рыбному промыслу и Стратегия улучшения качества информации о состоянии и тенденциях развития рыболовства. </w:t>
      </w:r>
    </w:p>
  </w:footnote>
  <w:footnote w:id="2">
    <w:p w:rsidR="004936CA" w:rsidRPr="002A0E4F" w:rsidRDefault="004936CA" w:rsidP="007E628F">
      <w:pPr>
        <w:pStyle w:val="FootnoteText"/>
        <w:rPr>
          <w:sz w:val="18"/>
          <w:szCs w:val="18"/>
          <w:lang w:val="it-IT"/>
        </w:rPr>
      </w:pPr>
      <w:r>
        <w:rPr>
          <w:rStyle w:val="FootnoteReference"/>
          <w:sz w:val="18"/>
        </w:rPr>
        <w:footnoteRef/>
      </w:r>
      <w:r w:rsidRPr="00EB20E6">
        <w:rPr>
          <w:lang w:val="it-IT"/>
        </w:rPr>
        <w:t xml:space="preserve"> </w:t>
      </w:r>
      <w:r w:rsidRPr="00EB20E6">
        <w:rPr>
          <w:sz w:val="18"/>
          <w:lang w:val="it-IT"/>
        </w:rPr>
        <w:t xml:space="preserve">COFI/2014/2/Rev.1. </w:t>
      </w:r>
      <w:r w:rsidRPr="00BF3A1B">
        <w:rPr>
          <w:sz w:val="18"/>
          <w:lang w:val="it-IT"/>
        </w:rPr>
        <w:t>http://www.fao.org/3/a-mk055r.pdf</w:t>
      </w:r>
      <w:r w:rsidRPr="00EB20E6">
        <w:rPr>
          <w:sz w:val="18"/>
          <w:lang w:val="it-IT"/>
        </w:rPr>
        <w:t xml:space="preserve"> </w:t>
      </w:r>
    </w:p>
    <w:p w:rsidR="004936CA" w:rsidRPr="00BE79C6" w:rsidRDefault="00D54BCC" w:rsidP="007E628F">
      <w:pPr>
        <w:pStyle w:val="FootnoteText"/>
        <w:rPr>
          <w:lang w:val="it-IT"/>
        </w:rPr>
      </w:pPr>
      <w:r>
        <w:rPr>
          <w:sz w:val="18"/>
          <w:lang w:val="it-IT"/>
        </w:rPr>
        <w:t xml:space="preserve"> </w:t>
      </w:r>
      <w:r w:rsidR="004936CA" w:rsidRPr="00EB20E6">
        <w:rPr>
          <w:sz w:val="18"/>
          <w:lang w:val="it-IT"/>
        </w:rPr>
        <w:t>COFI/2014/SBD.1. http://www.fao.org/cofi/33132-073d4e66d49249c881e35839647c8f499.pdf</w:t>
      </w:r>
      <w:r w:rsidR="004936CA" w:rsidRPr="00D54BCC">
        <w:rPr>
          <w:sz w:val="18"/>
          <w:lang w:val="it-IT"/>
        </w:rPr>
        <w:t>.</w:t>
      </w:r>
    </w:p>
  </w:footnote>
  <w:footnote w:id="3">
    <w:p w:rsidR="004936CA" w:rsidRPr="00D54BCC" w:rsidRDefault="004936CA" w:rsidP="007E628F">
      <w:pPr>
        <w:pStyle w:val="FootnoteText"/>
        <w:rPr>
          <w:lang w:val="fr-CH"/>
        </w:rPr>
      </w:pPr>
      <w:r>
        <w:rPr>
          <w:rStyle w:val="FootnoteReference"/>
          <w:sz w:val="18"/>
        </w:rPr>
        <w:footnoteRef/>
      </w:r>
      <w:r w:rsidRPr="00D54BCC">
        <w:rPr>
          <w:lang w:val="fr-CH"/>
        </w:rPr>
        <w:t xml:space="preserve"> </w:t>
      </w:r>
      <w:r w:rsidRPr="00D54BCC">
        <w:rPr>
          <w:sz w:val="18"/>
          <w:lang w:val="fr-CH"/>
        </w:rPr>
        <w:t xml:space="preserve">COFI:AQ/VII/2013/3. </w:t>
      </w:r>
      <w:r w:rsidRPr="00D54BCC">
        <w:rPr>
          <w:sz w:val="18"/>
          <w:szCs w:val="18"/>
          <w:lang w:val="fr-CH"/>
        </w:rPr>
        <w:t>http://www.fao.org/cofi/31371-09d0e98c6b557bf1ad7712b3603da5bb0.pdf.</w:t>
      </w:r>
    </w:p>
  </w:footnote>
  <w:footnote w:id="4">
    <w:p w:rsidR="004936CA" w:rsidRDefault="004936CA" w:rsidP="007E628F">
      <w:pPr>
        <w:spacing w:after="0"/>
      </w:pPr>
      <w:r>
        <w:rPr>
          <w:rStyle w:val="FootnoteReference"/>
          <w:sz w:val="18"/>
        </w:rPr>
        <w:footnoteRef/>
      </w:r>
      <w:r>
        <w:t xml:space="preserve"> </w:t>
      </w:r>
      <w:r>
        <w:rPr>
          <w:sz w:val="20"/>
        </w:rPr>
        <w:t>Вопросник был распространен среди членов ФАО по электронной почте через информационную систему "Кодекс-Аквакультура-вопросник" 5 марта 2015 года. В период между 16 марта и 5 апреля было разослано три напоминания о "регистрации" и четыре о "представлении".</w:t>
      </w:r>
      <w:r w:rsidR="00D54BCC">
        <w:rPr>
          <w:sz w:val="20"/>
        </w:rPr>
        <w:t xml:space="preserve"> </w:t>
      </w:r>
      <w:r>
        <w:rPr>
          <w:sz w:val="20"/>
        </w:rPr>
        <w:t xml:space="preserve">13 апреля было разослано дополнительное уведомление о продлении конечного срока представления до 20 апреля 2015 года. Вопросники принимались для включения в анализ до 27 апреля 2015 года. Пятнадцать вопросников были получены из Африки, 10 – из Азии, 18 – из Европы, 19 – Латинской Америки и Карибского бассейна, 5 – с Ближнего Востока, 2 – из Северной Америки и 2 – из юго-западной части Тихого океана (таблицы 1 и 2). Еще три страны </w:t>
      </w:r>
      <w:proofErr w:type="gramStart"/>
      <w:r>
        <w:rPr>
          <w:sz w:val="20"/>
        </w:rPr>
        <w:t>представили свои вопросники после данной даты и их уже нельзя было</w:t>
      </w:r>
      <w:proofErr w:type="gramEnd"/>
      <w:r>
        <w:rPr>
          <w:sz w:val="20"/>
        </w:rPr>
        <w:t xml:space="preserve"> включить в анализ.</w:t>
      </w:r>
    </w:p>
  </w:footnote>
  <w:footnote w:id="5">
    <w:p w:rsidR="004936CA" w:rsidRDefault="004936CA" w:rsidP="007E628F">
      <w:pPr>
        <w:pStyle w:val="FootnoteText"/>
      </w:pPr>
      <w:r>
        <w:rPr>
          <w:rStyle w:val="FootnoteReference"/>
          <w:sz w:val="18"/>
        </w:rPr>
        <w:footnoteRef/>
      </w:r>
      <w:r>
        <w:t xml:space="preserve"> Вопросник состоит из четырех разделов, которые оценивают надлежащее управление аквакультурой для обеспечения применения Кодекса.</w:t>
      </w:r>
      <w:r w:rsidR="00D54BCC">
        <w:t xml:space="preserve"> </w:t>
      </w:r>
      <w:proofErr w:type="gramStart"/>
      <w:r>
        <w:t xml:space="preserve">Часть 1 охватывает </w:t>
      </w:r>
      <w:r>
        <w:rPr>
          <w:b/>
        </w:rPr>
        <w:t>основные управленческие инструменты или меры (EMM)</w:t>
      </w:r>
      <w:r>
        <w:t xml:space="preserve">, включая наличие политики в области аквакультуры, плана развития аквакультуры и мер регулирования в поддержку такой политики; Часть 2 включает </w:t>
      </w:r>
      <w:r>
        <w:rPr>
          <w:b/>
        </w:rPr>
        <w:t>вспомогательные</w:t>
      </w:r>
      <w:r>
        <w:t xml:space="preserve"> механизмы </w:t>
      </w:r>
      <w:r>
        <w:rPr>
          <w:b/>
        </w:rPr>
        <w:t>(SM)</w:t>
      </w:r>
      <w:r>
        <w:t xml:space="preserve">, способствующие реализации мер, указанных в Части 1, а Часть 3 относится к механизмам </w:t>
      </w:r>
      <w:r>
        <w:rPr>
          <w:b/>
        </w:rPr>
        <w:t>усиления</w:t>
      </w:r>
      <w:r w:rsidR="00D54BCC">
        <w:rPr>
          <w:b/>
        </w:rPr>
        <w:t xml:space="preserve"> </w:t>
      </w:r>
      <w:r>
        <w:rPr>
          <w:b/>
        </w:rPr>
        <w:t>(EM),</w:t>
      </w:r>
      <w:r>
        <w:t xml:space="preserve"> повышающим эффективность реализации мер, указанных в частях 1 и 2.</w:t>
      </w:r>
      <w:proofErr w:type="gramEnd"/>
      <w:r w:rsidR="00D54BCC">
        <w:t xml:space="preserve"> </w:t>
      </w:r>
      <w:r>
        <w:t xml:space="preserve">Часть 4 оценивает </w:t>
      </w:r>
      <w:r>
        <w:rPr>
          <w:b/>
        </w:rPr>
        <w:t>потенциал</w:t>
      </w:r>
      <w:r>
        <w:t xml:space="preserve"> </w:t>
      </w:r>
      <w:r>
        <w:rPr>
          <w:b/>
        </w:rPr>
        <w:t>поддержки</w:t>
      </w:r>
      <w:r>
        <w:t xml:space="preserve"> </w:t>
      </w:r>
      <w:r>
        <w:rPr>
          <w:b/>
        </w:rPr>
        <w:t>(SCP)</w:t>
      </w:r>
      <w:r>
        <w:t>, то есть возможности государства по созданию базы знаний, информации, технологий и организации консультирования в поддержку разработки, применения, реализации, мониторинга и оценки мер, указанных в других частях.</w:t>
      </w:r>
    </w:p>
  </w:footnote>
  <w:footnote w:id="6">
    <w:p w:rsidR="004936CA" w:rsidRPr="00591701" w:rsidRDefault="004936CA" w:rsidP="007E628F">
      <w:pPr>
        <w:pStyle w:val="FootnoteText"/>
      </w:pPr>
      <w:r>
        <w:rPr>
          <w:rStyle w:val="FootnoteReference"/>
          <w:sz w:val="18"/>
        </w:rPr>
        <w:footnoteRef/>
      </w:r>
      <w:r>
        <w:t xml:space="preserve"> </w:t>
      </w:r>
      <w:proofErr w:type="gramStart"/>
      <w:r>
        <w:t xml:space="preserve">Ответы на каждый вопрос подвергались двум видам описательного анализа: процентное </w:t>
      </w:r>
      <w:r>
        <w:br/>
        <w:t>распределение стран-респондентов по выставленным баллам на общемировом уровне и по каждому региону, а также средние баллы на общемировом и региональном уровне (пункты 18, 19 и 21 COFI:AQ/VII/2013/3</w:t>
      </w:r>
      <w:r w:rsidRPr="00591701">
        <w:rPr>
          <w:sz w:val="18"/>
          <w:szCs w:val="18"/>
        </w:rPr>
        <w:t>).</w:t>
      </w:r>
      <w:r w:rsidR="00D54BCC">
        <w:rPr>
          <w:sz w:val="18"/>
          <w:szCs w:val="18"/>
        </w:rPr>
        <w:t xml:space="preserve"> </w:t>
      </w:r>
      <w:r w:rsidRPr="00591701">
        <w:t>http://www.fao.org/cofi/31371-09d0e98c6b557bf1ad7712b3603da5bb0.pdf)</w:t>
      </w:r>
      <w:r>
        <w:t>.</w:t>
      </w:r>
      <w:proofErr w:type="gramEnd"/>
    </w:p>
  </w:footnote>
  <w:footnote w:id="7">
    <w:p w:rsidR="004936CA" w:rsidRDefault="004936CA" w:rsidP="007E628F">
      <w:pPr>
        <w:pStyle w:val="FootnoteText"/>
      </w:pPr>
      <w:r>
        <w:rPr>
          <w:rStyle w:val="FootnoteReference"/>
          <w:sz w:val="18"/>
        </w:rPr>
        <w:footnoteRef/>
      </w:r>
      <w:r>
        <w:t xml:space="preserve"> </w:t>
      </w:r>
      <w:r>
        <w:rPr>
          <w:sz w:val="18"/>
        </w:rPr>
        <w:t>То есть более низкие оценки по SCP, ENM и SM</w:t>
      </w:r>
      <w:r w:rsidR="00D54BCC">
        <w:rPr>
          <w:sz w:val="18"/>
        </w:rPr>
        <w:t xml:space="preserve"> </w:t>
      </w:r>
      <w:r>
        <w:rPr>
          <w:sz w:val="18"/>
        </w:rPr>
        <w:t>соответствуют более низким оценкам по EMM.</w:t>
      </w:r>
    </w:p>
  </w:footnote>
  <w:footnote w:id="8">
    <w:p w:rsidR="004936CA" w:rsidRDefault="004936CA" w:rsidP="007E628F">
      <w:pPr>
        <w:pStyle w:val="FootnoteText"/>
      </w:pPr>
      <w:r>
        <w:rPr>
          <w:rStyle w:val="FootnoteReference"/>
          <w:sz w:val="18"/>
        </w:rPr>
        <w:footnoteRef/>
      </w:r>
      <w:r>
        <w:t xml:space="preserve"> </w:t>
      </w:r>
      <w:proofErr w:type="gramStart"/>
      <w:r>
        <w:rPr>
          <w:sz w:val="18"/>
        </w:rPr>
        <w:t xml:space="preserve">Каждая из этих оценок представляет собой среднюю из оценок, указанных государствами-членами по </w:t>
      </w:r>
      <w:r>
        <w:rPr>
          <w:b/>
          <w:sz w:val="18"/>
        </w:rPr>
        <w:t xml:space="preserve">политике, плану развития </w:t>
      </w:r>
      <w:r w:rsidRPr="00D54BCC">
        <w:rPr>
          <w:sz w:val="18"/>
        </w:rPr>
        <w:t>и</w:t>
      </w:r>
      <w:r>
        <w:rPr>
          <w:b/>
          <w:sz w:val="18"/>
        </w:rPr>
        <w:t xml:space="preserve"> мерам регулирования</w:t>
      </w:r>
      <w:r>
        <w:rPr>
          <w:sz w:val="18"/>
        </w:rPr>
        <w:t>, тогда как</w:t>
      </w:r>
      <w:r w:rsidR="00D54BCC">
        <w:rPr>
          <w:sz w:val="18"/>
        </w:rPr>
        <w:t xml:space="preserve"> </w:t>
      </w:r>
      <w:r>
        <w:rPr>
          <w:sz w:val="18"/>
        </w:rPr>
        <w:t xml:space="preserve">оценка последнего параметра является средним показателем оценок отдельных норм регулирования (пункты 18, 19 и 21 COFI:AQ/VII/2013/3. </w:t>
      </w:r>
      <w:r w:rsidRPr="00591701">
        <w:rPr>
          <w:sz w:val="18"/>
          <w:szCs w:val="18"/>
        </w:rPr>
        <w:t>http://www.fao.org/cofi/31371-09d0e98c6b557bf1ad7712b3603da5bb0.pdf)</w:t>
      </w:r>
      <w:r>
        <w:rPr>
          <w:sz w:val="18"/>
          <w:szCs w:val="18"/>
        </w:rPr>
        <w:t>.</w:t>
      </w:r>
      <w:proofErr w:type="gramEnd"/>
    </w:p>
  </w:footnote>
  <w:footnote w:id="9">
    <w:p w:rsidR="004936CA" w:rsidRDefault="004936CA" w:rsidP="007E628F">
      <w:pPr>
        <w:pStyle w:val="FootnoteText"/>
      </w:pPr>
      <w:r>
        <w:rPr>
          <w:rStyle w:val="FootnoteReference"/>
          <w:sz w:val="18"/>
        </w:rPr>
        <w:footnoteRef/>
      </w:r>
      <w:r>
        <w:t xml:space="preserve"> Рассчитывается как срединное значение баллов по 17 конкретным предметам регулирования, включенным в вопросник.</w:t>
      </w:r>
    </w:p>
  </w:footnote>
  <w:footnote w:id="10">
    <w:p w:rsidR="004936CA" w:rsidRPr="00EA5E75" w:rsidRDefault="004936CA" w:rsidP="007E628F">
      <w:pPr>
        <w:pStyle w:val="FootnoteText"/>
      </w:pPr>
      <w:r>
        <w:rPr>
          <w:rStyle w:val="FootnoteReference"/>
          <w:sz w:val="18"/>
        </w:rPr>
        <w:footnoteRef/>
      </w:r>
      <w:r>
        <w:t xml:space="preserve"> Государства-члены подчеркнули необходимость рассмотрения вопроса о аквакультурном зонировании и зарыблении, пункты 41 по 44 доклада о работе седьмой сессии Подкомитета КРХ по аквакультуре </w:t>
      </w:r>
      <w:r w:rsidRPr="00EA5E75">
        <w:t>http://www.fao.org/cofi/34732-0626a148c46f7b7516bf26ea0416af0bf.pdf</w:t>
      </w:r>
      <w:r>
        <w:t>.</w:t>
      </w:r>
    </w:p>
  </w:footnote>
  <w:footnote w:id="11">
    <w:p w:rsidR="004936CA" w:rsidRDefault="004936CA" w:rsidP="007E628F">
      <w:pPr>
        <w:pStyle w:val="FootnoteText"/>
      </w:pPr>
      <w:r>
        <w:rPr>
          <w:rStyle w:val="FootnoteReference"/>
          <w:sz w:val="18"/>
        </w:rPr>
        <w:footnoteRef/>
      </w:r>
      <w:r>
        <w:t xml:space="preserve"> ФАО. 2013. Развитие аквакультуры. 4. Экосистемный подход к аквакультуре. </w:t>
      </w:r>
      <w:r>
        <w:rPr>
          <w:i/>
        </w:rPr>
        <w:t xml:space="preserve">Техническое руководство ФАО по ответственному рыбному хозяйству. </w:t>
      </w:r>
      <w:r>
        <w:t xml:space="preserve">№ 5, Приложение 4. Рим, ФАО. 2013. Стр. 59 </w:t>
      </w:r>
      <w:r w:rsidRPr="00BD38A5">
        <w:t>http://www.fao.org/docrep/018/i1750r/i1750r.pdf</w:t>
      </w:r>
      <w:r>
        <w:t>.</w:t>
      </w:r>
    </w:p>
  </w:footnote>
  <w:footnote w:id="12">
    <w:p w:rsidR="004936CA" w:rsidRDefault="004936CA" w:rsidP="007E628F">
      <w:pPr>
        <w:pStyle w:val="FootnoteText"/>
      </w:pPr>
      <w:r>
        <w:rPr>
          <w:rStyle w:val="FootnoteReference"/>
          <w:sz w:val="18"/>
        </w:rPr>
        <w:footnoteRef/>
      </w:r>
      <w:r>
        <w:t xml:space="preserve"> Государства-члены рекомендовали пересмотреть вопросник после тестового </w:t>
      </w:r>
      <w:r w:rsidR="007C14A0">
        <w:t>применения</w:t>
      </w:r>
      <w:r>
        <w:t xml:space="preserve"> </w:t>
      </w:r>
      <w:r w:rsidR="007C14A0">
        <w:t>в</w:t>
      </w:r>
      <w:r>
        <w:t xml:space="preserve"> 2013 и 2015 годах (пункт 25 доклада о работе шестой сессии Подкомитета КРХ по аквакультуре</w:t>
      </w:r>
      <w:r w:rsidR="00D54BCC">
        <w:t xml:space="preserve"> </w:t>
      </w:r>
      <w:r w:rsidRPr="00CA208C">
        <w:t>http://www.fao.org/docrep/016/i2765r/i2765r.pdf</w:t>
      </w:r>
      <w: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CA" w:rsidRPr="001A0BFF" w:rsidRDefault="004936CA" w:rsidP="00EE7550">
    <w:pPr>
      <w:pStyle w:val="Underlined"/>
    </w:pPr>
    <w:r>
      <w:fldChar w:fldCharType="begin"/>
    </w:r>
    <w:r>
      <w:instrText xml:space="preserve"> PAGE  \* Arabic  \* MERGEFORMAT </w:instrText>
    </w:r>
    <w:r>
      <w:fldChar w:fldCharType="separate"/>
    </w:r>
    <w:r w:rsidR="005B472C">
      <w:rPr>
        <w:noProof/>
      </w:rPr>
      <w:t>14</w:t>
    </w:r>
    <w:r>
      <w:fldChar w:fldCharType="end"/>
    </w:r>
    <w:r>
      <w:ptab w:relativeTo="margin" w:alignment="right" w:leader="none"/>
    </w:r>
    <w:bookmarkStart w:id="3" w:name="EvenIdentificationBookmark"/>
    <w:r>
      <w:t xml:space="preserve">COFI:AQ/VIII/2015/3 </w:t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CA" w:rsidRPr="001A0BFF" w:rsidRDefault="00CF08A6" w:rsidP="00EE7550">
    <w:pPr>
      <w:pStyle w:val="Underlined"/>
    </w:pPr>
    <w:r>
      <w:t>COFI:AQ/VIII/2015/3</w:t>
    </w:r>
    <w:r w:rsidRPr="00CF08A6">
      <w:tab/>
    </w:r>
    <w:r w:rsidRPr="00CF08A6">
      <w:tab/>
    </w:r>
    <w:r w:rsidRPr="00CF08A6">
      <w:tab/>
    </w:r>
    <w:r w:rsidRPr="00CF08A6">
      <w:tab/>
    </w:r>
    <w:r w:rsidRPr="00CF08A6">
      <w:tab/>
    </w:r>
    <w:r w:rsidRPr="00CF08A6">
      <w:tab/>
    </w:r>
    <w:r w:rsidRPr="00CF08A6">
      <w:tab/>
    </w:r>
    <w:r w:rsidRPr="00CF08A6">
      <w:tab/>
    </w:r>
    <w:r w:rsidRPr="00CF08A6">
      <w:tab/>
    </w:r>
    <w:r>
      <w:rPr>
        <w:lang w:val="en-US"/>
      </w:rPr>
      <w:t xml:space="preserve">     </w:t>
    </w:r>
    <w:r w:rsidR="00B8537E">
      <w:rPr>
        <w:lang w:val="en-US"/>
      </w:rPr>
      <w:t xml:space="preserve">           </w:t>
    </w:r>
    <w:r w:rsidR="004936CA">
      <w:fldChar w:fldCharType="begin"/>
    </w:r>
    <w:r w:rsidR="004936CA">
      <w:instrText xml:space="preserve"> PAGE  \* Arabic  \* MERGEFORMAT </w:instrText>
    </w:r>
    <w:r w:rsidR="004936CA">
      <w:fldChar w:fldCharType="separate"/>
    </w:r>
    <w:r w:rsidR="005B472C">
      <w:rPr>
        <w:noProof/>
      </w:rPr>
      <w:t>15</w:t>
    </w:r>
    <w:r w:rsidR="004936CA">
      <w:fldChar w:fldCharType="end"/>
    </w:r>
    <w:r w:rsidRPr="00CF08A6">
      <w:t xml:space="preserve">       </w:t>
    </w:r>
  </w:p>
  <w:p w:rsidR="004936CA" w:rsidRPr="00004407" w:rsidRDefault="004936CA" w:rsidP="00EE7550">
    <w:pPr>
      <w:pStyle w:val="Header"/>
      <w:rPr>
        <w:rStyle w:val="PageNumbe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CA" w:rsidRPr="00734C44" w:rsidRDefault="004936CA" w:rsidP="00EE7550">
    <w:pPr>
      <w:pStyle w:val="LanguageSymbol"/>
      <w:framePr w:wrap="around"/>
    </w:pPr>
    <w:bookmarkStart w:id="4" w:name="LanguageSymbolBookmark"/>
    <w:r>
      <w:t>R</w:t>
    </w:r>
  </w:p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6"/>
    </w:tblGrid>
    <w:tr w:rsidR="004936CA" w:rsidTr="00EE7550">
      <w:trPr>
        <w:jc w:val="center"/>
      </w:trPr>
      <w:tc>
        <w:tcPr>
          <w:tcW w:w="2500" w:type="pct"/>
          <w:noWrap/>
          <w:tcMar>
            <w:left w:w="0" w:type="dxa"/>
          </w:tcMar>
        </w:tcPr>
        <w:p w:rsidR="004936CA" w:rsidRDefault="004936CA" w:rsidP="00EE7550">
          <w:bookmarkStart w:id="5" w:name="PublicationDateBookmark"/>
          <w:bookmarkEnd w:id="4"/>
          <w:r>
            <w:t xml:space="preserve">Июль 2015 года </w:t>
          </w:r>
          <w:bookmarkEnd w:id="5"/>
        </w:p>
      </w:tc>
      <w:tc>
        <w:tcPr>
          <w:tcW w:w="2500" w:type="pct"/>
          <w:noWrap/>
          <w:tcMar>
            <w:right w:w="0" w:type="dxa"/>
          </w:tcMar>
        </w:tcPr>
        <w:p w:rsidR="004936CA" w:rsidRDefault="004936CA" w:rsidP="00EE7550">
          <w:pPr>
            <w:jc w:val="right"/>
          </w:pPr>
          <w:bookmarkStart w:id="6" w:name="FirstCoverIdentificationBookmark"/>
          <w:r>
            <w:t xml:space="preserve">COFI:AQ/VIII/2015/3 </w:t>
          </w:r>
          <w:bookmarkEnd w:id="6"/>
        </w:p>
      </w:tc>
    </w:tr>
  </w:tbl>
  <w:p w:rsidR="004936CA" w:rsidRPr="008E01CD" w:rsidRDefault="004936CA" w:rsidP="00EE7550">
    <w:pPr>
      <w:pBdr>
        <w:bottom w:val="single" w:sz="12" w:space="0" w:color="auto"/>
      </w:pBdr>
      <w:contextualSpacing/>
      <w:rPr>
        <w:sz w:val="4"/>
      </w:rPr>
    </w:pPr>
  </w:p>
  <w:p w:rsidR="004936CA" w:rsidRDefault="004936CA" w:rsidP="00EE7550">
    <w:pPr>
      <w:jc w:val="center"/>
    </w:pPr>
    <w:bookmarkStart w:id="7" w:name="LogoBookmark"/>
    <w:r>
      <w:rPr>
        <w:noProof/>
        <w:lang w:val="en-GB" w:eastAsia="en-GB" w:bidi="ar-SA"/>
      </w:rPr>
      <w:drawing>
        <wp:inline distT="0" distB="0" distL="0" distR="0" wp14:anchorId="35BFB82E" wp14:editId="17098F70">
          <wp:extent cx="5648325" cy="7810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7"/>
    <w:r w:rsidR="00D54BC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6F4C482"/>
    <w:lvl w:ilvl="0">
      <w:start w:val="1"/>
      <w:numFmt w:val="upperRoman"/>
      <w:pStyle w:val="Heading1"/>
      <w:lvlText w:val="%1."/>
      <w:legacy w:legacy="1" w:legacySpace="0" w:legacyIndent="708"/>
      <w:lvlJc w:val="left"/>
      <w:pPr>
        <w:ind w:left="709" w:hanging="708"/>
      </w:pPr>
      <w:rPr>
        <w:rFonts w:cs="Times New Roman"/>
      </w:rPr>
    </w:lvl>
    <w:lvl w:ilvl="1">
      <w:start w:val="1"/>
      <w:numFmt w:val="upperLetter"/>
      <w:pStyle w:val="Heading2"/>
      <w:lvlText w:val="%2."/>
      <w:legacy w:legacy="1" w:legacySpace="0" w:legacyIndent="708"/>
      <w:lvlJc w:val="left"/>
      <w:pPr>
        <w:ind w:left="709" w:hanging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hanging="708"/>
      </w:pPr>
      <w:rPr>
        <w:rFonts w:cs="Times New Roman"/>
      </w:rPr>
    </w:lvl>
  </w:abstractNum>
  <w:abstractNum w:abstractNumId="1">
    <w:nsid w:val="40C16C4E"/>
    <w:multiLevelType w:val="hybridMultilevel"/>
    <w:tmpl w:val="B750EC1C"/>
    <w:lvl w:ilvl="0" w:tplc="90BE5F7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A4880"/>
    <w:multiLevelType w:val="multilevel"/>
    <w:tmpl w:val="09DCB70A"/>
    <w:lvl w:ilvl="0">
      <w:start w:val="1"/>
      <w:numFmt w:val="decimal"/>
      <w:pStyle w:val="NewPara"/>
      <w:lvlText w:val="%1."/>
      <w:lvlJc w:val="left"/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32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04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594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28F"/>
    <w:rsid w:val="00080BF8"/>
    <w:rsid w:val="000A2570"/>
    <w:rsid w:val="000C0120"/>
    <w:rsid w:val="000E22C9"/>
    <w:rsid w:val="000E51C1"/>
    <w:rsid w:val="0012156A"/>
    <w:rsid w:val="001546E4"/>
    <w:rsid w:val="00155C82"/>
    <w:rsid w:val="001573EC"/>
    <w:rsid w:val="001832CB"/>
    <w:rsid w:val="00187C3B"/>
    <w:rsid w:val="00213F98"/>
    <w:rsid w:val="00225C4A"/>
    <w:rsid w:val="0027003C"/>
    <w:rsid w:val="0028674B"/>
    <w:rsid w:val="0028759C"/>
    <w:rsid w:val="002956F9"/>
    <w:rsid w:val="002A1953"/>
    <w:rsid w:val="002D1BB0"/>
    <w:rsid w:val="00313961"/>
    <w:rsid w:val="0035046D"/>
    <w:rsid w:val="003557C5"/>
    <w:rsid w:val="003E4CDC"/>
    <w:rsid w:val="004124D6"/>
    <w:rsid w:val="00412C07"/>
    <w:rsid w:val="00432984"/>
    <w:rsid w:val="00437A60"/>
    <w:rsid w:val="004936CA"/>
    <w:rsid w:val="004C65F0"/>
    <w:rsid w:val="004D47C5"/>
    <w:rsid w:val="004D5826"/>
    <w:rsid w:val="00502B07"/>
    <w:rsid w:val="00591701"/>
    <w:rsid w:val="005B472C"/>
    <w:rsid w:val="006503B9"/>
    <w:rsid w:val="0065510F"/>
    <w:rsid w:val="00697397"/>
    <w:rsid w:val="006C1D3C"/>
    <w:rsid w:val="006C7D86"/>
    <w:rsid w:val="007535C4"/>
    <w:rsid w:val="007752BC"/>
    <w:rsid w:val="007B0809"/>
    <w:rsid w:val="007C14A0"/>
    <w:rsid w:val="007E538E"/>
    <w:rsid w:val="007E628F"/>
    <w:rsid w:val="0085321F"/>
    <w:rsid w:val="00864FDF"/>
    <w:rsid w:val="008768F8"/>
    <w:rsid w:val="00880042"/>
    <w:rsid w:val="0089509D"/>
    <w:rsid w:val="008B41EF"/>
    <w:rsid w:val="008B59DF"/>
    <w:rsid w:val="00906F8A"/>
    <w:rsid w:val="00945CD7"/>
    <w:rsid w:val="00962ED0"/>
    <w:rsid w:val="009738C6"/>
    <w:rsid w:val="009B2015"/>
    <w:rsid w:val="009C3AC6"/>
    <w:rsid w:val="009C539F"/>
    <w:rsid w:val="00A00EFB"/>
    <w:rsid w:val="00A807BF"/>
    <w:rsid w:val="00A844A7"/>
    <w:rsid w:val="00AB7919"/>
    <w:rsid w:val="00AD54A1"/>
    <w:rsid w:val="00AF4B6D"/>
    <w:rsid w:val="00AF6F42"/>
    <w:rsid w:val="00B04572"/>
    <w:rsid w:val="00B274C6"/>
    <w:rsid w:val="00B515EC"/>
    <w:rsid w:val="00B51ACC"/>
    <w:rsid w:val="00B53CC9"/>
    <w:rsid w:val="00B56FDC"/>
    <w:rsid w:val="00B7103F"/>
    <w:rsid w:val="00B8537E"/>
    <w:rsid w:val="00BA12BD"/>
    <w:rsid w:val="00BB2518"/>
    <w:rsid w:val="00BB30C9"/>
    <w:rsid w:val="00BD38A5"/>
    <w:rsid w:val="00BE79C6"/>
    <w:rsid w:val="00BF3A1B"/>
    <w:rsid w:val="00BF4E67"/>
    <w:rsid w:val="00C03CED"/>
    <w:rsid w:val="00C67D81"/>
    <w:rsid w:val="00C77574"/>
    <w:rsid w:val="00C77D44"/>
    <w:rsid w:val="00C82A82"/>
    <w:rsid w:val="00CA208C"/>
    <w:rsid w:val="00CA3E63"/>
    <w:rsid w:val="00CA4059"/>
    <w:rsid w:val="00CF08A6"/>
    <w:rsid w:val="00D107A0"/>
    <w:rsid w:val="00D33128"/>
    <w:rsid w:val="00D52275"/>
    <w:rsid w:val="00D54BCC"/>
    <w:rsid w:val="00D634D5"/>
    <w:rsid w:val="00D80D13"/>
    <w:rsid w:val="00E0711A"/>
    <w:rsid w:val="00E21BCE"/>
    <w:rsid w:val="00E60DD7"/>
    <w:rsid w:val="00E70F39"/>
    <w:rsid w:val="00E8741F"/>
    <w:rsid w:val="00EA5E75"/>
    <w:rsid w:val="00EB20E6"/>
    <w:rsid w:val="00EE7550"/>
    <w:rsid w:val="00F35759"/>
    <w:rsid w:val="00F92320"/>
    <w:rsid w:val="00F92EC7"/>
    <w:rsid w:val="00FD1DEF"/>
    <w:rsid w:val="00FD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628F"/>
    <w:pPr>
      <w:spacing w:line="240" w:lineRule="auto"/>
    </w:pPr>
    <w:rPr>
      <w:rFonts w:ascii="Times New Roman" w:eastAsia="Times New Roman" w:hAnsi="Times New Roman" w:cs="Akhbar MT"/>
      <w:szCs w:val="30"/>
    </w:rPr>
  </w:style>
  <w:style w:type="paragraph" w:styleId="Heading1">
    <w:name w:val="heading 1"/>
    <w:aliases w:val="Part"/>
    <w:basedOn w:val="Normal"/>
    <w:next w:val="Heading2"/>
    <w:link w:val="Heading1Char"/>
    <w:uiPriority w:val="9"/>
    <w:qFormat/>
    <w:rsid w:val="007E628F"/>
    <w:pPr>
      <w:keepNext/>
      <w:numPr>
        <w:numId w:val="1"/>
      </w:numPr>
      <w:spacing w:before="240"/>
      <w:jc w:val="center"/>
      <w:outlineLvl w:val="0"/>
    </w:pPr>
    <w:rPr>
      <w:rFonts w:ascii="Times New Roman Bold" w:hAnsi="Times New Roman Bold"/>
      <w:b/>
      <w:bCs/>
      <w:sz w:val="26"/>
      <w:szCs w:val="36"/>
    </w:rPr>
  </w:style>
  <w:style w:type="paragraph" w:styleId="Heading2">
    <w:name w:val="heading 2"/>
    <w:aliases w:val="Chpt"/>
    <w:basedOn w:val="Normal"/>
    <w:next w:val="Heading3"/>
    <w:link w:val="Heading2Char"/>
    <w:uiPriority w:val="9"/>
    <w:qFormat/>
    <w:rsid w:val="007E628F"/>
    <w:pPr>
      <w:keepNext/>
      <w:numPr>
        <w:ilvl w:val="1"/>
        <w:numId w:val="1"/>
      </w:numPr>
      <w:spacing w:before="240"/>
      <w:jc w:val="center"/>
      <w:outlineLvl w:val="1"/>
    </w:pPr>
    <w:rPr>
      <w:rFonts w:ascii="Times New Roman Bold" w:hAnsi="Times New Roman Bold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2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F98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3F98"/>
    <w:rPr>
      <w:rFonts w:ascii="Times New Roman" w:hAnsi="Times New Roman"/>
      <w:sz w:val="24"/>
      <w:lang w:val="ru-RU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F98"/>
    <w:rPr>
      <w:rFonts w:ascii="Times New Roman" w:hAnsi="Times New Roman"/>
      <w:sz w:val="24"/>
      <w:lang w:val="ru-RU"/>
    </w:rPr>
  </w:style>
  <w:style w:type="character" w:customStyle="1" w:styleId="Heading1Char">
    <w:name w:val="Heading 1 Char"/>
    <w:aliases w:val="Part Char"/>
    <w:basedOn w:val="DefaultParagraphFont"/>
    <w:link w:val="Heading1"/>
    <w:uiPriority w:val="9"/>
    <w:rsid w:val="007E628F"/>
    <w:rPr>
      <w:rFonts w:ascii="Times New Roman Bold" w:eastAsia="Times New Roman" w:hAnsi="Times New Roman Bold" w:cs="Akhbar MT"/>
      <w:b/>
      <w:bCs/>
      <w:sz w:val="26"/>
      <w:szCs w:val="36"/>
      <w:lang w:val="ru-RU" w:eastAsia="ru-RU"/>
    </w:rPr>
  </w:style>
  <w:style w:type="character" w:customStyle="1" w:styleId="Heading2Char">
    <w:name w:val="Heading 2 Char"/>
    <w:aliases w:val="Chpt Char"/>
    <w:basedOn w:val="DefaultParagraphFont"/>
    <w:link w:val="Heading2"/>
    <w:uiPriority w:val="9"/>
    <w:rsid w:val="007E628F"/>
    <w:rPr>
      <w:rFonts w:ascii="Times New Roman Bold" w:eastAsia="Times New Roman" w:hAnsi="Times New Roman Bold" w:cs="Akhbar MT"/>
      <w:b/>
      <w:bCs/>
      <w:sz w:val="24"/>
      <w:szCs w:val="32"/>
      <w:lang w:val="ru-RU" w:eastAsia="ru-RU"/>
    </w:rPr>
  </w:style>
  <w:style w:type="paragraph" w:customStyle="1" w:styleId="Note">
    <w:name w:val="Note"/>
    <w:basedOn w:val="Normal"/>
    <w:link w:val="NoteChar"/>
    <w:autoRedefine/>
    <w:qFormat/>
    <w:rsid w:val="007E628F"/>
    <w:pPr>
      <w:pBdr>
        <w:top w:val="single" w:sz="4" w:space="0" w:color="auto"/>
      </w:pBdr>
      <w:jc w:val="center"/>
    </w:pPr>
    <w:rPr>
      <w:i/>
      <w:sz w:val="20"/>
      <w:szCs w:val="28"/>
    </w:rPr>
  </w:style>
  <w:style w:type="character" w:customStyle="1" w:styleId="NoteChar">
    <w:name w:val="Note Char"/>
    <w:basedOn w:val="DefaultParagraphFont"/>
    <w:link w:val="Note"/>
    <w:locked/>
    <w:rsid w:val="007E628F"/>
    <w:rPr>
      <w:rFonts w:ascii="Times New Roman" w:eastAsia="Times New Roman" w:hAnsi="Times New Roman" w:cs="Akhbar MT"/>
      <w:i/>
      <w:sz w:val="20"/>
      <w:szCs w:val="28"/>
      <w:lang w:val="ru-RU" w:eastAsia="ru-RU"/>
    </w:rPr>
  </w:style>
  <w:style w:type="paragraph" w:customStyle="1" w:styleId="DocTitle">
    <w:name w:val="DocTitle"/>
    <w:basedOn w:val="Normal"/>
    <w:link w:val="DocTitleChar"/>
    <w:qFormat/>
    <w:rsid w:val="007E628F"/>
    <w:pPr>
      <w:spacing w:before="240" w:after="360"/>
      <w:jc w:val="center"/>
    </w:pPr>
    <w:rPr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DefaultParagraphFont"/>
    <w:link w:val="DocTitle"/>
    <w:locked/>
    <w:rsid w:val="007E628F"/>
    <w:rPr>
      <w:rFonts w:ascii="Times New Roman" w:eastAsia="Times New Roman" w:hAnsi="Times New Roman" w:cs="Akhbar MT"/>
      <w:bCs/>
      <w:color w:val="7F7F7F" w:themeColor="text1" w:themeTint="80"/>
      <w:sz w:val="56"/>
      <w:szCs w:val="72"/>
      <w:lang w:val="ru-RU" w:eastAsia="ru-RU"/>
    </w:rPr>
  </w:style>
  <w:style w:type="paragraph" w:customStyle="1" w:styleId="NewPara">
    <w:name w:val="NewPara"/>
    <w:basedOn w:val="ListParagraph"/>
    <w:link w:val="NewParaChar"/>
    <w:qFormat/>
    <w:rsid w:val="007E628F"/>
    <w:pPr>
      <w:numPr>
        <w:numId w:val="2"/>
      </w:numPr>
      <w:ind w:left="0"/>
      <w:contextualSpacing w:val="0"/>
    </w:pPr>
  </w:style>
  <w:style w:type="character" w:customStyle="1" w:styleId="NewParaChar">
    <w:name w:val="NewPara Char"/>
    <w:basedOn w:val="DefaultParagraphFont"/>
    <w:link w:val="NewPara"/>
    <w:locked/>
    <w:rsid w:val="007E628F"/>
    <w:rPr>
      <w:rFonts w:ascii="Times New Roman" w:eastAsia="Times New Roman" w:hAnsi="Times New Roman" w:cs="Akhbar MT"/>
      <w:szCs w:val="30"/>
      <w:lang w:val="ru-RU" w:eastAsia="ru-RU"/>
    </w:rPr>
  </w:style>
  <w:style w:type="paragraph" w:customStyle="1" w:styleId="BulletList">
    <w:name w:val="Bullet List"/>
    <w:basedOn w:val="ListParagraph"/>
    <w:link w:val="BulletListChar"/>
    <w:qFormat/>
    <w:rsid w:val="007E628F"/>
    <w:pPr>
      <w:numPr>
        <w:numId w:val="3"/>
      </w:numPr>
      <w:ind w:left="714" w:hanging="357"/>
    </w:pPr>
  </w:style>
  <w:style w:type="character" w:customStyle="1" w:styleId="BulletListChar">
    <w:name w:val="Bullet List Char"/>
    <w:basedOn w:val="DefaultParagraphFont"/>
    <w:link w:val="BulletList"/>
    <w:locked/>
    <w:rsid w:val="007E628F"/>
    <w:rPr>
      <w:rFonts w:ascii="Times New Roman" w:eastAsia="Times New Roman" w:hAnsi="Times New Roman" w:cs="Akhbar MT"/>
      <w:szCs w:val="30"/>
      <w:lang w:val="ru-RU" w:eastAsia="ru-RU"/>
    </w:rPr>
  </w:style>
  <w:style w:type="paragraph" w:customStyle="1" w:styleId="SummaryBoxText">
    <w:name w:val="Summary Box Text"/>
    <w:basedOn w:val="Normal"/>
    <w:link w:val="SummaryBoxTextChar"/>
    <w:qFormat/>
    <w:rsid w:val="007E628F"/>
    <w:pPr>
      <w:spacing w:line="360" w:lineRule="auto"/>
    </w:pPr>
  </w:style>
  <w:style w:type="character" w:customStyle="1" w:styleId="SummaryBoxTextChar">
    <w:name w:val="Summary Box Text Char"/>
    <w:basedOn w:val="DefaultParagraphFont"/>
    <w:link w:val="SummaryBoxText"/>
    <w:locked/>
    <w:rsid w:val="007E628F"/>
    <w:rPr>
      <w:rFonts w:ascii="Times New Roman" w:eastAsia="Times New Roman" w:hAnsi="Times New Roman" w:cs="Akhbar MT"/>
      <w:szCs w:val="30"/>
      <w:lang w:val="ru-RU" w:eastAsia="ru-RU"/>
    </w:rPr>
  </w:style>
  <w:style w:type="paragraph" w:customStyle="1" w:styleId="Underlined">
    <w:name w:val="Underlined"/>
    <w:basedOn w:val="Normal"/>
    <w:link w:val="UnderlinedChar"/>
    <w:qFormat/>
    <w:rsid w:val="007E628F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DefaultParagraphFont"/>
    <w:link w:val="Underlined"/>
    <w:locked/>
    <w:rsid w:val="007E628F"/>
    <w:rPr>
      <w:rFonts w:ascii="Times New Roman" w:eastAsia="Times New Roman" w:hAnsi="Times New Roman" w:cs="Akhbar MT"/>
      <w:szCs w:val="30"/>
      <w:lang w:val="ru-RU" w:eastAsia="ru-RU"/>
    </w:rPr>
  </w:style>
  <w:style w:type="paragraph" w:customStyle="1" w:styleId="MeetingInfo">
    <w:name w:val="MeetingInfo"/>
    <w:basedOn w:val="Normal"/>
    <w:link w:val="MeetingInfoChar"/>
    <w:qFormat/>
    <w:rsid w:val="007E628F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MeetingInfoChar">
    <w:name w:val="MeetingInfo Char"/>
    <w:basedOn w:val="DefaultParagraphFont"/>
    <w:link w:val="MeetingInfo"/>
    <w:locked/>
    <w:rsid w:val="007E628F"/>
    <w:rPr>
      <w:rFonts w:ascii="Times New Roman Bold" w:eastAsia="Times New Roman" w:hAnsi="Times New Roman Bold" w:cs="Akhbar MT"/>
      <w:b/>
      <w:bCs/>
      <w:sz w:val="28"/>
      <w:szCs w:val="36"/>
      <w:lang w:val="ru-RU" w:eastAsia="ru-RU"/>
    </w:rPr>
  </w:style>
  <w:style w:type="paragraph" w:customStyle="1" w:styleId="Hidden">
    <w:name w:val="Hidden"/>
    <w:basedOn w:val="Normal"/>
    <w:link w:val="HiddenChar"/>
    <w:qFormat/>
    <w:rsid w:val="007E628F"/>
    <w:pPr>
      <w:spacing w:line="20" w:lineRule="exact"/>
    </w:pPr>
    <w:rPr>
      <w:sz w:val="2"/>
    </w:rPr>
  </w:style>
  <w:style w:type="character" w:customStyle="1" w:styleId="HiddenChar">
    <w:name w:val="Hidden Char"/>
    <w:basedOn w:val="DefaultParagraphFont"/>
    <w:link w:val="Hidden"/>
    <w:locked/>
    <w:rsid w:val="007E628F"/>
    <w:rPr>
      <w:rFonts w:ascii="Times New Roman" w:eastAsia="Times New Roman" w:hAnsi="Times New Roman" w:cs="Akhbar MT"/>
      <w:sz w:val="2"/>
      <w:szCs w:val="30"/>
      <w:lang w:val="ru-RU" w:eastAsia="ru-RU"/>
    </w:rPr>
  </w:style>
  <w:style w:type="paragraph" w:customStyle="1" w:styleId="LanguageSymbol">
    <w:name w:val="LanguageSymbol"/>
    <w:basedOn w:val="Normal"/>
    <w:link w:val="LanguageSymbolChar"/>
    <w:qFormat/>
    <w:rsid w:val="007E628F"/>
    <w:pPr>
      <w:framePr w:h="655" w:hRule="exact" w:hSpace="181" w:wrap="around" w:vAnchor="page" w:hAnchor="page" w:x="10667" w:y="899"/>
    </w:pPr>
    <w:rPr>
      <w:b/>
      <w:color w:val="808080"/>
      <w:sz w:val="56"/>
      <w:szCs w:val="56"/>
    </w:rPr>
  </w:style>
  <w:style w:type="character" w:customStyle="1" w:styleId="LanguageSymbolChar">
    <w:name w:val="LanguageSymbol Char"/>
    <w:basedOn w:val="DefaultParagraphFont"/>
    <w:link w:val="LanguageSymbol"/>
    <w:locked/>
    <w:rsid w:val="007E628F"/>
    <w:rPr>
      <w:rFonts w:ascii="Times New Roman" w:eastAsia="Times New Roman" w:hAnsi="Times New Roman" w:cs="Akhbar MT"/>
      <w:b/>
      <w:color w:val="808080"/>
      <w:sz w:val="56"/>
      <w:szCs w:val="56"/>
      <w:lang w:val="ru-RU" w:eastAsia="ru-RU"/>
    </w:rPr>
  </w:style>
  <w:style w:type="table" w:styleId="TableGrid">
    <w:name w:val="Table Grid"/>
    <w:basedOn w:val="TableNormal"/>
    <w:uiPriority w:val="59"/>
    <w:rsid w:val="007E628F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E628F"/>
    <w:rPr>
      <w:rFonts w:cs="Times New Roman"/>
    </w:rPr>
  </w:style>
  <w:style w:type="paragraph" w:styleId="FootnoteText">
    <w:name w:val="footnote text"/>
    <w:aliases w:val="Footnote Text Char1,Footnote Text Char Char,ft Char Char,ft Char1,ft Char,ft"/>
    <w:basedOn w:val="Normal"/>
    <w:link w:val="FootnoteTextChar"/>
    <w:uiPriority w:val="99"/>
    <w:unhideWhenUsed/>
    <w:rsid w:val="007E628F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Text Char1 Char,Footnote Text Char Char Char,ft Char Char Char,ft Char1 Char,ft Char Char1,ft Char2"/>
    <w:basedOn w:val="DefaultParagraphFont"/>
    <w:link w:val="FootnoteText"/>
    <w:uiPriority w:val="99"/>
    <w:rsid w:val="007E628F"/>
    <w:rPr>
      <w:rFonts w:ascii="Times New Roman" w:eastAsia="Times New Roman" w:hAnsi="Times New Roman" w:cs="Akhbar MT"/>
      <w:sz w:val="20"/>
      <w:szCs w:val="20"/>
      <w:lang w:val="ru-RU" w:eastAsia="ru-RU"/>
    </w:rPr>
  </w:style>
  <w:style w:type="character" w:styleId="FootnoteReference">
    <w:name w:val="footnote reference"/>
    <w:aliases w:val="stylish,16 Point,Superscript 6 Point,Referencia nota al pie,EN Footnote Reference,Times 10 Point,Exposant 3 Point,Footnote symbol,Footnote reference number,note TESI,SUPERS,number,no...,Footnote,Footnote Reference/"/>
    <w:basedOn w:val="DefaultParagraphFont"/>
    <w:uiPriority w:val="99"/>
    <w:rsid w:val="007E628F"/>
    <w:rPr>
      <w:rFonts w:ascii="Book Antiqua" w:eastAsia="SimSun" w:hAnsi="Book Antiqua"/>
      <w:smallCaps/>
      <w:sz w:val="24"/>
      <w:vertAlign w:val="superscript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28F"/>
    <w:rPr>
      <w:rFonts w:asciiTheme="majorHAnsi" w:eastAsiaTheme="majorEastAsia" w:hAnsiTheme="majorHAnsi" w:cstheme="majorBidi"/>
      <w:b/>
      <w:bCs/>
      <w:color w:val="4F81BD" w:themeColor="accent1"/>
      <w:szCs w:val="30"/>
      <w:lang w:val="ru-RU" w:eastAsia="ru-RU"/>
    </w:rPr>
  </w:style>
  <w:style w:type="paragraph" w:styleId="ListParagraph">
    <w:name w:val="List Paragraph"/>
    <w:basedOn w:val="Normal"/>
    <w:uiPriority w:val="34"/>
    <w:qFormat/>
    <w:rsid w:val="007E62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28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28F"/>
    <w:rPr>
      <w:rFonts w:ascii="Tahoma" w:eastAsia="Times New Roman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BF3A1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2E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E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ED0"/>
    <w:rPr>
      <w:rFonts w:ascii="Times New Roman" w:eastAsia="Times New Roman" w:hAnsi="Times New Roman" w:cs="Akhbar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ED0"/>
    <w:rPr>
      <w:rFonts w:ascii="Times New Roman" w:eastAsia="Times New Roman" w:hAnsi="Times New Roman" w:cs="Akhbar M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79C6"/>
    <w:pPr>
      <w:spacing w:after="0" w:line="240" w:lineRule="auto"/>
    </w:pPr>
    <w:rPr>
      <w:rFonts w:ascii="Times New Roman" w:eastAsia="Times New Roman" w:hAnsi="Times New Roman" w:cs="Akhbar MT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628F"/>
    <w:pPr>
      <w:spacing w:line="240" w:lineRule="auto"/>
    </w:pPr>
    <w:rPr>
      <w:rFonts w:ascii="Times New Roman" w:eastAsia="Times New Roman" w:hAnsi="Times New Roman" w:cs="Akhbar MT"/>
      <w:szCs w:val="30"/>
    </w:rPr>
  </w:style>
  <w:style w:type="paragraph" w:styleId="Heading1">
    <w:name w:val="heading 1"/>
    <w:aliases w:val="Part"/>
    <w:basedOn w:val="Normal"/>
    <w:next w:val="Heading2"/>
    <w:link w:val="Heading1Char"/>
    <w:uiPriority w:val="9"/>
    <w:qFormat/>
    <w:rsid w:val="007E628F"/>
    <w:pPr>
      <w:keepNext/>
      <w:numPr>
        <w:numId w:val="1"/>
      </w:numPr>
      <w:spacing w:before="240"/>
      <w:jc w:val="center"/>
      <w:outlineLvl w:val="0"/>
    </w:pPr>
    <w:rPr>
      <w:rFonts w:ascii="Times New Roman Bold" w:hAnsi="Times New Roman Bold"/>
      <w:b/>
      <w:bCs/>
      <w:sz w:val="26"/>
      <w:szCs w:val="36"/>
    </w:rPr>
  </w:style>
  <w:style w:type="paragraph" w:styleId="Heading2">
    <w:name w:val="heading 2"/>
    <w:aliases w:val="Chpt"/>
    <w:basedOn w:val="Normal"/>
    <w:next w:val="Heading3"/>
    <w:link w:val="Heading2Char"/>
    <w:uiPriority w:val="9"/>
    <w:qFormat/>
    <w:rsid w:val="007E628F"/>
    <w:pPr>
      <w:keepNext/>
      <w:numPr>
        <w:ilvl w:val="1"/>
        <w:numId w:val="1"/>
      </w:numPr>
      <w:spacing w:before="240"/>
      <w:jc w:val="center"/>
      <w:outlineLvl w:val="1"/>
    </w:pPr>
    <w:rPr>
      <w:rFonts w:ascii="Times New Roman Bold" w:hAnsi="Times New Roman Bold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2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F98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3F98"/>
    <w:rPr>
      <w:rFonts w:ascii="Times New Roman" w:hAnsi="Times New Roman"/>
      <w:sz w:val="24"/>
      <w:lang w:val="ru-RU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F98"/>
    <w:rPr>
      <w:rFonts w:ascii="Times New Roman" w:hAnsi="Times New Roman"/>
      <w:sz w:val="24"/>
      <w:lang w:val="ru-RU"/>
    </w:rPr>
  </w:style>
  <w:style w:type="character" w:customStyle="1" w:styleId="Heading1Char">
    <w:name w:val="Heading 1 Char"/>
    <w:aliases w:val="Part Char"/>
    <w:basedOn w:val="DefaultParagraphFont"/>
    <w:link w:val="Heading1"/>
    <w:uiPriority w:val="9"/>
    <w:rsid w:val="007E628F"/>
    <w:rPr>
      <w:rFonts w:ascii="Times New Roman Bold" w:eastAsia="Times New Roman" w:hAnsi="Times New Roman Bold" w:cs="Akhbar MT"/>
      <w:b/>
      <w:bCs/>
      <w:sz w:val="26"/>
      <w:szCs w:val="36"/>
      <w:lang w:val="ru-RU" w:eastAsia="ru-RU"/>
    </w:rPr>
  </w:style>
  <w:style w:type="character" w:customStyle="1" w:styleId="Heading2Char">
    <w:name w:val="Heading 2 Char"/>
    <w:aliases w:val="Chpt Char"/>
    <w:basedOn w:val="DefaultParagraphFont"/>
    <w:link w:val="Heading2"/>
    <w:uiPriority w:val="9"/>
    <w:rsid w:val="007E628F"/>
    <w:rPr>
      <w:rFonts w:ascii="Times New Roman Bold" w:eastAsia="Times New Roman" w:hAnsi="Times New Roman Bold" w:cs="Akhbar MT"/>
      <w:b/>
      <w:bCs/>
      <w:sz w:val="24"/>
      <w:szCs w:val="32"/>
      <w:lang w:val="ru-RU" w:eastAsia="ru-RU"/>
    </w:rPr>
  </w:style>
  <w:style w:type="paragraph" w:customStyle="1" w:styleId="Note">
    <w:name w:val="Note"/>
    <w:basedOn w:val="Normal"/>
    <w:link w:val="NoteChar"/>
    <w:autoRedefine/>
    <w:qFormat/>
    <w:rsid w:val="007E628F"/>
    <w:pPr>
      <w:pBdr>
        <w:top w:val="single" w:sz="4" w:space="0" w:color="auto"/>
      </w:pBdr>
      <w:jc w:val="center"/>
    </w:pPr>
    <w:rPr>
      <w:i/>
      <w:sz w:val="20"/>
      <w:szCs w:val="28"/>
    </w:rPr>
  </w:style>
  <w:style w:type="character" w:customStyle="1" w:styleId="NoteChar">
    <w:name w:val="Note Char"/>
    <w:basedOn w:val="DefaultParagraphFont"/>
    <w:link w:val="Note"/>
    <w:locked/>
    <w:rsid w:val="007E628F"/>
    <w:rPr>
      <w:rFonts w:ascii="Times New Roman" w:eastAsia="Times New Roman" w:hAnsi="Times New Roman" w:cs="Akhbar MT"/>
      <w:i/>
      <w:sz w:val="20"/>
      <w:szCs w:val="28"/>
      <w:lang w:val="ru-RU" w:eastAsia="ru-RU"/>
    </w:rPr>
  </w:style>
  <w:style w:type="paragraph" w:customStyle="1" w:styleId="DocTitle">
    <w:name w:val="DocTitle"/>
    <w:basedOn w:val="Normal"/>
    <w:link w:val="DocTitleChar"/>
    <w:qFormat/>
    <w:rsid w:val="007E628F"/>
    <w:pPr>
      <w:spacing w:before="240" w:after="360"/>
      <w:jc w:val="center"/>
    </w:pPr>
    <w:rPr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DefaultParagraphFont"/>
    <w:link w:val="DocTitle"/>
    <w:locked/>
    <w:rsid w:val="007E628F"/>
    <w:rPr>
      <w:rFonts w:ascii="Times New Roman" w:eastAsia="Times New Roman" w:hAnsi="Times New Roman" w:cs="Akhbar MT"/>
      <w:bCs/>
      <w:color w:val="7F7F7F" w:themeColor="text1" w:themeTint="80"/>
      <w:sz w:val="56"/>
      <w:szCs w:val="72"/>
      <w:lang w:val="ru-RU" w:eastAsia="ru-RU"/>
    </w:rPr>
  </w:style>
  <w:style w:type="paragraph" w:customStyle="1" w:styleId="NewPara">
    <w:name w:val="NewPara"/>
    <w:basedOn w:val="ListParagraph"/>
    <w:link w:val="NewParaChar"/>
    <w:qFormat/>
    <w:rsid w:val="007E628F"/>
    <w:pPr>
      <w:numPr>
        <w:numId w:val="2"/>
      </w:numPr>
      <w:ind w:left="0"/>
      <w:contextualSpacing w:val="0"/>
    </w:pPr>
  </w:style>
  <w:style w:type="character" w:customStyle="1" w:styleId="NewParaChar">
    <w:name w:val="NewPara Char"/>
    <w:basedOn w:val="DefaultParagraphFont"/>
    <w:link w:val="NewPara"/>
    <w:locked/>
    <w:rsid w:val="007E628F"/>
    <w:rPr>
      <w:rFonts w:ascii="Times New Roman" w:eastAsia="Times New Roman" w:hAnsi="Times New Roman" w:cs="Akhbar MT"/>
      <w:szCs w:val="30"/>
      <w:lang w:val="ru-RU" w:eastAsia="ru-RU"/>
    </w:rPr>
  </w:style>
  <w:style w:type="paragraph" w:customStyle="1" w:styleId="BulletList">
    <w:name w:val="Bullet List"/>
    <w:basedOn w:val="ListParagraph"/>
    <w:link w:val="BulletListChar"/>
    <w:qFormat/>
    <w:rsid w:val="007E628F"/>
    <w:pPr>
      <w:numPr>
        <w:numId w:val="3"/>
      </w:numPr>
      <w:ind w:left="714" w:hanging="357"/>
    </w:pPr>
  </w:style>
  <w:style w:type="character" w:customStyle="1" w:styleId="BulletListChar">
    <w:name w:val="Bullet List Char"/>
    <w:basedOn w:val="DefaultParagraphFont"/>
    <w:link w:val="BulletList"/>
    <w:locked/>
    <w:rsid w:val="007E628F"/>
    <w:rPr>
      <w:rFonts w:ascii="Times New Roman" w:eastAsia="Times New Roman" w:hAnsi="Times New Roman" w:cs="Akhbar MT"/>
      <w:szCs w:val="30"/>
      <w:lang w:val="ru-RU" w:eastAsia="ru-RU"/>
    </w:rPr>
  </w:style>
  <w:style w:type="paragraph" w:customStyle="1" w:styleId="SummaryBoxText">
    <w:name w:val="Summary Box Text"/>
    <w:basedOn w:val="Normal"/>
    <w:link w:val="SummaryBoxTextChar"/>
    <w:qFormat/>
    <w:rsid w:val="007E628F"/>
    <w:pPr>
      <w:spacing w:line="360" w:lineRule="auto"/>
    </w:pPr>
  </w:style>
  <w:style w:type="character" w:customStyle="1" w:styleId="SummaryBoxTextChar">
    <w:name w:val="Summary Box Text Char"/>
    <w:basedOn w:val="DefaultParagraphFont"/>
    <w:link w:val="SummaryBoxText"/>
    <w:locked/>
    <w:rsid w:val="007E628F"/>
    <w:rPr>
      <w:rFonts w:ascii="Times New Roman" w:eastAsia="Times New Roman" w:hAnsi="Times New Roman" w:cs="Akhbar MT"/>
      <w:szCs w:val="30"/>
      <w:lang w:val="ru-RU" w:eastAsia="ru-RU"/>
    </w:rPr>
  </w:style>
  <w:style w:type="paragraph" w:customStyle="1" w:styleId="Underlined">
    <w:name w:val="Underlined"/>
    <w:basedOn w:val="Normal"/>
    <w:link w:val="UnderlinedChar"/>
    <w:qFormat/>
    <w:rsid w:val="007E628F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DefaultParagraphFont"/>
    <w:link w:val="Underlined"/>
    <w:locked/>
    <w:rsid w:val="007E628F"/>
    <w:rPr>
      <w:rFonts w:ascii="Times New Roman" w:eastAsia="Times New Roman" w:hAnsi="Times New Roman" w:cs="Akhbar MT"/>
      <w:szCs w:val="30"/>
      <w:lang w:val="ru-RU" w:eastAsia="ru-RU"/>
    </w:rPr>
  </w:style>
  <w:style w:type="paragraph" w:customStyle="1" w:styleId="MeetingInfo">
    <w:name w:val="MeetingInfo"/>
    <w:basedOn w:val="Normal"/>
    <w:link w:val="MeetingInfoChar"/>
    <w:qFormat/>
    <w:rsid w:val="007E628F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MeetingInfoChar">
    <w:name w:val="MeetingInfo Char"/>
    <w:basedOn w:val="DefaultParagraphFont"/>
    <w:link w:val="MeetingInfo"/>
    <w:locked/>
    <w:rsid w:val="007E628F"/>
    <w:rPr>
      <w:rFonts w:ascii="Times New Roman Bold" w:eastAsia="Times New Roman" w:hAnsi="Times New Roman Bold" w:cs="Akhbar MT"/>
      <w:b/>
      <w:bCs/>
      <w:sz w:val="28"/>
      <w:szCs w:val="36"/>
      <w:lang w:val="ru-RU" w:eastAsia="ru-RU"/>
    </w:rPr>
  </w:style>
  <w:style w:type="paragraph" w:customStyle="1" w:styleId="Hidden">
    <w:name w:val="Hidden"/>
    <w:basedOn w:val="Normal"/>
    <w:link w:val="HiddenChar"/>
    <w:qFormat/>
    <w:rsid w:val="007E628F"/>
    <w:pPr>
      <w:spacing w:line="20" w:lineRule="exact"/>
    </w:pPr>
    <w:rPr>
      <w:sz w:val="2"/>
    </w:rPr>
  </w:style>
  <w:style w:type="character" w:customStyle="1" w:styleId="HiddenChar">
    <w:name w:val="Hidden Char"/>
    <w:basedOn w:val="DefaultParagraphFont"/>
    <w:link w:val="Hidden"/>
    <w:locked/>
    <w:rsid w:val="007E628F"/>
    <w:rPr>
      <w:rFonts w:ascii="Times New Roman" w:eastAsia="Times New Roman" w:hAnsi="Times New Roman" w:cs="Akhbar MT"/>
      <w:sz w:val="2"/>
      <w:szCs w:val="30"/>
      <w:lang w:val="ru-RU" w:eastAsia="ru-RU"/>
    </w:rPr>
  </w:style>
  <w:style w:type="paragraph" w:customStyle="1" w:styleId="LanguageSymbol">
    <w:name w:val="LanguageSymbol"/>
    <w:basedOn w:val="Normal"/>
    <w:link w:val="LanguageSymbolChar"/>
    <w:qFormat/>
    <w:rsid w:val="007E628F"/>
    <w:pPr>
      <w:framePr w:h="655" w:hRule="exact" w:hSpace="181" w:wrap="around" w:vAnchor="page" w:hAnchor="page" w:x="10667" w:y="899"/>
    </w:pPr>
    <w:rPr>
      <w:b/>
      <w:color w:val="808080"/>
      <w:sz w:val="56"/>
      <w:szCs w:val="56"/>
    </w:rPr>
  </w:style>
  <w:style w:type="character" w:customStyle="1" w:styleId="LanguageSymbolChar">
    <w:name w:val="LanguageSymbol Char"/>
    <w:basedOn w:val="DefaultParagraphFont"/>
    <w:link w:val="LanguageSymbol"/>
    <w:locked/>
    <w:rsid w:val="007E628F"/>
    <w:rPr>
      <w:rFonts w:ascii="Times New Roman" w:eastAsia="Times New Roman" w:hAnsi="Times New Roman" w:cs="Akhbar MT"/>
      <w:b/>
      <w:color w:val="808080"/>
      <w:sz w:val="56"/>
      <w:szCs w:val="56"/>
      <w:lang w:val="ru-RU" w:eastAsia="ru-RU"/>
    </w:rPr>
  </w:style>
  <w:style w:type="table" w:styleId="TableGrid">
    <w:name w:val="Table Grid"/>
    <w:basedOn w:val="TableNormal"/>
    <w:uiPriority w:val="59"/>
    <w:rsid w:val="007E628F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E628F"/>
    <w:rPr>
      <w:rFonts w:cs="Times New Roman"/>
    </w:rPr>
  </w:style>
  <w:style w:type="paragraph" w:styleId="FootnoteText">
    <w:name w:val="footnote text"/>
    <w:aliases w:val="Footnote Text Char1,Footnote Text Char Char,ft Char Char,ft Char1,ft Char,ft"/>
    <w:basedOn w:val="Normal"/>
    <w:link w:val="FootnoteTextChar"/>
    <w:uiPriority w:val="99"/>
    <w:unhideWhenUsed/>
    <w:rsid w:val="007E628F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Text Char1 Char,Footnote Text Char Char Char,ft Char Char Char,ft Char1 Char,ft Char Char1,ft Char2"/>
    <w:basedOn w:val="DefaultParagraphFont"/>
    <w:link w:val="FootnoteText"/>
    <w:uiPriority w:val="99"/>
    <w:rsid w:val="007E628F"/>
    <w:rPr>
      <w:rFonts w:ascii="Times New Roman" w:eastAsia="Times New Roman" w:hAnsi="Times New Roman" w:cs="Akhbar MT"/>
      <w:sz w:val="20"/>
      <w:szCs w:val="20"/>
      <w:lang w:val="ru-RU" w:eastAsia="ru-RU"/>
    </w:rPr>
  </w:style>
  <w:style w:type="character" w:styleId="FootnoteReference">
    <w:name w:val="footnote reference"/>
    <w:aliases w:val="stylish,16 Point,Superscript 6 Point,Referencia nota al pie,EN Footnote Reference,Times 10 Point,Exposant 3 Point,Footnote symbol,Footnote reference number,note TESI,SUPERS,number,no...,Footnote,Footnote Reference/"/>
    <w:basedOn w:val="DefaultParagraphFont"/>
    <w:uiPriority w:val="99"/>
    <w:rsid w:val="007E628F"/>
    <w:rPr>
      <w:rFonts w:ascii="Book Antiqua" w:eastAsia="SimSun" w:hAnsi="Book Antiqua"/>
      <w:smallCaps/>
      <w:sz w:val="24"/>
      <w:vertAlign w:val="superscript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28F"/>
    <w:rPr>
      <w:rFonts w:asciiTheme="majorHAnsi" w:eastAsiaTheme="majorEastAsia" w:hAnsiTheme="majorHAnsi" w:cstheme="majorBidi"/>
      <w:b/>
      <w:bCs/>
      <w:color w:val="4F81BD" w:themeColor="accent1"/>
      <w:szCs w:val="30"/>
      <w:lang w:val="ru-RU" w:eastAsia="ru-RU"/>
    </w:rPr>
  </w:style>
  <w:style w:type="paragraph" w:styleId="ListParagraph">
    <w:name w:val="List Paragraph"/>
    <w:basedOn w:val="Normal"/>
    <w:uiPriority w:val="34"/>
    <w:qFormat/>
    <w:rsid w:val="007E62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28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28F"/>
    <w:rPr>
      <w:rFonts w:ascii="Tahoma" w:eastAsia="Times New Roman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BF3A1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2E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E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ED0"/>
    <w:rPr>
      <w:rFonts w:ascii="Times New Roman" w:eastAsia="Times New Roman" w:hAnsi="Times New Roman" w:cs="Akhbar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ED0"/>
    <w:rPr>
      <w:rFonts w:ascii="Times New Roman" w:eastAsia="Times New Roman" w:hAnsi="Times New Roman" w:cs="Akhbar M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79C6"/>
    <w:pPr>
      <w:spacing w:after="0" w:line="240" w:lineRule="auto"/>
    </w:pPr>
    <w:rPr>
      <w:rFonts w:ascii="Times New Roman" w:eastAsia="Times New Roman" w:hAnsi="Times New Roman" w:cs="Akhbar MT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394B6-4EA4-4FA3-94F0-A7101587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15</Pages>
  <Words>4703</Words>
  <Characters>30241</Characters>
  <Application>Microsoft Office Word</Application>
  <DocSecurity>0</DocSecurity>
  <Lines>560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34847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Nosova (CPAM)</dc:creator>
  <cp:lastModifiedBy>Marina Uvarova (CPAM)</cp:lastModifiedBy>
  <cp:revision>10</cp:revision>
  <dcterms:created xsi:type="dcterms:W3CDTF">2015-08-07T10:21:00Z</dcterms:created>
  <dcterms:modified xsi:type="dcterms:W3CDTF">2015-08-11T15:01:00Z</dcterms:modified>
</cp:coreProperties>
</file>