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F7" w:rsidRPr="005028C6" w:rsidRDefault="00E869F7" w:rsidP="0000663C">
      <w:pPr>
        <w:pStyle w:val="Hidden"/>
      </w:pPr>
    </w:p>
    <w:p w:rsidR="00E869F7" w:rsidRPr="005028C6" w:rsidRDefault="00E869F7" w:rsidP="0000663C">
      <w:pPr>
        <w:pStyle w:val="DocTitle"/>
        <w:rPr>
          <w:smallCaps/>
          <w:lang w:eastAsia="en-US" w:bidi="ar-SA"/>
        </w:rPr>
      </w:pPr>
      <w:bookmarkStart w:id="0" w:name="CoverTitleBookmark"/>
      <w:bookmarkStart w:id="1" w:name="CoverBookmark"/>
      <w:r w:rsidRPr="005028C6">
        <w:rPr>
          <w:smallCaps/>
          <w:lang w:eastAsia="en-US" w:bidi="ar-SA"/>
        </w:rPr>
        <w:t>Комитет по рыбному хозяйству</w:t>
      </w:r>
    </w:p>
    <w:bookmarkEnd w:id="0"/>
    <w:p w:rsidR="00E869F7" w:rsidRPr="005028C6" w:rsidRDefault="00E869F7" w:rsidP="0000663C">
      <w:pPr>
        <w:pStyle w:val="MeetingInfo"/>
      </w:pPr>
      <w:r w:rsidRPr="005028C6">
        <w:t>ПОДКОМИТЕТ ПО АКВАКУЛЬТУРЕ</w:t>
      </w:r>
    </w:p>
    <w:p w:rsidR="00E869F7" w:rsidRPr="005028C6" w:rsidRDefault="00E869F7" w:rsidP="0000663C">
      <w:pPr>
        <w:pStyle w:val="MeetingInfo"/>
      </w:pPr>
      <w:r w:rsidRPr="005028C6">
        <w:t>Восьмая сессия</w:t>
      </w:r>
    </w:p>
    <w:p w:rsidR="00E869F7" w:rsidRPr="005028C6" w:rsidRDefault="00302B3C" w:rsidP="0000663C">
      <w:pPr>
        <w:pStyle w:val="MeetingInfo"/>
      </w:pPr>
      <w:r w:rsidRPr="005028C6">
        <w:t>Бразилиа, Бразилия, 5</w:t>
      </w:r>
      <w:r w:rsidRPr="005028C6">
        <w:rPr>
          <w:rFonts w:asciiTheme="minorHAnsi" w:hAnsiTheme="minorHAnsi"/>
        </w:rPr>
        <w:t>-</w:t>
      </w:r>
      <w:r w:rsidR="00E869F7" w:rsidRPr="005028C6">
        <w:t>9 октябре 2015 года</w:t>
      </w:r>
    </w:p>
    <w:p w:rsidR="00E869F7" w:rsidRPr="00C34D06" w:rsidRDefault="00C34D06" w:rsidP="0000663C">
      <w:pPr>
        <w:pStyle w:val="MeetingInfo"/>
        <w:rPr>
          <w:caps/>
        </w:rPr>
      </w:pPr>
      <w:r w:rsidRPr="00C34D06">
        <w:rPr>
          <w:caps/>
        </w:rPr>
        <w:t>На пути к разработке стратегического механизма повышения роли Подкомитета КРХ по аквакультуре в активизации развития аквакультуры</w:t>
      </w:r>
    </w:p>
    <w:bookmarkEnd w:id="1"/>
    <w:p w:rsidR="00E869F7" w:rsidRPr="005028C6" w:rsidRDefault="0039278E" w:rsidP="0000663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.35pt;margin-top:21.05pt;width:454.5pt;height:17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uxKAIAAFEEAAAOAAAAZHJzL2Uyb0RvYy54bWysVM1u2zAMvg/YOwi6L47TpG2MOEWXLsOA&#10;7gdo9wCyLNvCJFGTlNjZ05eS0zTotsswHwRSpD6SH0mvbgatyF44L8GUNJ9MKRGGQy1NW9Lvj9t3&#10;15T4wEzNFBhR0oPw9Gb99s2qt4WYQQeqFo4giPFFb0vahWCLLPO8E5r5CVhh0NiA0yyg6tqsdqxH&#10;dK2y2XR6mfXgauuAC+/x9m400nXCbxrBw9em8SIQVVLMLaTTpbOKZ7ZesaJ1zHaSH9Ng/5CFZtJg&#10;0BPUHQuM7Jz8DUpL7sBDEyYcdAZNI7lINWA1+fRVNQ8dsyLVguR4e6LJ/z9Y/mX/zRFZl/SCEsM0&#10;tuhRDIG8h4FcRHZ66wt0erDoFga8xi6nSr29B/7DEwObjplW3DoHfSdYjdnl8WV29nTE8RGk6j9D&#10;jWHYLkACGhqnI3VIBkF07NLh1JmYCsfLxdXVLF+giaMtX14mJcZgxfNz63z4KECTKJTUYesTPNvf&#10;+zC6PrvEaB6UrLdSqaS4ttooR/YMx2SbvlTBKzdlSF/S5WK2GBn4K8Q0fX+C0DLgvCupS3p9cmJF&#10;5O2DqTFNVgQm1ShjdcociYzcjSyGoRrQMbJbQX1ASh2Mc417iEIH7hclPc50Sf3PHXOCEvXJYFuW&#10;+XwelyAp88XVDBV3bqnOLcxwhCppoGQUN2FcnJ11su0w0jgIBm6xlY1MJL9kdcwb5za16bhjcTHO&#10;9eT18idYPwEAAP//AwBQSwMEFAAGAAgAAAAhACkSxf3fAAAACAEAAA8AAABkcnMvZG93bnJldi54&#10;bWxMj8FOwzAQRO9I/IO1SFxQ65DSpAlxKoQEojdoK7i68TaJsNfBdtPw95gTHGdnNPO2Wk9GsxGd&#10;7y0JuJ0nwJAaq3pqBex3T7MVMB8kKaktoYBv9LCuLy8qWSp7pjcct6FlsYR8KQV0IQwl577p0Eg/&#10;twNS9I7WGRmidC1XTp5judE8TZKMG9lTXOjkgI8dNp/bkxGwunsZP/xm8freZEddhJt8fP5yQlxf&#10;TQ/3wAJO4S8Mv/gRHerIdLAnUp5pAXnMCZgt0iWwaBdJES8HAWmeLYHXFf//QP0DAAD//wMAUEsB&#10;Ai0AFAAGAAgAAAAhALaDOJL+AAAA4QEAABMAAAAAAAAAAAAAAAAAAAAAAFtDb250ZW50X1R5cGVz&#10;XS54bWxQSwECLQAUAAYACAAAACEAOP0h/9YAAACUAQAACwAAAAAAAAAAAAAAAAAvAQAAX3JlbHMv&#10;LnJlbHNQSwECLQAUAAYACAAAACEAlojbsSgCAABRBAAADgAAAAAAAAAAAAAAAAAuAgAAZHJzL2Uy&#10;b0RvYy54bWxQSwECLQAUAAYACAAAACEAKRLF/d8AAAAIAQAADwAAAAAAAAAAAAAAAACCBAAAZHJz&#10;L2Rvd25yZXYueG1sUEsFBgAAAAAEAAQA8wAAAI4FAAAAAA==&#10;">
            <v:textbox style="mso-next-textbox:#Text Box 3">
              <w:txbxContent>
                <w:p w:rsidR="00E869F7" w:rsidRDefault="00E869F7" w:rsidP="00E869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</w:rPr>
                    <w:t>РЕЗЮМЕ</w:t>
                  </w:r>
                </w:p>
                <w:p w:rsidR="00E869F7" w:rsidRPr="007F1EB9" w:rsidRDefault="00E869F7" w:rsidP="00E869F7">
                  <w:pPr>
                    <w:jc w:val="both"/>
                  </w:pPr>
                  <w:r>
                    <w:t xml:space="preserve">7-я сессии Подкомитета КРХ по </w:t>
                  </w:r>
                  <w:r w:rsidRPr="00D478D1">
                    <w:t>аквакультуре (ПКА-КРХ) и 31-я</w:t>
                  </w:r>
                  <w:r>
                    <w:t xml:space="preserve"> сессия Комитета по рыбному хозяйству предложили Секретариату подготовить документ, в котором были бы обозначены региональные приоритеты в области аквакультуры в качестве основы для разработки </w:t>
                  </w:r>
                  <w:r w:rsidR="000421ED">
                    <w:t xml:space="preserve">стратегического механизма повышения роли Подкомитета КРХ по аквакультуре в активизации развития </w:t>
                  </w:r>
                  <w:r w:rsidR="000421ED" w:rsidRPr="000421ED">
                    <w:t>аквакультуры</w:t>
                  </w:r>
                  <w:r w:rsidRPr="000421ED">
                    <w:t>. В настоящем</w:t>
                  </w:r>
                  <w:r>
                    <w:t xml:space="preserve"> документ</w:t>
                  </w:r>
                  <w:r w:rsidR="0038137B">
                    <w:t>е</w:t>
                  </w:r>
                  <w:r>
                    <w:t xml:space="preserve"> представлены основные региональные приоритеты в сфере аквакультуры и обозначены общие приоритетные области по регионам в предварительной привязке к стратегическим целям ФАО.</w:t>
                  </w:r>
                </w:p>
                <w:p w:rsidR="00E869F7" w:rsidRPr="007F1EB9" w:rsidRDefault="00E869F7" w:rsidP="00E869F7">
                  <w:pPr>
                    <w:jc w:val="both"/>
                  </w:pPr>
                  <w:r>
                    <w:t xml:space="preserve">Подкомитету предлагается изучить этот документ и дать Секретариату рекомендации в отношении дальнейших действий по разработке </w:t>
                  </w:r>
                  <w:r w:rsidR="00936DD2">
                    <w:t>стратегического механизма повышения роли Подкомитета КРХ по аквакультуре в активизации развития аквакультуры</w:t>
                  </w:r>
                  <w:r>
                    <w:t>.</w:t>
                  </w:r>
                </w:p>
                <w:p w:rsidR="00E869F7" w:rsidRPr="007F1EB9" w:rsidRDefault="00E869F7" w:rsidP="00E869F7"/>
                <w:p w:rsidR="00E869F7" w:rsidRPr="007F1EB9" w:rsidRDefault="00E869F7" w:rsidP="00E869F7">
                  <w:pPr>
                    <w:jc w:val="center"/>
                    <w:rPr>
                      <w:b/>
                      <w:sz w:val="24"/>
                      <w:szCs w:val="24"/>
                      <w:highlight w:val="green"/>
                    </w:rPr>
                  </w:pPr>
                </w:p>
                <w:p w:rsidR="00E869F7" w:rsidRPr="00011CED" w:rsidRDefault="00E869F7" w:rsidP="00E869F7">
                  <w:pPr>
                    <w:spacing w:before="0"/>
                    <w:jc w:val="both"/>
                    <w:rPr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BB7978">
        <w:t xml:space="preserve">  </w:t>
      </w:r>
      <w:bookmarkStart w:id="2" w:name="SummaryBoxBookmark"/>
      <w:r w:rsidR="00E869F7" w:rsidRPr="005028C6">
        <w:t xml:space="preserve"> </w:t>
      </w:r>
      <w:bookmarkEnd w:id="2"/>
    </w:p>
    <w:p w:rsidR="00E869F7" w:rsidRPr="005028C6" w:rsidRDefault="00E869F7" w:rsidP="0000663C"/>
    <w:p w:rsidR="00E869F7" w:rsidRPr="005028C6" w:rsidRDefault="00E47A83" w:rsidP="0000663C">
      <w:pPr>
        <w:pStyle w:val="NewPara"/>
        <w:spacing w:before="140"/>
        <w:jc w:val="both"/>
      </w:pPr>
      <w:r w:rsidRPr="005028C6">
        <w:t>Аквакультура остается самым быстрорастущим сектором производства продовольствия в мире. Ее вклад в обеспечение глобальной продовольственной и пищевой безопасности, сокращение масштабов бедности и улучшение благосостояния миллионов людей во всем мире признается повсеместно, и совсем недавно это отмечалось на 41-й сессии Комитета по всемирной продовольственной безопасности. Число выступлений членов и наблюдателей на сессиях КРХ на протяжении многих лет, а также глубина дискуссий на сессиях ПКА-КРХ освидетельствуют о том значении, которое члены придают аквакультуре, а так же об ожиданиях в отношении роли, которую ПКА-КРХ мог бы играть в содействии устойчивому росту этого сектора.</w:t>
      </w:r>
    </w:p>
    <w:p w:rsidR="00E869F7" w:rsidRPr="005028C6" w:rsidRDefault="00E869F7" w:rsidP="0000663C">
      <w:pPr>
        <w:pStyle w:val="PageBreak"/>
      </w:pPr>
    </w:p>
    <w:p w:rsidR="00E869F7" w:rsidRPr="005028C6" w:rsidRDefault="00E869F7" w:rsidP="0000663C">
      <w:pPr>
        <w:pStyle w:val="NewPara"/>
        <w:jc w:val="both"/>
      </w:pPr>
      <w:r w:rsidRPr="005028C6">
        <w:lastRenderedPageBreak/>
        <w:t xml:space="preserve">Пятая сессия ПКА-КРХ подтвердила </w:t>
      </w:r>
      <w:r w:rsidRPr="00FF4480">
        <w:t>необходимость создания стратегическо</w:t>
      </w:r>
      <w:r w:rsidR="00FF4480" w:rsidRPr="00FF4480">
        <w:t>го</w:t>
      </w:r>
      <w:r w:rsidRPr="00FF4480">
        <w:t xml:space="preserve"> </w:t>
      </w:r>
      <w:r w:rsidR="00FF4480" w:rsidRPr="00FF4480">
        <w:t>механизма</w:t>
      </w:r>
      <w:r w:rsidR="00E34437" w:rsidRPr="00FF4480">
        <w:t>,</w:t>
      </w:r>
      <w:r w:rsidRPr="00FF4480">
        <w:t xml:space="preserve"> котор</w:t>
      </w:r>
      <w:r w:rsidR="00353897">
        <w:t>ый</w:t>
      </w:r>
      <w:r w:rsidRPr="00FF4480">
        <w:t xml:space="preserve"> позволит структурирован</w:t>
      </w:r>
      <w:r w:rsidR="008D5785">
        <w:t>н</w:t>
      </w:r>
      <w:r w:rsidRPr="00FF4480">
        <w:t>о и четко определить основные компоненты</w:t>
      </w:r>
      <w:r w:rsidRPr="005028C6">
        <w:t xml:space="preserve"> программы работы ПКА-КРХ. </w:t>
      </w:r>
      <w:r w:rsidR="0028249D">
        <w:t>Стратегический механизм</w:t>
      </w:r>
      <w:r w:rsidRPr="005028C6">
        <w:t xml:space="preserve">, в свою очередь, будет способствовать определению ресурсов и партнеров, которые могут внести вклад в ее успешное осуществление. В практическом плане для ПКА-КРХ это означает, что </w:t>
      </w:r>
      <w:r w:rsidR="0028249D">
        <w:t>механизм</w:t>
      </w:r>
      <w:r w:rsidRPr="005028C6">
        <w:t xml:space="preserve"> будет покрывать вопросы организации и проведения сессий и, возможно, выполнение рекомендаций Подкомитета. 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 ответ на предложение, сделанное ПКА-КРХ в ходе ее 5-й сессии и с учетом содержания дискуссий на предыдущих сессиях Подкомитета, Секретариат представил 6-й сессии Подкомитета документ, в котором излагались основные черты этого процесса, включая несколько вариантов разработки плана действий.</w:t>
      </w:r>
    </w:p>
    <w:p w:rsidR="00E869F7" w:rsidRPr="005028C6" w:rsidRDefault="00E869F7" w:rsidP="0000663C">
      <w:pPr>
        <w:pStyle w:val="NewPara"/>
        <w:numPr>
          <w:ilvl w:val="0"/>
          <w:numId w:val="0"/>
        </w:numPr>
        <w:jc w:val="both"/>
      </w:pPr>
    </w:p>
    <w:p w:rsidR="00E869F7" w:rsidRPr="005028C6" w:rsidRDefault="00E869F7" w:rsidP="0000663C">
      <w:pPr>
        <w:pStyle w:val="NewPara"/>
        <w:jc w:val="both"/>
      </w:pPr>
      <w:r w:rsidRPr="005028C6">
        <w:t xml:space="preserve">В связи с ограниченностью людских и финансовых ресурсов ФАО сессия ПКА-КРХ вновь подчеркнула необходимость определить стратегические приоритеты своей работы. ПКА-КРХ признал, что уделяя основное внимание ключевым глобальным проблемам, при определении стратегических приоритетов следует учитывать региональные различия в плане требующейся помощи и ожидаемых вводимых ресурсов, аспектов продовольственной безопасности и питания, а также вариантов развития. Соответственно, ПКА-КРХ предложил Секретариату подготовить документ по проекту стратегии для дальнейшего обсуждения на </w:t>
      </w:r>
      <w:r w:rsidR="00C6469C" w:rsidRPr="00C6469C">
        <w:br/>
      </w:r>
      <w:r w:rsidRPr="005028C6">
        <w:t>7-й сессии ПКА-КРХ.</w:t>
      </w:r>
    </w:p>
    <w:p w:rsidR="00E869F7" w:rsidRPr="005028C6" w:rsidRDefault="00E869F7" w:rsidP="0000663C">
      <w:pPr>
        <w:pStyle w:val="NewPara"/>
        <w:numPr>
          <w:ilvl w:val="0"/>
          <w:numId w:val="0"/>
        </w:numPr>
      </w:pPr>
    </w:p>
    <w:p w:rsidR="00E869F7" w:rsidRPr="005028C6" w:rsidRDefault="00E869F7" w:rsidP="0000663C">
      <w:pPr>
        <w:pStyle w:val="NewPara"/>
        <w:jc w:val="both"/>
      </w:pPr>
      <w:r w:rsidRPr="005028C6">
        <w:t>В ходе обсуждения проекта стратегическо</w:t>
      </w:r>
      <w:r w:rsidR="006F2041">
        <w:t>го</w:t>
      </w:r>
      <w:r w:rsidRPr="005028C6">
        <w:t xml:space="preserve"> </w:t>
      </w:r>
      <w:r w:rsidR="006F2041">
        <w:t>механизма</w:t>
      </w:r>
      <w:r w:rsidR="00BB7978">
        <w:t xml:space="preserve"> </w:t>
      </w:r>
      <w:r w:rsidRPr="005028C6">
        <w:t>по укреплению роли Подкомитета в содействии развитию аквакультуры на 7-й сессии ПКА-КРХ в 2013 год</w:t>
      </w:r>
      <w:r w:rsidR="00F42F27">
        <w:t>у</w:t>
      </w:r>
      <w:r w:rsidRPr="005028C6">
        <w:t xml:space="preserve"> были высказаны следующие рекомендации:</w:t>
      </w:r>
    </w:p>
    <w:p w:rsidR="00E869F7" w:rsidRPr="005028C6" w:rsidRDefault="00E869F7" w:rsidP="0000663C">
      <w:pPr>
        <w:pStyle w:val="NewPara"/>
        <w:numPr>
          <w:ilvl w:val="0"/>
          <w:numId w:val="0"/>
        </w:numPr>
      </w:pPr>
    </w:p>
    <w:p w:rsidR="00E869F7" w:rsidRPr="005028C6" w:rsidRDefault="00E869F7" w:rsidP="0000663C">
      <w:pPr>
        <w:pStyle w:val="NewPara"/>
        <w:jc w:val="both"/>
        <w:rPr>
          <w:i/>
        </w:rPr>
      </w:pPr>
      <w:r w:rsidRPr="005028C6">
        <w:rPr>
          <w:i/>
        </w:rPr>
        <w:t>"Относительно Стратегическо</w:t>
      </w:r>
      <w:r w:rsidR="006F2041">
        <w:rPr>
          <w:i/>
        </w:rPr>
        <w:t>го</w:t>
      </w:r>
      <w:r w:rsidRPr="005028C6">
        <w:rPr>
          <w:i/>
        </w:rPr>
        <w:t xml:space="preserve"> </w:t>
      </w:r>
      <w:r w:rsidR="006F2041">
        <w:rPr>
          <w:i/>
        </w:rPr>
        <w:t>механизма</w:t>
      </w:r>
      <w:r w:rsidRPr="005028C6">
        <w:rPr>
          <w:i/>
        </w:rPr>
        <w:t xml:space="preserve"> ПКА-КРХ согласился с необходимостью выявить сквозные и иные глобальные приоритеты и предложил следующий порядок действий:</w:t>
      </w:r>
    </w:p>
    <w:p w:rsidR="00E869F7" w:rsidRPr="005028C6" w:rsidRDefault="00E869F7" w:rsidP="0000663C">
      <w:pPr>
        <w:pStyle w:val="BulletList"/>
        <w:rPr>
          <w:i/>
        </w:rPr>
      </w:pPr>
      <w:r w:rsidRPr="005028C6">
        <w:rPr>
          <w:i/>
        </w:rPr>
        <w:t>проведение консультаций в рамках региональных семинаров, сетей и/или других механизмов, таких, как обзор опыта, накопленного при определении предыдущих приоритетов, в целях определения связанных со Стратегическими целями ФАО региональных приоритетов для работы ПКА-КРХ;</w:t>
      </w:r>
    </w:p>
    <w:p w:rsidR="00E869F7" w:rsidRPr="005028C6" w:rsidRDefault="00E869F7" w:rsidP="0000663C">
      <w:pPr>
        <w:pStyle w:val="BulletList"/>
        <w:rPr>
          <w:i/>
        </w:rPr>
      </w:pPr>
      <w:r w:rsidRPr="005028C6">
        <w:rPr>
          <w:i/>
        </w:rPr>
        <w:t xml:space="preserve">Секретариат должен анализировать и обобщать итоги региональных консультаций и информировать по результатам членов с целью их </w:t>
      </w:r>
      <w:proofErr w:type="gramStart"/>
      <w:r w:rsidRPr="005028C6">
        <w:rPr>
          <w:i/>
        </w:rPr>
        <w:t>обсуждения</w:t>
      </w:r>
      <w:proofErr w:type="gramEnd"/>
      <w:r w:rsidRPr="005028C6">
        <w:rPr>
          <w:i/>
        </w:rPr>
        <w:t xml:space="preserve"> по меньшей мере за полгода до следующей сессии ПКА-КРХ</w:t>
      </w:r>
      <w:r w:rsidR="004E2B4D">
        <w:rPr>
          <w:i/>
        </w:rPr>
        <w:t>"</w:t>
      </w:r>
      <w:r w:rsidRPr="005028C6">
        <w:rPr>
          <w:i/>
        </w:rPr>
        <w:t>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proofErr w:type="gramStart"/>
      <w:r w:rsidRPr="005028C6">
        <w:t>В настоящем документе (COFI:</w:t>
      </w:r>
      <w:proofErr w:type="gramEnd"/>
      <w:r w:rsidRPr="005028C6">
        <w:t>AQ/VIII/2015/5) представлены проекты анализа и видения сфер региональных</w:t>
      </w:r>
      <w:r w:rsidR="00BB7978">
        <w:t xml:space="preserve"> </w:t>
      </w:r>
      <w:r w:rsidRPr="005028C6">
        <w:t xml:space="preserve">приоритетов, обобщенные Секретариатом. Как было предложено ПКА-КРХ, этот документ заблаговременно распространяется среди членов для ознакомления и возможного обсуждения на 8-й сессии ПКА-КРХ, которая пройдет в Бразилиа, Бразилия, </w:t>
      </w:r>
      <w:r w:rsidR="00DD641E" w:rsidRPr="00DD641E">
        <w:br/>
      </w:r>
      <w:r w:rsidRPr="005028C6">
        <w:t>5-9</w:t>
      </w:r>
      <w:r w:rsidR="00DD641E">
        <w:rPr>
          <w:lang w:val="en-US"/>
        </w:rPr>
        <w:t> </w:t>
      </w:r>
      <w:r w:rsidRPr="005028C6">
        <w:t>октября 2015 года. Предполагается, что этот документ буде способствовать формированию стратегическ</w:t>
      </w:r>
      <w:r w:rsidR="00BC74F9">
        <w:t>ого</w:t>
      </w:r>
      <w:r w:rsidRPr="005028C6">
        <w:t xml:space="preserve"> </w:t>
      </w:r>
      <w:r w:rsidR="00BC74F9">
        <w:t>механизма</w:t>
      </w:r>
      <w:r w:rsidRPr="005028C6">
        <w:t xml:space="preserve"> для </w:t>
      </w:r>
      <w:r w:rsidR="00BC74F9">
        <w:t>у</w:t>
      </w:r>
      <w:r w:rsidRPr="005028C6">
        <w:t>крепления роли ПКА-КРХ в содействии развитию аквакультуры.</w:t>
      </w:r>
    </w:p>
    <w:p w:rsidR="00E869F7" w:rsidRPr="005028C6" w:rsidRDefault="00E869F7" w:rsidP="0000663C">
      <w:pPr>
        <w:pStyle w:val="NewPara"/>
        <w:numPr>
          <w:ilvl w:val="0"/>
          <w:numId w:val="0"/>
        </w:numPr>
      </w:pPr>
    </w:p>
    <w:p w:rsidR="00E869F7" w:rsidRPr="005028C6" w:rsidRDefault="00E869F7" w:rsidP="0000663C">
      <w:pPr>
        <w:pStyle w:val="NewPara"/>
        <w:jc w:val="both"/>
      </w:pPr>
      <w:r w:rsidRPr="005028C6">
        <w:t xml:space="preserve">При его подготовке были задействованы следующие механизмы и процедуры. </w:t>
      </w:r>
    </w:p>
    <w:p w:rsidR="00E869F7" w:rsidRPr="005028C6" w:rsidRDefault="00E869F7" w:rsidP="0000663C">
      <w:pPr>
        <w:pStyle w:val="NewPara"/>
        <w:numPr>
          <w:ilvl w:val="0"/>
          <w:numId w:val="0"/>
        </w:numPr>
        <w:jc w:val="both"/>
      </w:pPr>
    </w:p>
    <w:p w:rsidR="00E869F7" w:rsidRPr="005028C6" w:rsidRDefault="00E869F7" w:rsidP="0000663C">
      <w:pPr>
        <w:pStyle w:val="NewPara"/>
        <w:jc w:val="both"/>
      </w:pPr>
      <w:r w:rsidRPr="005028C6">
        <w:t xml:space="preserve">Секретариат сгруппировал страны-члены по следующим регионам: </w:t>
      </w:r>
      <w:proofErr w:type="spellStart"/>
      <w:r w:rsidRPr="005028C6">
        <w:t>Азиатско</w:t>
      </w:r>
      <w:proofErr w:type="spellEnd"/>
      <w:r w:rsidRPr="005028C6">
        <w:t>–Тихоокеанский регион (АТР), Европа (</w:t>
      </w:r>
      <w:proofErr w:type="gramStart"/>
      <w:r w:rsidRPr="005028C6">
        <w:t>ЕВР</w:t>
      </w:r>
      <w:proofErr w:type="gramEnd"/>
      <w:r w:rsidRPr="005028C6">
        <w:t>), Латинская Америка и</w:t>
      </w:r>
      <w:r w:rsidR="00BB7978">
        <w:t xml:space="preserve"> </w:t>
      </w:r>
      <w:r w:rsidRPr="005028C6">
        <w:t xml:space="preserve">Карибский бассейн (ЛАК), Ближний Восток и Северная Африка (БВСА), Северная Америка (СА) и </w:t>
      </w:r>
      <w:proofErr w:type="spellStart"/>
      <w:r w:rsidRPr="005028C6">
        <w:t>субсахарская</w:t>
      </w:r>
      <w:proofErr w:type="spellEnd"/>
      <w:r w:rsidRPr="005028C6">
        <w:t xml:space="preserve"> Африка (ССА). </w:t>
      </w:r>
      <w:proofErr w:type="gramStart"/>
      <w:r w:rsidRPr="005028C6">
        <w:t>По каждому региону рассматривались основные решения, рекомендации, соглашения и попытки определения приоритетов в области развития аквакультуры, а также цели технического, стратегического и политического характера за последние 5</w:t>
      </w:r>
      <w:r w:rsidR="00A44140">
        <w:t>-</w:t>
      </w:r>
      <w:r w:rsidRPr="005028C6">
        <w:t>10 лет.</w:t>
      </w:r>
      <w:proofErr w:type="gramEnd"/>
      <w:r w:rsidRPr="005028C6">
        <w:t xml:space="preserve"> Особое внимание уделялось приоритетам, сформулированным региональными организациями (межправительственными и неправительственными) на основании вклада государств и других заинтересованных сторон. Выявленные сквозные и глобальные приоритеты были в предварительном порядке увязаны со стратегическими целями ФАО в раках пересмотренной стратегическо</w:t>
      </w:r>
      <w:r w:rsidR="00612651">
        <w:t>го</w:t>
      </w:r>
      <w:r w:rsidRPr="005028C6">
        <w:t xml:space="preserve"> </w:t>
      </w:r>
      <w:r w:rsidR="00612651">
        <w:t>механизма</w:t>
      </w:r>
      <w:r w:rsidRPr="005028C6">
        <w:t xml:space="preserve"> Организации (Таблица 1). Ниже излагаются региональные приоритеты и обобщенные выводы на основе их анализа.</w:t>
      </w:r>
    </w:p>
    <w:p w:rsidR="00E869F7" w:rsidRPr="005028C6" w:rsidRDefault="00E869F7" w:rsidP="0000663C">
      <w:pPr>
        <w:pStyle w:val="PageBreak"/>
      </w:pPr>
      <w:r w:rsidRPr="005028C6">
        <w:br w:type="page"/>
      </w:r>
    </w:p>
    <w:p w:rsidR="00E869F7" w:rsidRPr="005028C6" w:rsidRDefault="00E869F7" w:rsidP="0000663C">
      <w:pPr>
        <w:pStyle w:val="Heading2"/>
      </w:pPr>
      <w:proofErr w:type="spellStart"/>
      <w:r w:rsidRPr="005028C6">
        <w:t>Азиатско</w:t>
      </w:r>
      <w:proofErr w:type="spellEnd"/>
      <w:r w:rsidR="008E265D">
        <w:rPr>
          <w:rFonts w:asciiTheme="minorHAnsi" w:hAnsiTheme="minorHAnsi"/>
          <w:lang w:val="en-US"/>
        </w:rPr>
        <w:t>-</w:t>
      </w:r>
      <w:r w:rsidRPr="005028C6">
        <w:t>Тихоокеанский регион (АТР)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Приоритеты для Азиа</w:t>
      </w:r>
      <w:bookmarkStart w:id="3" w:name="_GoBack"/>
      <w:bookmarkEnd w:id="3"/>
      <w:r w:rsidRPr="005028C6">
        <w:t xml:space="preserve">тско-Тихоокеанского региона были выведены на основе материалов заседаний субрегиональных </w:t>
      </w:r>
      <w:r w:rsidRPr="0039278E">
        <w:t>органов, предыдущих попыток оп</w:t>
      </w:r>
      <w:r w:rsidRPr="007C346D">
        <w:t>ределит</w:t>
      </w:r>
      <w:r w:rsidR="008660D4" w:rsidRPr="007C346D">
        <w:t>ь</w:t>
      </w:r>
      <w:r w:rsidRPr="007C346D">
        <w:t xml:space="preserve"> приоритеты</w:t>
      </w:r>
      <w:r w:rsidRPr="005028C6">
        <w:t xml:space="preserve"> и рекомендаци</w:t>
      </w:r>
      <w:r w:rsidR="002611F7">
        <w:t>й</w:t>
      </w:r>
      <w:r w:rsidRPr="005028C6">
        <w:t xml:space="preserve"> глобального характера. Азия как основной мировой производитель продукции аквакультуры значительно опережает здесь остальные регионы. Вместе с тем, основным выявленным региональным вызовом является улучшение экологических и социальных показателей аквакультуры в ближайшие десятилетия, особенно с учетом прогнозируемого и ожидаемого роста производства в регионе. </w:t>
      </w:r>
      <w:proofErr w:type="gramStart"/>
      <w:r w:rsidRPr="005028C6">
        <w:t>Основными темами дискуссии по определению приоритетов стали</w:t>
      </w:r>
      <w:r w:rsidR="005D2F2C">
        <w:t>:</w:t>
      </w:r>
      <w:r w:rsidRPr="005028C6">
        <w:t xml:space="preserve"> потенциал</w:t>
      </w:r>
      <w:r w:rsidR="00BB7978">
        <w:t xml:space="preserve"> </w:t>
      </w:r>
      <w:r w:rsidRPr="005028C6">
        <w:t>управления аквакультурой, научно-технологическая поддержка процессов управления и развития, совершенствование методов регулирования и управления, укрепление биобезопасности, содействие мелким фермерам-рыбоводам в эффективном маркетинге, пропаганда устойчивого производства, использование качественных кормов и посевного материала,</w:t>
      </w:r>
      <w:r w:rsidR="00BB7978">
        <w:t xml:space="preserve"> </w:t>
      </w:r>
      <w:r w:rsidRPr="005028C6">
        <w:t>повышение устойчивости фермеров в условиях изменения климата и прочих рисков, а также увеличение инвестиций.</w:t>
      </w:r>
      <w:proofErr w:type="gramEnd"/>
      <w:r w:rsidRPr="005028C6">
        <w:t xml:space="preserve"> Установлены следующие основные приоритеты:</w:t>
      </w:r>
    </w:p>
    <w:p w:rsidR="00E869F7" w:rsidRPr="005028C6" w:rsidRDefault="005D2F2C" w:rsidP="0000663C">
      <w:pPr>
        <w:pStyle w:val="BulletList"/>
      </w:pPr>
      <w:r>
        <w:t>п</w:t>
      </w:r>
      <w:r w:rsidR="00E869F7" w:rsidRPr="005028C6">
        <w:t xml:space="preserve">риоритеты общего характера: a) </w:t>
      </w:r>
      <w:r w:rsidR="000409A8">
        <w:t>п</w:t>
      </w:r>
      <w:r w:rsidR="00E869F7" w:rsidRPr="005028C6">
        <w:t>отенциал управления</w:t>
      </w:r>
      <w:r w:rsidR="00BB7978">
        <w:t xml:space="preserve"> </w:t>
      </w:r>
      <w:r w:rsidR="00E869F7" w:rsidRPr="005028C6">
        <w:t>– особенно управления, основанного на рыночных механизмах,</w:t>
      </w:r>
      <w:r w:rsidR="00BB7978">
        <w:t xml:space="preserve"> </w:t>
      </w:r>
      <w:r w:rsidR="00E869F7" w:rsidRPr="005028C6">
        <w:t xml:space="preserve">и некоммерческого управления – нуждается в укреплении во всем регионе; b) </w:t>
      </w:r>
      <w:r w:rsidR="001C267E">
        <w:t>о</w:t>
      </w:r>
      <w:r w:rsidR="00E869F7" w:rsidRPr="005028C6">
        <w:t>бучение фермеров, технических сотрудников служб распространения знаний, управляющих рыбоводными хозяйствами, технологов и ученых продолжают оставаться приоритетом для всех стран.</w:t>
      </w:r>
    </w:p>
    <w:p w:rsidR="00E869F7" w:rsidRPr="005028C6" w:rsidRDefault="00E869F7" w:rsidP="0000663C">
      <w:pPr>
        <w:pStyle w:val="BulletList"/>
      </w:pPr>
      <w:r w:rsidRPr="005028C6">
        <w:t xml:space="preserve">Приоритеты в области политики: a) </w:t>
      </w:r>
      <w:r w:rsidR="00065459">
        <w:t>т</w:t>
      </w:r>
      <w:r w:rsidRPr="005028C6">
        <w:t>ребуется солидная политическая поддержка для обеспечения справедливого распределения благ по всей цепочке создания стоимости, а</w:t>
      </w:r>
      <w:r w:rsidR="00E20889">
        <w:t> </w:t>
      </w:r>
      <w:r w:rsidRPr="005028C6">
        <w:t>также между лицами обоих полов, что еще не столь широко воплощается в регионе; b)</w:t>
      </w:r>
      <w:r w:rsidR="001B64E4">
        <w:t> </w:t>
      </w:r>
      <w:r w:rsidR="006861D5">
        <w:t>д</w:t>
      </w:r>
      <w:r w:rsidRPr="005028C6">
        <w:t xml:space="preserve">альнейшее укрепление биобезопасности за счет совершенствования политики и </w:t>
      </w:r>
      <w:proofErr w:type="gramStart"/>
      <w:r w:rsidRPr="005028C6">
        <w:t>принятия</w:t>
      </w:r>
      <w:proofErr w:type="gramEnd"/>
      <w:r w:rsidRPr="005028C6">
        <w:t xml:space="preserve"> осуществимых мер нормативного регулирования.</w:t>
      </w:r>
    </w:p>
    <w:p w:rsidR="00E869F7" w:rsidRPr="005028C6" w:rsidRDefault="00E869F7" w:rsidP="0000663C">
      <w:pPr>
        <w:pStyle w:val="BulletList"/>
      </w:pPr>
      <w:r w:rsidRPr="005028C6">
        <w:t xml:space="preserve">Приоритеты в области науки и технологии: a) несмотря на то, что научно-технологическая поддержка управления природопользованием находится на удовлетворительном уровне, в большинстве стран региона проблемы, связанные с последствиями воздействия на окружающую среду, решаются неудовлетворительно. </w:t>
      </w:r>
      <w:proofErr w:type="gramStart"/>
      <w:r w:rsidRPr="005028C6">
        <w:t>К</w:t>
      </w:r>
      <w:r w:rsidR="00716DBA">
        <w:t> </w:t>
      </w:r>
      <w:r w:rsidRPr="005028C6">
        <w:t>областям, на которые необходимо обратить особое внимание, относятся вопросы зонирования и оценки производственного потенциала, а также борьбы с загрязнением окружающей среды, оценки воздействия на окружающую среду и смягчения его последствий. b) До сих пор недостаточен уровень научно-технологической поддержки решения проблем устойчивости к изменению климата и адаптации к нему, разработки и сертификации продукции в целях улучшения доступа к рынкам для</w:t>
      </w:r>
      <w:proofErr w:type="gramEnd"/>
      <w:r w:rsidRPr="005028C6">
        <w:t xml:space="preserve"> </w:t>
      </w:r>
      <w:proofErr w:type="gramStart"/>
      <w:r w:rsidRPr="005028C6">
        <w:t>мелких</w:t>
      </w:r>
      <w:proofErr w:type="gramEnd"/>
      <w:r w:rsidRPr="005028C6">
        <w:t xml:space="preserve"> производителей, а также экстренного реагирования на вспышки болезней, хотя именно эти меры широко применяются в регионе. c) Уровень научно-технологической поддержки решения проблем, связанных с питанием, а также с повышением качества селекционной работы и семенного материала весьма разнится в пределах региона</w:t>
      </w:r>
      <w:r w:rsidR="0082602A">
        <w:t>.</w:t>
      </w:r>
      <w:r w:rsidRPr="005028C6">
        <w:t xml:space="preserve"> </w:t>
      </w:r>
      <w:r w:rsidR="0082602A">
        <w:t>Он</w:t>
      </w:r>
      <w:r w:rsidRPr="005028C6">
        <w:t xml:space="preserve"> хорош</w:t>
      </w:r>
      <w:r w:rsidR="0082602A">
        <w:t>о</w:t>
      </w:r>
      <w:r w:rsidRPr="005028C6">
        <w:t xml:space="preserve"> развит в некоторых странах и нуждается в дополнительном финансировании в большинстве стран, особенно в Южной Азии. </w:t>
      </w:r>
      <w:proofErr w:type="gramStart"/>
      <w:r w:rsidRPr="005028C6">
        <w:t xml:space="preserve">К числу конкретных субрегиональных приоритетов относятся: i) </w:t>
      </w:r>
      <w:r w:rsidR="00F321D5">
        <w:t>с</w:t>
      </w:r>
      <w:r w:rsidRPr="005028C6">
        <w:t xml:space="preserve">одействие распространению </w:t>
      </w:r>
      <w:proofErr w:type="spellStart"/>
      <w:r w:rsidRPr="005028C6">
        <w:t>аквапоники</w:t>
      </w:r>
      <w:proofErr w:type="spellEnd"/>
      <w:r w:rsidRPr="005028C6">
        <w:t xml:space="preserve"> и формирование межправительственной сетевой</w:t>
      </w:r>
      <w:r w:rsidR="00BB7978">
        <w:t xml:space="preserve"> </w:t>
      </w:r>
      <w:r w:rsidRPr="005028C6">
        <w:t xml:space="preserve">организации по аквакультуре для Тихоокеанского региона; </w:t>
      </w:r>
      <w:proofErr w:type="spellStart"/>
      <w:r w:rsidRPr="005028C6">
        <w:t>ii</w:t>
      </w:r>
      <w:proofErr w:type="spellEnd"/>
      <w:r w:rsidRPr="005028C6">
        <w:t xml:space="preserve">) </w:t>
      </w:r>
      <w:r w:rsidR="00F321D5">
        <w:t>в</w:t>
      </w:r>
      <w:r w:rsidRPr="005028C6">
        <w:t xml:space="preserve">ыращивание рыбы в садках в прибрежной зоне и использование рисовых полей и земель со скудными почвами для производства аквакультуры в Китае; </w:t>
      </w:r>
      <w:proofErr w:type="spellStart"/>
      <w:r w:rsidRPr="005028C6">
        <w:t>iii</w:t>
      </w:r>
      <w:proofErr w:type="spellEnd"/>
      <w:r w:rsidRPr="005028C6">
        <w:t>)</w:t>
      </w:r>
      <w:r w:rsidR="00F321D5">
        <w:t> и</w:t>
      </w:r>
      <w:r w:rsidRPr="005028C6">
        <w:t>зучение ресурсов аквакультуры и прав пользователей э</w:t>
      </w:r>
      <w:r w:rsidR="003E083E">
        <w:t>тих ресурсов в Южной Азии;</w:t>
      </w:r>
      <w:proofErr w:type="gramEnd"/>
      <w:r w:rsidR="003E083E">
        <w:t xml:space="preserve"> </w:t>
      </w:r>
      <w:proofErr w:type="spellStart"/>
      <w:proofErr w:type="gramStart"/>
      <w:r w:rsidR="003E083E">
        <w:t>iv</w:t>
      </w:r>
      <w:proofErr w:type="spellEnd"/>
      <w:r w:rsidR="003E083E">
        <w:t>) с</w:t>
      </w:r>
      <w:r w:rsidRPr="005028C6">
        <w:t>окращение рыбных отходов за счет использования полезных субпродуктов и повышения ценности продукции аквакультуры с высокой степенью переработки с целью повышен</w:t>
      </w:r>
      <w:r w:rsidR="00716DBA">
        <w:t>ия ее питательных свойств в Юго-</w:t>
      </w:r>
      <w:r w:rsidRPr="005028C6">
        <w:t>Восточной Азии.</w:t>
      </w:r>
      <w:proofErr w:type="gramEnd"/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  <w:jc w:val="both"/>
      </w:pPr>
      <w:r w:rsidRPr="005028C6">
        <w:t>Ряд региональных направлений деятельности и программ, отражающих вышеуказанные приоритеты и осуществляемых ФАО и национальными властями в рамках новой инициативы ФАО "Голубой рост", представлены в рабочем документе COFI:AQ/VIII/2015/7.</w:t>
      </w:r>
    </w:p>
    <w:p w:rsidR="00E869F7" w:rsidRPr="005028C6" w:rsidRDefault="00E869F7" w:rsidP="0000663C">
      <w:pPr>
        <w:pStyle w:val="PageBreak"/>
      </w:pPr>
      <w:r w:rsidRPr="005028C6">
        <w:br w:type="page"/>
      </w:r>
    </w:p>
    <w:p w:rsidR="00E869F7" w:rsidRPr="005028C6" w:rsidRDefault="00E869F7" w:rsidP="0000663C">
      <w:pPr>
        <w:pStyle w:val="Heading2"/>
      </w:pPr>
      <w:r w:rsidRPr="005028C6">
        <w:t>ЕВРОПА (</w:t>
      </w:r>
      <w:proofErr w:type="gramStart"/>
      <w:r w:rsidRPr="005028C6">
        <w:t>ЕВР</w:t>
      </w:r>
      <w:proofErr w:type="gramEnd"/>
      <w:r w:rsidRPr="005028C6">
        <w:t>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 политическом плане признается, что аквакультура обладает потенциалом стимулирования роста и занятости в прибрежных и внутренних районах Европейского Союза. В целом ряде политических документов Евросоюза говорится об аквакультуре как о ключевом компоненте достижения экономического роста и конкурентоспособности на глобальном уровне. К примерам такой политики относятся общая стратегия "Голубого роста", реформированная общая политика в области рыболовства (</w:t>
      </w:r>
      <w:proofErr w:type="gramStart"/>
      <w:r w:rsidRPr="005028C6">
        <w:t>ОПР</w:t>
      </w:r>
      <w:proofErr w:type="gramEnd"/>
      <w:r w:rsidRPr="005028C6">
        <w:t>), стратегии развития морских бассейнов (напр., стратегия развития бассейна Балтийского моря) и пр. Вместе с тем, развитию сектору мешают многочисленные препятствия, к которым только в ЕС можно отнести наличие более 200 директив, регламентов и прочих законодательных актов, которые оказывают непосредственное воздействие на политику и практику управления морской окружающей средой, а во многих европейских странах отсутствует последовательная национальная политика в области аквакультуры</w:t>
      </w:r>
      <w:r w:rsidR="001E6A45" w:rsidRPr="005028C6">
        <w:t xml:space="preserve">. 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В рамках реформы </w:t>
      </w:r>
      <w:proofErr w:type="gramStart"/>
      <w:r w:rsidRPr="005028C6">
        <w:t>ОПР</w:t>
      </w:r>
      <w:proofErr w:type="gramEnd"/>
      <w:r w:rsidRPr="005028C6">
        <w:t xml:space="preserve"> предполагалось развитие и продвижение аквакультуры в ЕС за счет так называемого "открытого метода координации", основанного на стратегических руководящих принципах, многолетних национальных планах, разработанных государствами-членами, и механизмах обмена передовым опытом. В 2013 году Европейская комиссия (ЕК) опубликовала "Стратегические руководящие принципы устойчивого развития аквакультуры в ЕС" с целью оказания содействия странам-членам ЕС в определении собственных национальных целей с учетом соответствующих стартовых позиций, национальных особенностей и организационных механизмов.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proofErr w:type="gramStart"/>
      <w:r w:rsidRPr="005028C6">
        <w:t>Области общих приоритетов в Европе (государства-члены ЕС и страны, не входящие в ЕС) были определены на основании анализа более чем 90 обстоятельных докладов, итогов мероприятий и прочей документации межправительственных организаций, национальных правительств и прочих заинтересованных сторон, включая попытки прогнозирования, приоритизации потребностей, разработки рекомендаций или признания основных вызовов, проблем и сдерживающих факторов, связанных с европейской аквакультурой.</w:t>
      </w:r>
      <w:proofErr w:type="gramEnd"/>
      <w:r w:rsidRPr="005028C6">
        <w:t xml:space="preserve"> С целью подготовки обзора приоритетных сфер и определения основных вызовов, проблем и сдерживающих факторов, в данном исследовании были использованы пять перекрещивающихся категорий: a) </w:t>
      </w:r>
      <w:r w:rsidR="004750F1">
        <w:t>с</w:t>
      </w:r>
      <w:r w:rsidRPr="005028C6">
        <w:t xml:space="preserve">тратегические; b) </w:t>
      </w:r>
      <w:r w:rsidR="004750F1">
        <w:t>а</w:t>
      </w:r>
      <w:r w:rsidRPr="005028C6">
        <w:t xml:space="preserve">дминистративные; c) </w:t>
      </w:r>
      <w:r w:rsidR="004750F1">
        <w:t>т</w:t>
      </w:r>
      <w:r w:rsidRPr="005028C6">
        <w:t>ехнические; d) </w:t>
      </w:r>
      <w:r w:rsidR="004750F1">
        <w:t>к</w:t>
      </w:r>
      <w:r w:rsidRPr="005028C6">
        <w:t>оммерческие</w:t>
      </w:r>
      <w:r w:rsidR="004946C8">
        <w:t>;</w:t>
      </w:r>
      <w:r w:rsidRPr="005028C6">
        <w:t xml:space="preserve"> и e) </w:t>
      </w:r>
      <w:r w:rsidR="004750F1">
        <w:t>п</w:t>
      </w:r>
      <w:r w:rsidRPr="005028C6">
        <w:t>рочие вопросы.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Эти пересекающиеся категории были определены на основании первичного анализа общих элементов, фигурировавших в докладах. В</w:t>
      </w:r>
      <w:r w:rsidR="00BB7978">
        <w:t xml:space="preserve"> </w:t>
      </w:r>
      <w:r w:rsidRPr="005028C6">
        <w:t>рамках зонтичных категорий</w:t>
      </w:r>
      <w:r w:rsidR="00BB7978">
        <w:t xml:space="preserve"> </w:t>
      </w:r>
      <w:r w:rsidRPr="005028C6">
        <w:t>были также выделены подкатегории – для более подробного описания каждой конкретной выявленной проблемы и их сопоставления с целью вычленения сходных черт и отличий, отраженных в</w:t>
      </w:r>
      <w:r w:rsidR="00BB7978">
        <w:t xml:space="preserve"> </w:t>
      </w:r>
      <w:r w:rsidRPr="005028C6">
        <w:t>различных докладах. На основе такого подхода были выявлены тенденции в приоритетных областях для трех целевых групп: a) межправительственные субъекты; b) национальные государственные учреждения; c) заинтересованные стороны. По итогам исследования были определены приоритетные области для Европы, а также отмечены некоторые сходные черты и отличия в контексте стратегического планирования и рабочих планов для различных стран Европы.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Основные выводы: </w:t>
      </w:r>
      <w:r w:rsidR="00BA5D60">
        <w:t>н</w:t>
      </w:r>
      <w:r w:rsidRPr="005028C6">
        <w:t>а основании ряда докладов (число указано в скобках), отражающих данную приоритетную область, было определено следующих 12 приоритетных областей:</w:t>
      </w:r>
    </w:p>
    <w:p w:rsidR="00E869F7" w:rsidRPr="005028C6" w:rsidRDefault="00E869F7" w:rsidP="0000663C">
      <w:pPr>
        <w:pStyle w:val="BulletList"/>
      </w:pPr>
      <w:r w:rsidRPr="005028C6">
        <w:t>Упрощение административных процедур (18)</w:t>
      </w:r>
    </w:p>
    <w:p w:rsidR="00E869F7" w:rsidRPr="005028C6" w:rsidRDefault="00E869F7" w:rsidP="0000663C">
      <w:pPr>
        <w:pStyle w:val="BulletList"/>
      </w:pPr>
      <w:r w:rsidRPr="005028C6">
        <w:t>Обеспечение устойчивого развития и роста аквакультуры в рамках комплексного пространственного планирования (18)</w:t>
      </w:r>
    </w:p>
    <w:p w:rsidR="00E869F7" w:rsidRPr="005028C6" w:rsidRDefault="00E869F7" w:rsidP="0000663C">
      <w:pPr>
        <w:pStyle w:val="BulletList"/>
      </w:pPr>
      <w:r w:rsidRPr="005028C6">
        <w:t>Повышение конкурентоспособности аквакультуры в ЕС (17)</w:t>
      </w:r>
    </w:p>
    <w:p w:rsidR="00E869F7" w:rsidRPr="005028C6" w:rsidRDefault="00E869F7" w:rsidP="0000663C">
      <w:pPr>
        <w:pStyle w:val="BulletList"/>
      </w:pPr>
      <w:r w:rsidRPr="005028C6">
        <w:t>Здоровье и благополучие поголовья рыбы (15)</w:t>
      </w:r>
    </w:p>
    <w:p w:rsidR="00E869F7" w:rsidRPr="005028C6" w:rsidRDefault="00E869F7" w:rsidP="0000663C">
      <w:pPr>
        <w:pStyle w:val="BulletList"/>
      </w:pPr>
      <w:r w:rsidRPr="005028C6">
        <w:t>Обеспечение равных условий для операторов ЕС за счет использования конкурентных преимуществ (14)</w:t>
      </w:r>
    </w:p>
    <w:p w:rsidR="00E869F7" w:rsidRPr="005028C6" w:rsidRDefault="00E869F7" w:rsidP="0000663C">
      <w:pPr>
        <w:pStyle w:val="BulletList"/>
      </w:pPr>
      <w:r w:rsidRPr="005028C6">
        <w:t>Приоритетное развитие аквакультуры (13)</w:t>
      </w:r>
    </w:p>
    <w:p w:rsidR="00E869F7" w:rsidRPr="005028C6" w:rsidRDefault="00E869F7" w:rsidP="0000663C">
      <w:pPr>
        <w:pStyle w:val="BulletList"/>
      </w:pPr>
      <w:r w:rsidRPr="005028C6">
        <w:t>Нормативная работа и окружающая среда (13)</w:t>
      </w:r>
    </w:p>
    <w:p w:rsidR="00E869F7" w:rsidRPr="005028C6" w:rsidRDefault="00E869F7" w:rsidP="0000663C">
      <w:pPr>
        <w:pStyle w:val="BulletList"/>
      </w:pPr>
      <w:r w:rsidRPr="005028C6">
        <w:t>Восприятие со стороны общественности (13)</w:t>
      </w:r>
    </w:p>
    <w:p w:rsidR="00E869F7" w:rsidRPr="005028C6" w:rsidRDefault="00E869F7" w:rsidP="0000663C">
      <w:pPr>
        <w:pStyle w:val="BulletList"/>
      </w:pPr>
      <w:r w:rsidRPr="005028C6">
        <w:t>Лицензирование (12)</w:t>
      </w:r>
    </w:p>
    <w:p w:rsidR="00E869F7" w:rsidRPr="005028C6" w:rsidRDefault="00E869F7" w:rsidP="0000663C">
      <w:pPr>
        <w:pStyle w:val="BulletList"/>
      </w:pPr>
      <w:r w:rsidRPr="005028C6">
        <w:t xml:space="preserve">Инновационные технологии (12) </w:t>
      </w:r>
    </w:p>
    <w:p w:rsidR="00E869F7" w:rsidRPr="005028C6" w:rsidRDefault="00E869F7" w:rsidP="0000663C">
      <w:pPr>
        <w:pStyle w:val="BulletList"/>
      </w:pPr>
      <w:r w:rsidRPr="005028C6">
        <w:t>Передача знаний из научной сферы в сферу производства (12)</w:t>
      </w:r>
    </w:p>
    <w:p w:rsidR="00E869F7" w:rsidRPr="005028C6" w:rsidRDefault="00E869F7" w:rsidP="0000663C">
      <w:pPr>
        <w:pStyle w:val="BulletList"/>
      </w:pPr>
      <w:r w:rsidRPr="005028C6">
        <w:t>Стратегии устойчивого развития аквакультуры (12)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Более конкретный обзор результатов приводится в разбивке по следующим пяти категориям:</w:t>
      </w:r>
    </w:p>
    <w:p w:rsidR="00E869F7" w:rsidRPr="005028C6" w:rsidRDefault="00E869F7" w:rsidP="0000663C">
      <w:pPr>
        <w:pStyle w:val="BulletList"/>
      </w:pPr>
      <w:r w:rsidRPr="005028C6">
        <w:t xml:space="preserve">Стратегические приоритетные области: </w:t>
      </w:r>
      <w:r w:rsidR="00A22F17">
        <w:t>в</w:t>
      </w:r>
      <w:r w:rsidRPr="005028C6">
        <w:t xml:space="preserve"> рамках этой стратегической категории все заинтересованные стороны обозначили в качестве </w:t>
      </w:r>
      <w:proofErr w:type="gramStart"/>
      <w:r w:rsidRPr="005028C6">
        <w:t>основных</w:t>
      </w:r>
      <w:proofErr w:type="gramEnd"/>
      <w:r w:rsidRPr="005028C6">
        <w:t xml:space="preserve"> два приоритета "Равные условия для участников" (по документам ЕС стратегический приоритет</w:t>
      </w:r>
      <w:r w:rsidR="00BB7978">
        <w:t xml:space="preserve"> </w:t>
      </w:r>
      <w:r w:rsidRPr="005028C6">
        <w:t>№ 4) и "Конкурентоспособность" (стратегический приоритет ЕС № 3), за которыми следовала "</w:t>
      </w:r>
      <w:proofErr w:type="spellStart"/>
      <w:r w:rsidRPr="005028C6">
        <w:t>Приоритизация</w:t>
      </w:r>
      <w:proofErr w:type="spellEnd"/>
      <w:r w:rsidRPr="005028C6">
        <w:t xml:space="preserve"> в интересах развития". В частности, межправительственные органы и группы, представлявшие широкий круг заинтересованных сторон, подчеркивали значение этих сфер, а последние также настаивали на необходимости иметь концепцию развития этой отрасли. В проанализированных национальных докладах по Греции, Испании и Соединенному королевству в соответствии со стратегическими руководящими принципами ЕС отражены необходимые стратегические элементы. Интересно, что Норвегия в категории "стратегических" не указала ни одного приоритета, тогда как в российских и украинских документах к таким отнесены конкуренция и создание благоприятных условий для производителей.</w:t>
      </w:r>
    </w:p>
    <w:p w:rsidR="00E869F7" w:rsidRPr="005028C6" w:rsidRDefault="00E869F7" w:rsidP="0000663C">
      <w:pPr>
        <w:pStyle w:val="BulletList"/>
      </w:pPr>
      <w:r w:rsidRPr="005028C6">
        <w:t xml:space="preserve">Приоритетные административные области: </w:t>
      </w:r>
      <w:r w:rsidR="00825F3E">
        <w:t>в</w:t>
      </w:r>
      <w:r w:rsidRPr="005028C6">
        <w:t xml:space="preserve"> категории административных приоритетов две названные основными проблемы соответствовали приоритетам, указанным в стратегических руководящих принципах ЕС. Соответственно, это были "Регулирование и управление" (стратегический приоритет № 1) и "Зонирование морских пространств" (стратегический приоритет ЕС № 2). В число приоритетов также вошли темы "Нормативное регулирование и защита окружающей среды" и "Лицензирование". Однако при рассмотрении национальных докладов стран, не входящих в ЕСС, выяснилось, что Норвегия обозначила "надлежащее управление аквакультурой", а Российская Федерация отметила решения проблем административного характера (отведение участков в водоемах). Лишь в небольшом числе документов, в основном подготовленных группами с широким кругом заинтересованных сторон, говорилось о таких проблемах, как "Участие государства в управлении" и "Достаточные государственные инвестиции".</w:t>
      </w:r>
    </w:p>
    <w:p w:rsidR="00E869F7" w:rsidRPr="005028C6" w:rsidRDefault="00E869F7" w:rsidP="0000663C">
      <w:pPr>
        <w:pStyle w:val="BulletList"/>
      </w:pPr>
      <w:r w:rsidRPr="005028C6">
        <w:t xml:space="preserve">Приоритетные технические области: </w:t>
      </w:r>
      <w:r w:rsidR="00825F3E">
        <w:t>в</w:t>
      </w:r>
      <w:r w:rsidRPr="005028C6">
        <w:t xml:space="preserve"> рассмотренных документах наиболее часто назывались следующие три проблемы технического характера </w:t>
      </w:r>
      <w:r w:rsidR="0046691C">
        <w:t>–</w:t>
      </w:r>
      <w:r w:rsidRPr="005028C6">
        <w:t xml:space="preserve"> "Здоровье и благополучие поголовья рыбы", а также "Технологические инновации" и "Передача знаний из научной сферы в сферу производства". Хотя стоит отметить, что эти темы получили высокую оценку всех заинтересованных сторон, группы с широким кругом участников несколько больше были склонны отдавать приоритет техническим вопросам. Единственным исключением стала тема "</w:t>
      </w:r>
      <w:proofErr w:type="spellStart"/>
      <w:r w:rsidRPr="005028C6">
        <w:t>Прослеживаемость</w:t>
      </w:r>
      <w:proofErr w:type="spellEnd"/>
      <w:r w:rsidRPr="005028C6">
        <w:t xml:space="preserve">", получившая самые низкие баллы </w:t>
      </w:r>
      <w:r w:rsidR="0046691C">
        <w:t>–</w:t>
      </w:r>
      <w:r w:rsidRPr="005028C6">
        <w:t xml:space="preserve"> ее обозначили в качестве приоритета лишь одно национальное правительство и одна группа с широким кругом заинтересованных сторон.</w:t>
      </w:r>
    </w:p>
    <w:p w:rsidR="00E869F7" w:rsidRPr="005028C6" w:rsidRDefault="00E869F7" w:rsidP="0000663C">
      <w:pPr>
        <w:pStyle w:val="BulletList"/>
      </w:pPr>
      <w:r w:rsidRPr="005028C6">
        <w:t xml:space="preserve">Приоритетные деловые области: </w:t>
      </w:r>
      <w:r w:rsidR="003720E0">
        <w:t>т</w:t>
      </w:r>
      <w:r w:rsidRPr="005028C6">
        <w:t xml:space="preserve">емы, обозначенные в этом разделе, не получили столь высокие оценки по сравнению, например, с </w:t>
      </w:r>
      <w:proofErr w:type="gramStart"/>
      <w:r w:rsidRPr="005028C6">
        <w:t>обозначенными</w:t>
      </w:r>
      <w:proofErr w:type="gramEnd"/>
      <w:r w:rsidRPr="005028C6">
        <w:t xml:space="preserve"> в разделе "Стратегические и административные проблемы". При этом самые высокие оценки получила тема "Поддержка малых и средних предприятий (МСП)". За ней следовала тема "Доступ к капиталу и инвестициям". В национальных докладах приоритеты деловых кругов нашли отражение в докладах Греции, Испании и Соединенного Королевства. Все три страны отметили важность темы "Поддержка малых и средних предприятий (МСП)". Испания также подчеркнула "Доступ к капиталу", а Греция </w:t>
      </w:r>
      <w:r w:rsidR="00383C05">
        <w:t>–</w:t>
      </w:r>
      <w:r w:rsidRPr="005028C6">
        <w:t xml:space="preserve"> покрытие расходов на энергию. Норвегия, Российская Федерация и Украина вообще обошли стороной деловые приоритеты. Из обзора видно, что эти деловые элементы получили невысокую оценку также в докладах межправительственных групп, но включались в рекомендации практически всех групп с широк</w:t>
      </w:r>
      <w:r w:rsidR="00E75D2D">
        <w:t>и</w:t>
      </w:r>
      <w:r w:rsidRPr="005028C6">
        <w:t>м кругом заинтересованных сторон.</w:t>
      </w:r>
    </w:p>
    <w:p w:rsidR="00E869F7" w:rsidRPr="005028C6" w:rsidRDefault="00E869F7" w:rsidP="0000663C">
      <w:pPr>
        <w:pStyle w:val="BulletList"/>
      </w:pPr>
      <w:r w:rsidRPr="005028C6">
        <w:t xml:space="preserve">Прочие приоритетные области: </w:t>
      </w:r>
      <w:r w:rsidR="00B4655F">
        <w:t>в</w:t>
      </w:r>
      <w:r w:rsidRPr="005028C6">
        <w:t xml:space="preserve"> категории "Прочие" наивысшие баллы получили темы "Восприятие общественности" и "Устойчивые стратегии". Не</w:t>
      </w:r>
      <w:r w:rsidR="00B4655F">
        <w:t xml:space="preserve"> </w:t>
      </w:r>
      <w:r w:rsidRPr="005028C6">
        <w:t>намного меньше получили темы "Наращивание масштабов, людской потенциал, преемственность в секторе" (со стороны групп с широким кругом заинтересованных сторон) и "Уменьшение влияния производства на окружающую среду" (в документах национальных правительств). Темами, набравшими меньше всего баллов, стали "органическая аквакультура", отмеченная лишь в двух национальных докладах, и "розничная торговля", отмеченная в рекомендациях двух межправительственных групп и одной группы с широким кругом заинтересованных сторон.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По итогам исследования было установлено, что в проанализированных документах приоритеты были расставлены в соответствии с четырьмя ключевыми приоритетами, содержащимися в стратегических руководящих принципах ЕС, призванных содействовать странам-членам ЕС в определении собственных национальных приоритетов при осуществлении мер, направленных на решение проблем, стоящих перед отраслью аквакультуры. В межправительственной повестке преобладают проблемы стратегического</w:t>
      </w:r>
      <w:r w:rsidR="00BB7978">
        <w:t xml:space="preserve"> </w:t>
      </w:r>
      <w:r w:rsidRPr="005028C6">
        <w:t>и административного характера, тогда как группы с широким кругом заинтересованных сторон сосредоточивали внимание на технических и деловых проблемах.</w:t>
      </w:r>
    </w:p>
    <w:p w:rsidR="00E869F7" w:rsidRPr="005028C6" w:rsidRDefault="00E869F7" w:rsidP="0000663C">
      <w:pPr>
        <w:pStyle w:val="Heading2"/>
        <w:rPr>
          <w:rFonts w:eastAsia="Calibri"/>
        </w:rPr>
      </w:pPr>
      <w:r w:rsidRPr="005028C6">
        <w:t>Латинская Америка и Карибский бассейн (ЛАК)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В регионе Латинской Америки и Карибского бассейна производство аквакультуры постоянно растет в целях удовлетворения спроса на рыбопродукты, который в настоящее время удовлетворяется за счет импорта в регион. Произведя более 2,6 </w:t>
      </w:r>
      <w:proofErr w:type="gramStart"/>
      <w:r w:rsidRPr="005028C6">
        <w:t>млн</w:t>
      </w:r>
      <w:proofErr w:type="gramEnd"/>
      <w:r w:rsidRPr="005028C6">
        <w:t xml:space="preserve"> тонн продукции аквакультуры в 2012 году, что составило почти 4% мирового производства, Латинская Америка и Карибский бассейн вышли на устойчивый среднегодовой рост в 9% на протяжении последних пяти лет.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Производство в регионе распространено крайне неравномерно: на 4 страны (Бразилия, Мексика, Чили и Эквадор) приходится более 80% регионального объема производства аквакультуры. Производство также сконцентрировано на выращивании четырех основных видовых групп. К важнейшим </w:t>
      </w:r>
      <w:proofErr w:type="spellStart"/>
      <w:r w:rsidRPr="005028C6">
        <w:t>аквакультурным</w:t>
      </w:r>
      <w:proofErr w:type="spellEnd"/>
      <w:r w:rsidRPr="005028C6">
        <w:t xml:space="preserve"> видам относятся лососевые и мидии (Чили), </w:t>
      </w:r>
      <w:proofErr w:type="spellStart"/>
      <w:r w:rsidRPr="005028C6">
        <w:t>тиляпия</w:t>
      </w:r>
      <w:proofErr w:type="spellEnd"/>
      <w:r w:rsidRPr="005028C6">
        <w:t xml:space="preserve"> (Бразилия, Гондурас и др.), а также </w:t>
      </w:r>
      <w:proofErr w:type="spellStart"/>
      <w:r w:rsidRPr="005028C6">
        <w:t>белоногая</w:t>
      </w:r>
      <w:proofErr w:type="spellEnd"/>
      <w:r w:rsidRPr="005028C6">
        <w:t xml:space="preserve"> креветка (Эквадор, Бразилия, Гондурасе, Мексика, Никарагуа и др.).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Продвижение "устойчивого развития и расширения аквакультуры в Латинской Америке и Карибском бассейне с существенными позитивными результатами в плане сокращения масштабов бедности и укрепления продовольственной безопасности" является четко сформулированной региональной целью. Об этом можно судить на основании сбора, анализа и обобщения всех соответствующих региональных документов, касающихся региональных оценок, соглашений и рекомендаций соответствующих органов по рыбному хозяйству (Комиссия по рыболовству во внутренних водах Латинской Америки и </w:t>
      </w:r>
      <w:r w:rsidR="00735641">
        <w:t>Карибского бассейна, COPESCAALC</w:t>
      </w:r>
      <w:r w:rsidRPr="005028C6">
        <w:t xml:space="preserve"> и Комиссия по рыболовству в западной части центральной Атлантик</w:t>
      </w:r>
      <w:r w:rsidR="00735641">
        <w:t xml:space="preserve">и, WECAF). </w:t>
      </w:r>
      <w:r w:rsidRPr="005028C6">
        <w:t>О том же свидетельствуют и документы таких межправительственных организаций, как Сеть аквакультуры для американского континента (RAA) и Организация стран Центральной Америки по рыболовству и аквакультуре (OSPESCA).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С учетом вышеупомянутой региональной цели и после идентификации основных угроз и препятствий, а также на основе анализа собранной информации был составлен перечень региональных приоритетов, который приводится ниже.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proofErr w:type="gramStart"/>
      <w:r w:rsidRPr="005028C6">
        <w:t xml:space="preserve">Расширение роли аквакультуры в обеспечении продовольственной и пищевой безопасности, в частности, путем пропаганды потребления продукции аквакультуры среди уязвимых групп; оказания содействия стесненным в средствах рыбоводческим хозяйствам за счет улучшения услуг по распространению знаний и укрепления потенциала; устойчивая интенсификация аквакультуры в рамках инициативы "Голубого роста" и за счет применения </w:t>
      </w:r>
      <w:proofErr w:type="spellStart"/>
      <w:r w:rsidRPr="005028C6">
        <w:t>экосистемного</w:t>
      </w:r>
      <w:proofErr w:type="spellEnd"/>
      <w:r w:rsidRPr="005028C6">
        <w:t xml:space="preserve"> подхода к аквакультуре (ЭПА).</w:t>
      </w:r>
      <w:proofErr w:type="gramEnd"/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Диверсификация аквакультуры там, где это возможно, особенно за счет разведения местных морских видов в </w:t>
      </w:r>
      <w:proofErr w:type="spellStart"/>
      <w:r w:rsidRPr="005028C6">
        <w:t>марикультуре</w:t>
      </w:r>
      <w:proofErr w:type="spellEnd"/>
      <w:r w:rsidRPr="005028C6">
        <w:t xml:space="preserve">. Содействие исследованиям в областях, имеющих отношение к расширению местного производства </w:t>
      </w:r>
      <w:proofErr w:type="spellStart"/>
      <w:r w:rsidRPr="005028C6">
        <w:t>нативных</w:t>
      </w:r>
      <w:proofErr w:type="spellEnd"/>
      <w:r w:rsidRPr="005028C6">
        <w:t xml:space="preserve"> видов, в частности,</w:t>
      </w:r>
      <w:r w:rsidR="00BB7978">
        <w:t xml:space="preserve"> </w:t>
      </w:r>
      <w:r w:rsidRPr="005028C6">
        <w:t>поддержка стесненных в средствах рыбоводческих хозяйств, и особенно в области кормов, питания и биобезопасности.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Повышение вклада аквакультуры в социальную сферу за счет достойной занятости с учетом гендерного фактора и выравнивания условий на протяжении всей цепочки приращения стоимости. Улучшение доступа к рынкам за счет укрепления цепочек приращения стоимости и повышения качества на послеуборочной стадии.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Увеличение инвестиций в </w:t>
      </w:r>
      <w:proofErr w:type="spellStart"/>
      <w:r w:rsidRPr="005028C6">
        <w:t>аквакультуру</w:t>
      </w:r>
      <w:proofErr w:type="spellEnd"/>
      <w:r w:rsidRPr="005028C6">
        <w:t>, укрепление биобезопасности, а также повышение готовности к изменению климата и адаптация к ней во всех системах аквакультуры. Это требует проведения дальнейших исследований для улучшения понимания угроз, связанных с изменением климата, и возможностей смягчения его последствий.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Совершенствование управления аквакультурой, включая разработку и обеспечение соблюдения соответствующих правовых и организационных норм, что рассматривается</w:t>
      </w:r>
      <w:r w:rsidR="00BB7978">
        <w:t xml:space="preserve"> </w:t>
      </w:r>
      <w:r w:rsidRPr="005028C6">
        <w:t>в качестве приоритета всеми странами региона, в особенности с целью увеличения помощи стесненным в средствах рыбоводам, а также пропаганды продукции аквакультуры.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 связи с тем, что производство и развитие аквакультуры</w:t>
      </w:r>
      <w:r w:rsidR="00BB7978">
        <w:t xml:space="preserve"> </w:t>
      </w:r>
      <w:r w:rsidRPr="005028C6">
        <w:t xml:space="preserve">в регионе носит неоднородный характер, столь же двойственны обозначенные приоритеты. Даже несмотря на то, что ведущие </w:t>
      </w:r>
      <w:proofErr w:type="spellStart"/>
      <w:r w:rsidRPr="005028C6">
        <w:t>аквакультурные</w:t>
      </w:r>
      <w:proofErr w:type="spellEnd"/>
      <w:r w:rsidRPr="005028C6">
        <w:t xml:space="preserve"> страны региона в основном опираются на промышленное средне- и крупномасштабное </w:t>
      </w:r>
      <w:proofErr w:type="spellStart"/>
      <w:r w:rsidRPr="005028C6">
        <w:t>аквакультурное</w:t>
      </w:r>
      <w:proofErr w:type="spellEnd"/>
      <w:r w:rsidRPr="005028C6">
        <w:t xml:space="preserve"> производство, необходимость поддержки маломасштабной аквакультуры актуальна для всех стран региона, сходящихся в том, что аквакультура может внести вклад в повышение благосостояния жителей этого региона.</w:t>
      </w:r>
    </w:p>
    <w:p w:rsidR="00E869F7" w:rsidRPr="005028C6" w:rsidRDefault="00E869F7" w:rsidP="0000663C">
      <w:pPr>
        <w:pStyle w:val="Heading2"/>
      </w:pPr>
      <w:r w:rsidRPr="005028C6">
        <w:t>БЛИЖНИЙ ВОСТОК И СЕВЕРНАЯ АФРИКА (БВСА)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Здесь имеются различные возможности для развития аквакультуры, однако имеется и ряд препятствий и проблем, требующих повышенного внимания. Этот сектор производства продовольствия пользуется растущей поддержкой со стороны как государственного, так и частного сектора. </w:t>
      </w:r>
      <w:proofErr w:type="gramStart"/>
      <w:r w:rsidRPr="005028C6">
        <w:t>Оба сходятся в том, что этот сектор может вносить вклад в поставки морепродуктов, деятельность по</w:t>
      </w:r>
      <w:r w:rsidR="00BB7978">
        <w:t xml:space="preserve"> </w:t>
      </w:r>
      <w:r w:rsidRPr="005028C6">
        <w:t>укреплению продовольственной безопасности, способствовать улучшению инфраструктуры в сельских районах, сокращению масштабов бедности и неполноценного питания, преодолению разрыва между импортом и экспортом, повышению среднегодового потребления рыбы на душу населения и удовлетворять растущий национальный и региональный спрос на рыбу.</w:t>
      </w:r>
      <w:proofErr w:type="gramEnd"/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Во всех странах региона имеется соответствующее законодательство, регулирующее вопросы морского промышленного рыболовства, промысла во внутренних водоемах и управления аквакультурой, которые составляют основу широкого</w:t>
      </w:r>
      <w:r w:rsidR="00BB7978">
        <w:t xml:space="preserve"> </w:t>
      </w:r>
      <w:r w:rsidRPr="005028C6">
        <w:t>национального механизма регулирования рыбного хозяйства. Тем не менее, правовая база регулирования рыбного хозяйства развита неравномерно и в большинстве случаев недостаточно. Применение и обеспечение соблюдения нормативных документов все еще нуждаются в укреплении, хотя за последние несколько лет ряд стран добился здесь существенного улучшения, особенно в плане обеспечения соблюдения.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 регионе Ближнего Востока и Северной Африки (БВСА) выделяются несколько основных приоритетных областей. Не все они в равной степени актуальны для всех стран региона. Это зависит от конкретных условий в каждой стране и той степени, в которой каждая такая область рассматривается в качестве приоритета, а также очередности решения других проблем в целях обеспечения устойчивого роста в секторе аквакультуры. Эти приоритетные области можно в целом охарактеризовать следующим образом, не отдавая приоритет одним</w:t>
      </w:r>
      <w:r w:rsidR="00BB7978">
        <w:t xml:space="preserve"> </w:t>
      </w:r>
      <w:r w:rsidR="00F2106D">
        <w:t>перед другими.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Регулирование: </w:t>
      </w:r>
      <w:r w:rsidR="00C251E0">
        <w:t>п</w:t>
      </w:r>
      <w:r w:rsidRPr="005028C6">
        <w:t xml:space="preserve">ринятие и обеспечение соблюдения законодательства в целях улучшения регулирования сектора аквакультуры является ключевой областью приоритетного внимания, так как имеющиеся законы обычно касаются рыбного хозяйства в целом. Вновь создаваемые рыбоводческие хозяйства сталкиваются </w:t>
      </w:r>
      <w:r w:rsidR="00C7487A" w:rsidRPr="005028C6">
        <w:t>с</w:t>
      </w:r>
      <w:r w:rsidRPr="005028C6">
        <w:t xml:space="preserve"> множеством бюрократических </w:t>
      </w:r>
      <w:r w:rsidR="00C7487A">
        <w:t>препятствий</w:t>
      </w:r>
      <w:r w:rsidR="00C7487A">
        <w:tab/>
      </w:r>
      <w:r w:rsidRPr="005028C6">
        <w:t>в связи с отсутствием специфического законодательства в области аквакультуры, призванного регулировать эту сферу производственной деятельности. В целях привлечения частных</w:t>
      </w:r>
      <w:r w:rsidR="00BB7978">
        <w:t xml:space="preserve"> </w:t>
      </w:r>
      <w:r w:rsidRPr="005028C6">
        <w:t xml:space="preserve">инвестиций и мониторинга сектора в целом требуется </w:t>
      </w:r>
      <w:proofErr w:type="spellStart"/>
      <w:r w:rsidRPr="005028C6">
        <w:t>межучрежденческая</w:t>
      </w:r>
      <w:proofErr w:type="spellEnd"/>
      <w:r w:rsidRPr="005028C6">
        <w:t xml:space="preserve"> координация между различными органами и министерствами, отвечающими за </w:t>
      </w:r>
      <w:proofErr w:type="spellStart"/>
      <w:r w:rsidRPr="005028C6">
        <w:t>аквакультуру</w:t>
      </w:r>
      <w:proofErr w:type="spellEnd"/>
      <w:r w:rsidRPr="005028C6">
        <w:t>. Более того, эти проблемы управленческого характера усугубляются отсутствием опытных управляющих рыбоводческими хозяйствами и администраторов. В целях сокращения числа конфликтов из-за пользования ресурсами и обеспечения устойчивого роста сектора аквакультуры в регионе чрезвычайно важно наличие комплексного плана пространственного планирования морских зон, а также зонирование аквакультуры и выбор мест для размещения объектов.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Окружающая среда и изменение климата: </w:t>
      </w:r>
      <w:r w:rsidR="00A82E45">
        <w:t>б</w:t>
      </w:r>
      <w:r w:rsidRPr="005028C6">
        <w:t>еспокойство в отношении возможного воздействия на сектор аквакультуры вызывают сценарии изменения и переменчивости климата, особенно в том, что касается доступа к воде и ее качества. Уменьшение воздействия на окружающую среду и повышение экономической эффективности сектора аквакультуры является региональным приоритетом. Понимание экологических, социальных и экономических взаимосвязей, включая аспекты, связанные с производственным потенциалом, влиянием на уязвимые ареалы обитания, оценкой процедур мониторинга и гармонизацией процессов нормативного регулирования считаются приоритетными областями во многих странах региона.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Доступ к вводимым ресурсам и развитие потенциала: </w:t>
      </w:r>
      <w:r w:rsidR="00A84E6E">
        <w:t>в</w:t>
      </w:r>
      <w:r w:rsidRPr="005028C6">
        <w:t xml:space="preserve"> регионе наблюдается нехватка воды, кормов</w:t>
      </w:r>
      <w:r w:rsidR="00BB7978">
        <w:t xml:space="preserve"> </w:t>
      </w:r>
      <w:r w:rsidRPr="005028C6">
        <w:t>и семенного материала надлежащего качества. Приоритетом считается предоставление этих вводимых ресурсов вместе с соответствующими технологиями, включая те, что требуются для поддержания здоровья поголовья и борьбы с болезнями, а также направление обученных профессионалов, имеющих солидную научную подготовку.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Исследования и разработки и сотрудничество по научной линии: </w:t>
      </w:r>
      <w:r w:rsidR="001230A1">
        <w:t>д</w:t>
      </w:r>
      <w:r w:rsidRPr="005028C6">
        <w:t>ля повышения видового разнообразия и диверсификации производства с учетом новых рынков требуются дополнительные исследования. Необходим механизм для обеспечения обмена техническими знаниями, информацией и опытом между странами. Расширение сотрудничества и координации, обмен знаниями и информацией между специализированными научно-исследовательскими учреждениями, а также укрепление национального потенциала будут иметь решающее значение для придания более гибкого характера этой отрасли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Гендерный фактор в аквакультуре: </w:t>
      </w:r>
      <w:r w:rsidR="001230A1">
        <w:t>в</w:t>
      </w:r>
      <w:r w:rsidRPr="005028C6">
        <w:t xml:space="preserve"> аквакультуре региона в основном доминируют мужчины. Женщины в аквакультуре обычно задействованы в разведении пресноводных видов рыбы и креветки, а также в торговле рыбой и маркетинге, т.е. в основном в операциях на послеуборочной стадии, однако их мнение редко спрашивают при принятии решений, связанных с управлением и рынками. Улучшение условий в этом секторе должно сделать работу в области аквакультуры более привлекательной для женщин, более активно вовлекать их в процесс принятия решений и обеспечить достойные заработки</w:t>
      </w:r>
      <w:r w:rsidR="001230A1" w:rsidRPr="005028C6">
        <w:t xml:space="preserve">. 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Капитал и инвестиции: </w:t>
      </w:r>
      <w:r w:rsidR="00194294">
        <w:t>к</w:t>
      </w:r>
      <w:r w:rsidRPr="005028C6">
        <w:t xml:space="preserve"> проблемам в этой сфере, ставшим актуальными для региона, можно отнести высокие первоначальные капитальные</w:t>
      </w:r>
      <w:r w:rsidR="00BB7978">
        <w:t xml:space="preserve"> </w:t>
      </w:r>
      <w:r w:rsidRPr="005028C6">
        <w:t xml:space="preserve">и операционные затраты, отсутствие льготного кредитования, нехватку местных поставщиков вводимых ресурсов и отсутствие рыночной информации. Смягчение бюрократических барьеров для инвесторов необходимо в связи с тем, что слабость политических механизмов остается препятствием для привлечения местных и иностранных инвесторов. Приоритет также отдается прочным маркетинговым стратегиям, внедрению и реализации систем </w:t>
      </w:r>
      <w:proofErr w:type="spellStart"/>
      <w:r w:rsidRPr="005028C6">
        <w:t>прослеживаемости</w:t>
      </w:r>
      <w:proofErr w:type="spellEnd"/>
      <w:r w:rsidRPr="005028C6">
        <w:t>, а также разработке продуктов с добавленной стоимостью.</w:t>
      </w:r>
    </w:p>
    <w:p w:rsidR="00E869F7" w:rsidRPr="005028C6" w:rsidRDefault="00E869F7" w:rsidP="0000663C"/>
    <w:p w:rsidR="00E869F7" w:rsidRDefault="00E869F7" w:rsidP="0000663C">
      <w:pPr>
        <w:pStyle w:val="NewPara"/>
        <w:jc w:val="both"/>
      </w:pPr>
      <w:r w:rsidRPr="005028C6">
        <w:t xml:space="preserve">Маркетинг: </w:t>
      </w:r>
      <w:r w:rsidR="003A13C7">
        <w:t>д</w:t>
      </w:r>
      <w:r w:rsidRPr="005028C6">
        <w:t xml:space="preserve">ля оценки и мониторинга производства аквакультуры и производственного потенциала необходимо своевременное предоставление информации и статистических данных </w:t>
      </w:r>
      <w:proofErr w:type="gramStart"/>
      <w:r w:rsidRPr="005028C6">
        <w:t>по</w:t>
      </w:r>
      <w:proofErr w:type="gramEnd"/>
      <w:r w:rsidRPr="005028C6">
        <w:t xml:space="preserve"> морской аквакультуре. Фермерам-рыбоводам, творцам политики и прочим главным заинтересованным субъектам следует предоставлять такие стратегические рыночные данные, как уровень потребления рыбной продукции, пункты распределения товаров, рыночные тенденции и торговля продукцией аквакультуры. Осознание потребителем важности экологической чистоты, качества пищевых продуктов и безопасности продукции аквакультуры все больше становится предварительным условием приемлемости и роста потребления морепродуктов в БВСА. Для улучшения имиджа и восприятия общественностью искусственно выращенной продукции требуется решать проблемы, связанные с сертификацией и </w:t>
      </w:r>
      <w:proofErr w:type="spellStart"/>
      <w:r w:rsidRPr="005028C6">
        <w:t>прослеживаемостью</w:t>
      </w:r>
      <w:proofErr w:type="spellEnd"/>
      <w:r w:rsidRPr="005028C6">
        <w:t xml:space="preserve"> продукции аквакультуры.</w:t>
      </w:r>
    </w:p>
    <w:p w:rsidR="00640E9C" w:rsidRDefault="00640E9C" w:rsidP="00640E9C">
      <w:pPr>
        <w:pStyle w:val="ListParagraph"/>
      </w:pPr>
    </w:p>
    <w:p w:rsidR="00640E9C" w:rsidRPr="005028C6" w:rsidRDefault="00640E9C" w:rsidP="00640E9C">
      <w:pPr>
        <w:pStyle w:val="NewPara"/>
        <w:numPr>
          <w:ilvl w:val="0"/>
          <w:numId w:val="0"/>
        </w:numPr>
        <w:jc w:val="both"/>
      </w:pPr>
    </w:p>
    <w:p w:rsidR="00E869F7" w:rsidRPr="005028C6" w:rsidRDefault="00E869F7" w:rsidP="0000663C">
      <w:pPr>
        <w:pStyle w:val="Heading2"/>
      </w:pPr>
      <w:r w:rsidRPr="005028C6">
        <w:t>Северная Америка (СА)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>В изученных основных документах для Канады и Соединенных Штатов Америки выделены пять основных категорий:</w:t>
      </w:r>
    </w:p>
    <w:p w:rsidR="00E869F7" w:rsidRPr="005028C6" w:rsidRDefault="00640E9C" w:rsidP="0000663C">
      <w:pPr>
        <w:pStyle w:val="BulletList"/>
      </w:pPr>
      <w:r>
        <w:t>и</w:t>
      </w:r>
      <w:r w:rsidR="00E869F7" w:rsidRPr="005028C6">
        <w:t>сследования и разработки;</w:t>
      </w:r>
    </w:p>
    <w:p w:rsidR="00E869F7" w:rsidRPr="005028C6" w:rsidRDefault="00640E9C" w:rsidP="0000663C">
      <w:pPr>
        <w:pStyle w:val="BulletList"/>
      </w:pPr>
      <w:r>
        <w:t>н</w:t>
      </w:r>
      <w:r w:rsidR="00E869F7" w:rsidRPr="005028C6">
        <w:t>ормативно-правовая база;</w:t>
      </w:r>
    </w:p>
    <w:p w:rsidR="00E869F7" w:rsidRPr="005028C6" w:rsidRDefault="00640E9C" w:rsidP="0000663C">
      <w:pPr>
        <w:pStyle w:val="BulletList"/>
      </w:pPr>
      <w:r>
        <w:t>э</w:t>
      </w:r>
      <w:r w:rsidR="00E869F7" w:rsidRPr="005028C6">
        <w:t>кологически устойчивая аквакультура;</w:t>
      </w:r>
    </w:p>
    <w:p w:rsidR="00E869F7" w:rsidRPr="005028C6" w:rsidRDefault="00640E9C" w:rsidP="0000663C">
      <w:pPr>
        <w:pStyle w:val="BulletList"/>
      </w:pPr>
      <w:r>
        <w:t>э</w:t>
      </w:r>
      <w:r w:rsidR="00E869F7" w:rsidRPr="005028C6">
        <w:t>кономическое развитие;</w:t>
      </w:r>
    </w:p>
    <w:p w:rsidR="00E869F7" w:rsidRPr="005028C6" w:rsidRDefault="00640E9C" w:rsidP="0000663C">
      <w:pPr>
        <w:pStyle w:val="BulletList"/>
      </w:pPr>
      <w:r>
        <w:t>б</w:t>
      </w:r>
      <w:r w:rsidR="00E869F7" w:rsidRPr="005028C6">
        <w:t>иобезопасность.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Некоторые проблемы более остро стояли в том или ином регионе или </w:t>
      </w:r>
      <w:proofErr w:type="spellStart"/>
      <w:r w:rsidRPr="005028C6">
        <w:t>субрегионе</w:t>
      </w:r>
      <w:proofErr w:type="spellEnd"/>
      <w:r w:rsidRPr="005028C6">
        <w:t xml:space="preserve">, однако на большинство из них с достаточным постоянством указывалось как на имеющие </w:t>
      </w:r>
      <w:proofErr w:type="gramStart"/>
      <w:r w:rsidRPr="005028C6">
        <w:t>важное значение</w:t>
      </w:r>
      <w:proofErr w:type="gramEnd"/>
      <w:r w:rsidRPr="005028C6">
        <w:t xml:space="preserve"> для развития сектора аквакультуры в Северной Америке.</w:t>
      </w:r>
    </w:p>
    <w:p w:rsidR="00E869F7" w:rsidRPr="005028C6" w:rsidRDefault="00E869F7" w:rsidP="0000663C">
      <w:pPr>
        <w:pStyle w:val="NewPara"/>
        <w:jc w:val="both"/>
      </w:pPr>
      <w:r w:rsidRPr="005028C6">
        <w:t xml:space="preserve">Исследования и разработки: </w:t>
      </w:r>
      <w:r w:rsidR="00380D20">
        <w:t>р</w:t>
      </w:r>
      <w:r w:rsidRPr="005028C6">
        <w:t xml:space="preserve">азвитие устойчивой </w:t>
      </w:r>
      <w:proofErr w:type="spellStart"/>
      <w:r w:rsidRPr="005028C6">
        <w:t>аквакультурной</w:t>
      </w:r>
      <w:proofErr w:type="spellEnd"/>
      <w:r w:rsidRPr="005028C6">
        <w:t xml:space="preserve"> отрасли требует совместных исследований и разработок между промышленностью, государственными учреждениями и другими партнерами по финансированию. В основе это включает наращивание научного потенциала</w:t>
      </w:r>
      <w:r w:rsidR="00BB7978">
        <w:t xml:space="preserve"> </w:t>
      </w:r>
      <w:r w:rsidRPr="005028C6">
        <w:t>- как в плане людских ресурсов, так и инфраструктуры. С целью укрепления научного потенциала и знаний, требующихся для консультирования</w:t>
      </w:r>
      <w:r w:rsidR="00BB7978">
        <w:t xml:space="preserve"> </w:t>
      </w:r>
      <w:r w:rsidRPr="005028C6">
        <w:t xml:space="preserve">и информирования государства и отрасли, был сформулирован целый ряд приоритетных задач в области исследований и разработок. </w:t>
      </w:r>
      <w:proofErr w:type="gramStart"/>
      <w:r w:rsidRPr="005028C6">
        <w:t>Исследования сосредоточены на трех основных проблемах: 1) улучшение сегодняшних методов и вводимых ресурсов; 2) разработка новых технологий, методов и вводимых ресурсов; 3) исследование потенциального воздействия производства аквакультуры на окружающую среду.</w:t>
      </w:r>
      <w:proofErr w:type="gramEnd"/>
      <w:r w:rsidRPr="005028C6">
        <w:t xml:space="preserve"> К улучшениям относились более устойчивые корма для аквакультуры, генетические признаки маточного поголовья</w:t>
      </w:r>
      <w:r w:rsidR="00BB7978">
        <w:t xml:space="preserve"> </w:t>
      </w:r>
      <w:r w:rsidRPr="005028C6">
        <w:t xml:space="preserve">и соответствующие передовые методы управления (ПМУ). </w:t>
      </w:r>
      <w:proofErr w:type="gramStart"/>
      <w:r w:rsidRPr="005028C6">
        <w:t xml:space="preserve">Разработка новых технологий включает альтернативные производственные системы (например, комплексная многовидовая аквакультура (IMTA), </w:t>
      </w:r>
      <w:proofErr w:type="spellStart"/>
      <w:r w:rsidRPr="005028C6">
        <w:t>рециркуляционные</w:t>
      </w:r>
      <w:proofErr w:type="spellEnd"/>
      <w:r w:rsidRPr="005028C6">
        <w:t xml:space="preserve"> системы аквакультуры (RAS), пилотные проекты по оценке коммерческой рентабельности этих технологий и потенциальных альтернативных выращиваемых видов.</w:t>
      </w:r>
      <w:proofErr w:type="gramEnd"/>
      <w:r w:rsidRPr="005028C6">
        <w:t xml:space="preserve"> Понимание воздействия на окружающую среду важно в связи с тем, что оно должно стимулировать исследования и разработки с целью улучшения положения, а также способствовать развитию нормативно-правовой базы и политики.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Нормативно-правовая база: </w:t>
      </w:r>
      <w:r w:rsidR="00C65CAE">
        <w:t>в</w:t>
      </w:r>
      <w:r w:rsidRPr="005028C6">
        <w:t xml:space="preserve"> Канаде и в Соединенных Штат</w:t>
      </w:r>
      <w:r w:rsidR="00B27687">
        <w:t>ах</w:t>
      </w:r>
      <w:r w:rsidRPr="005028C6">
        <w:t xml:space="preserve"> Америки аквакультура является сферой совместной юрисдикции. В данном контексте федеральные правительства и органы власти штатов и провинций будут работать для решения проблем в области нормативно-правового регулирования совместно с отраслью и другими заинтересованными сторонами. Приоритеты в области нормативно-правового регулирования направлены на повышение результативности и эффективности управления системами аквакультуры с </w:t>
      </w:r>
      <w:proofErr w:type="gramStart"/>
      <w:r w:rsidRPr="005028C6">
        <w:t>целью</w:t>
      </w:r>
      <w:proofErr w:type="gramEnd"/>
      <w:r w:rsidRPr="005028C6">
        <w:t xml:space="preserve"> как обеспечения экологической устойчивости, так и устранения излишних барьеров. Нынешние правовые нормы в области аквакультуры должны быть пересмотрены, упорядочены и обновлены на основе достоверной научной информации с целью улучшения результатов для окружающей среды и выбора наиболее подходящих методов регулирования. Еще один приоритет, выведенный для Северной Америки </w:t>
      </w:r>
      <w:r w:rsidR="004D6B6F">
        <w:t>–</w:t>
      </w:r>
      <w:r w:rsidRPr="005028C6">
        <w:t xml:space="preserve"> это</w:t>
      </w:r>
      <w:r w:rsidR="00BB7978">
        <w:t xml:space="preserve"> </w:t>
      </w:r>
      <w:r w:rsidRPr="005028C6">
        <w:t>упорядочение существующей нормативно-правовой базы либо разработка комплексной программы, особенно в тех случаях, когда надзорные функции осуществляют несколько учреждений или программ.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Экологическая устойчивость: </w:t>
      </w:r>
      <w:r w:rsidR="00A1758A">
        <w:t>д</w:t>
      </w:r>
      <w:r w:rsidRPr="005028C6">
        <w:t xml:space="preserve">остижение экологической устойчивости аквакультуры обеспечивается с помощью ряда механизмов. Наиболее желанными результатами здесь являются защита, здоровье и состояние диких видов и окружающей среды. Для достижения этой цели приоритет отдается целому ряду стратегических областей и мер, включая социальное лицензирование, отчетность и зональное управление. Соблюдение норм и обеспечение их выполнения можно проверить путем установления требований по отчетности как в отношении экономических и производственных, так и социально-экономических показателей. Прозрачная для общественности отчетность расширяет возможности для более активного вовлечения заинтересованных сторон и совместного планирования. Зональное управление </w:t>
      </w:r>
      <w:r w:rsidR="00031DD7">
        <w:t>–</w:t>
      </w:r>
      <w:r w:rsidRPr="005028C6">
        <w:t xml:space="preserve"> это экосистемный подход с учетом здоровья рыбного поголовья, борьбы с инвазивными водными видами и генетических факторов. В рамках зонального управления рассматривается, каким образом эти проблемы решаются в рамках конкретной географической области на существующих и на новых объектах: в плане оценки применения, мониторинга, зонирования морских пространств, а также решения вопроса о возможных новых пользователях.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Экономическое развитие: </w:t>
      </w:r>
      <w:r w:rsidR="00B979C4">
        <w:t>а</w:t>
      </w:r>
      <w:r w:rsidRPr="005028C6">
        <w:t xml:space="preserve">квакультура в Северной Америке </w:t>
      </w:r>
      <w:r w:rsidR="00CD32AA">
        <w:t>–</w:t>
      </w:r>
      <w:r w:rsidRPr="005028C6">
        <w:t xml:space="preserve"> это входящая в пору зрелости индустрия, в которой основными приоритетами заявлены продолжение экономического роста и развитие. Для устранения барьеров роста требуется взаимодействие между государственным и частным сектором с целью увеличения занятости и доступности североамериканской продукции на местном и международном рынке. Механизмы укрепления потенциала также включают создание базовой инфраструктуры и поддержку структур, </w:t>
      </w:r>
      <w:r w:rsidR="00301406" w:rsidRPr="005028C6">
        <w:t>необходимых</w:t>
      </w:r>
      <w:r w:rsidRPr="005028C6">
        <w:t xml:space="preserve"> для развития и обеспечения функционирования аквакультуры. </w:t>
      </w:r>
      <w:proofErr w:type="gramStart"/>
      <w:r w:rsidRPr="005028C6">
        <w:t>Зачастую производителям трудно обеспечить финансирование, а минимизация этих проблем требует улучшения управления с учетом фактора риска и доступа к финансированию в целях широкого применения передового управленческого опыта, внедрения программ контрольных показателей</w:t>
      </w:r>
      <w:r w:rsidR="00BB7978">
        <w:t xml:space="preserve"> </w:t>
      </w:r>
      <w:r w:rsidRPr="005028C6">
        <w:t>и сертификации, выдвижения рыночных инициатив и устранения торговых барьеров, а также анализа ограничений, связанных с обычными способами финансирования с целью обеспечения доступа к капиталам и страхованию поголовья в аквакультуре</w:t>
      </w:r>
      <w:proofErr w:type="gramEnd"/>
      <w:r w:rsidRPr="005028C6">
        <w:t>. Развитию могут также препятствовать отсутствие государственной поддержки, а также сотрудничества на межведомственном уровне и с другими заинтересованными сторонами. К стратегическим мерам, направленным на усиление государственной поддержки, относятся связь с местными общинами, вовлечение их в общие процессы и внедрение образовательных программ, рассчитанных на широкие круги. Развитие и поддержка партнерских связей между государственными учреждениями, научно-исследовательскими заведениями, частными компаниями, общинами и прочими общественными группами способствуют инновациям и передаче знаний и технологии. Рабочие места, создаваемые по мере роста аквакультуры, необходимо заполнять квалифицированной рабочей силой, поэтому повышение доступности программ обучения и повышения квалификации также было отнесено к приоритетам.</w:t>
      </w:r>
    </w:p>
    <w:p w:rsidR="00E869F7" w:rsidRPr="005028C6" w:rsidRDefault="00E869F7" w:rsidP="0000663C"/>
    <w:p w:rsidR="00E869F7" w:rsidRPr="005028C6" w:rsidRDefault="00E869F7" w:rsidP="0000663C">
      <w:pPr>
        <w:pStyle w:val="NewPara"/>
        <w:jc w:val="both"/>
      </w:pPr>
      <w:r w:rsidRPr="005028C6">
        <w:t xml:space="preserve">Биобезопасность: </w:t>
      </w:r>
      <w:r w:rsidR="005A280A">
        <w:t>у</w:t>
      </w:r>
      <w:r w:rsidRPr="005028C6">
        <w:t>лучшение управления аспектами, связанными с биобезопасностью, тесно связано с развитием экологически устойчивой аквакультуры. Многие системы производства аквакультуры открыты (либо частично открыты) для окружающих экосистем, и существует опасность утечки из этих систем экзотических либо местных патогенных организмов</w:t>
      </w:r>
      <w:r w:rsidR="00BB7978">
        <w:t xml:space="preserve"> </w:t>
      </w:r>
      <w:r w:rsidRPr="005028C6">
        <w:t xml:space="preserve">или видов. Комплексные программы охраны здоровья рыбы, моллюсков и ракообразных включают обязательное уведомление о вспышках заболеваний, экстренные меры по борьбе с ними, </w:t>
      </w:r>
      <w:proofErr w:type="gramStart"/>
      <w:r w:rsidRPr="005028C6">
        <w:t>контроль за</w:t>
      </w:r>
      <w:proofErr w:type="gramEnd"/>
      <w:r w:rsidRPr="005028C6">
        <w:t xml:space="preserve"> импортом, зонирование, контроль за перемещением живого материала, что может предотвратить распространение патогенных организмов на объектах аквакультуры и на дикие популяции. </w:t>
      </w:r>
      <w:proofErr w:type="gramStart"/>
      <w:r w:rsidRPr="005028C6">
        <w:t>Контроль за</w:t>
      </w:r>
      <w:proofErr w:type="gramEnd"/>
      <w:r w:rsidRPr="005028C6">
        <w:t xml:space="preserve"> перемещением живых организмов и зонирование также являются важными элементами недопущения инвазивных видов. При этом требуется принимать меры по предотвращению дальнейшего распространения выявленных популяций. Методы предупреждения ухода в дикую среду и соответствующие технологии производства чрезвычайно важны для предотвращения такого ухода. Если эти методы не срабатывают, то надежность системы обеспечивается за счет резервных механизмов реагирования.</w:t>
      </w:r>
    </w:p>
    <w:p w:rsidR="00E869F7" w:rsidRPr="005028C6" w:rsidRDefault="00E869F7" w:rsidP="0000663C">
      <w:pPr>
        <w:pStyle w:val="Heading2"/>
      </w:pPr>
      <w:proofErr w:type="spellStart"/>
      <w:r w:rsidRPr="005028C6">
        <w:t>Субсахарская</w:t>
      </w:r>
      <w:proofErr w:type="spellEnd"/>
      <w:r w:rsidRPr="005028C6">
        <w:t xml:space="preserve"> Африка (ССА)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proofErr w:type="gramStart"/>
      <w:r w:rsidRPr="005028C6">
        <w:t>Это резюме было подготовлено на основе документальных свидетельств ведущих технических и научных экспертов континента, итогов ряда последних политических встреч на высоком уровне, включая Конференцию министров рыбного хозяйства и аквакультуры африканских стран в рамках Африканского союза (CAMFA), сессии Комитета по рыболовству и аквакультуре во внутренних водоемах</w:t>
      </w:r>
      <w:r w:rsidR="00BB7978">
        <w:t xml:space="preserve"> </w:t>
      </w:r>
      <w:r w:rsidRPr="005028C6">
        <w:t>Африки (КРАВВА) и Региональные конференции ФАО для Африки.</w:t>
      </w:r>
      <w:proofErr w:type="gramEnd"/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>Отмечалось, что в Африке имеется до сих пор не задействованный потенциал аквакультуры, который может способствовать ликвидации</w:t>
      </w:r>
      <w:r w:rsidR="00BB7978">
        <w:t xml:space="preserve"> </w:t>
      </w:r>
      <w:r w:rsidRPr="005028C6">
        <w:t>голода, достижению продовольственной и пищевой безопасности, в особенности сельских женщин и молодежи, укреплению источников сре</w:t>
      </w:r>
      <w:proofErr w:type="gramStart"/>
      <w:r w:rsidRPr="005028C6">
        <w:t>дств к с</w:t>
      </w:r>
      <w:proofErr w:type="gramEnd"/>
      <w:r w:rsidRPr="005028C6">
        <w:t xml:space="preserve">уществованию и повышению благосостояния, а также достижению Целей развития, сформулированных в Декларации тысячелетия. </w:t>
      </w:r>
      <w:proofErr w:type="gramStart"/>
      <w:r w:rsidRPr="005028C6">
        <w:t>Далее также отмечалось, что устойчивому развитию аквакультуры в Африке препятствует ряд факторов, прежде всего недостаточные инвестиции в исследования, технологии, производственную и рыночную инфраструктуру; нехватка и текучесть квалифицированных людских ресурсов как административного, так и производственного звена; неразвитые технологии и службы распространения знаний; ограниченный доступ к надежным источникам качественного семенного материала и кормов;</w:t>
      </w:r>
      <w:proofErr w:type="gramEnd"/>
      <w:r w:rsidRPr="005028C6">
        <w:t xml:space="preserve"> неверная секторальная политика, долгие годы поощрявшая развитие нетоварной аквакультуры натурального типа</w:t>
      </w:r>
      <w:r w:rsidR="00BB7978">
        <w:t xml:space="preserve"> </w:t>
      </w:r>
      <w:r w:rsidRPr="005028C6">
        <w:t xml:space="preserve">во многих странах; недостаточное вовлечение женщин и молодежи в </w:t>
      </w:r>
      <w:proofErr w:type="spellStart"/>
      <w:r w:rsidRPr="005028C6">
        <w:t>аквакультуру</w:t>
      </w:r>
      <w:proofErr w:type="spellEnd"/>
      <w:r w:rsidRPr="005028C6">
        <w:t xml:space="preserve"> как вид экономической деятельности и их ограниченный доступ к производительным ресурсам и услугам. Подчеркивалась также необходимость минимизации угроз, связанных с изменением климата.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>В целях развития этого сектора в масштабах всего континента были сформулированы следующ</w:t>
      </w:r>
      <w:r w:rsidR="00331076">
        <w:t>ие меры приоритетного характера.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 xml:space="preserve">Поддержка инвестиций: </w:t>
      </w:r>
      <w:r w:rsidR="00091148">
        <w:t>с</w:t>
      </w:r>
      <w:r w:rsidRPr="005028C6">
        <w:t xml:space="preserve">оздание Фонда инвестиций в </w:t>
      </w:r>
      <w:proofErr w:type="spellStart"/>
      <w:r w:rsidRPr="005028C6">
        <w:t>аквакультуру</w:t>
      </w:r>
      <w:proofErr w:type="spellEnd"/>
      <w:r w:rsidRPr="005028C6">
        <w:t xml:space="preserve"> в Африке (AIFA) для ускорения развития сектора, в особенности за счет поддержки инвестиций в </w:t>
      </w:r>
      <w:proofErr w:type="spellStart"/>
      <w:r w:rsidRPr="005028C6">
        <w:t>аквакультуру</w:t>
      </w:r>
      <w:proofErr w:type="spellEnd"/>
      <w:r w:rsidRPr="005028C6">
        <w:t xml:space="preserve"> и обеспечения надлежащего и стабильного доступа к кредитованию для малых и средних предприятий аквакультуры. </w:t>
      </w:r>
      <w:proofErr w:type="gramStart"/>
      <w:r w:rsidRPr="005028C6">
        <w:t>Разработка и осуществление политики, стратегий и планов, нацеленных на ускоренный запуск, популяризацию и поддержку предприятий аквакультуры – ориентирующихся на товарное производство, опирающихся на рынок, прибыльных, конкурентоспособных, социально ответственных и безвредных для окружающей среды – в интересах укрепления продовольственной и пищевой безопасности, создания достойных рабочих мест, прежде всего для молодежи и женщин, и обеспечения устойчивого экономического роста.</w:t>
      </w:r>
      <w:proofErr w:type="gramEnd"/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 xml:space="preserve">Оптимизация политики и управления: </w:t>
      </w:r>
      <w:r w:rsidR="00091148">
        <w:t>р</w:t>
      </w:r>
      <w:r w:rsidRPr="005028C6">
        <w:t xml:space="preserve">азработка и применение интегрированных в национальном и международном масштабе прочных механизмов регулирования и управления сферой аквакультуры. </w:t>
      </w:r>
      <w:proofErr w:type="gramStart"/>
      <w:r w:rsidRPr="005028C6">
        <w:t>Такие механизмы будут призваны обеспечивать отражение политики, стратегии и планов в области аквакультуры, прежде всего в национальных планах развития, Комплексной программе развития сельского хозяйства в Африке, поощрять стратегическое сотрудничество на многих направлениях аквакультуры на региональном и международном уровнях в рамках таких схем, как сотрудничество по линии Юг–Юг и Север–Ю</w:t>
      </w:r>
      <w:r w:rsidR="00B7605C">
        <w:t>г</w:t>
      </w:r>
      <w:r w:rsidRPr="005028C6">
        <w:t>, и содействовать работе механизмов по поддержке и укреплению региональных</w:t>
      </w:r>
      <w:r w:rsidR="00BB7978">
        <w:t xml:space="preserve"> </w:t>
      </w:r>
      <w:r w:rsidRPr="005028C6">
        <w:t>органов в</w:t>
      </w:r>
      <w:proofErr w:type="gramEnd"/>
      <w:r w:rsidRPr="005028C6">
        <w:t xml:space="preserve"> области аквакультуры, включая Сеть аквакультуры в Африке и Комитет по рыболовству и аквакультуре во внутренних водоемах</w:t>
      </w:r>
      <w:r w:rsidR="00BB7978">
        <w:t xml:space="preserve"> </w:t>
      </w:r>
      <w:r w:rsidRPr="005028C6">
        <w:t>Африки.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 xml:space="preserve">Развитие людского потенциала: </w:t>
      </w:r>
      <w:r w:rsidR="00132E68">
        <w:t>с</w:t>
      </w:r>
      <w:r w:rsidRPr="005028C6">
        <w:t xml:space="preserve">оздание Центра передового опыта в аквакультуре для Африки (ACEA) с целью, помимо прочего, укрепления людского и исследовательского потенциала стран в области устойчивого развития аквакультуры, а также разработки и </w:t>
      </w:r>
      <w:proofErr w:type="gramStart"/>
      <w:r w:rsidRPr="005028C6">
        <w:t>распространения</w:t>
      </w:r>
      <w:proofErr w:type="gramEnd"/>
      <w:r w:rsidRPr="005028C6">
        <w:t xml:space="preserve"> более совершенных технологий</w:t>
      </w:r>
      <w:r w:rsidR="00BB7978">
        <w:t xml:space="preserve"> </w:t>
      </w:r>
      <w:r w:rsidRPr="005028C6">
        <w:t>и методов ведения аквакультуры на континенте по каналам межрегионального и регионального сотрудничества, в частности, в рамках модели сотрудничества по линии Юг–Юг.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proofErr w:type="gramStart"/>
      <w:r w:rsidRPr="005028C6">
        <w:t xml:space="preserve">Смягчение последствий изменения климата: </w:t>
      </w:r>
      <w:r w:rsidR="00132E68">
        <w:t>з</w:t>
      </w:r>
      <w:r w:rsidRPr="005028C6">
        <w:t>ащита аквакультуры от последствий изменения климата в Африке, в том числе за счет создания Африканской сети по изучению последствий изменения климата для аквакультуры с целью учета вопросов изменения климата в контексте аквакультуры; достаточное финансирование инфраструктуры по сбору, анализу и использованию соответствующих данных об изменении климата; укрепление потенциала, связанного с изменением климата, включая расширение экономических возможностей;</w:t>
      </w:r>
      <w:proofErr w:type="gramEnd"/>
      <w:r w:rsidRPr="005028C6">
        <w:t xml:space="preserve"> а также привлечение молодежи к работе по разъяснению проблематики изменения климата, так как молодежь составляет значительную часть населения</w:t>
      </w:r>
      <w:r w:rsidR="00BB7978">
        <w:t xml:space="preserve"> </w:t>
      </w:r>
      <w:r w:rsidRPr="005028C6">
        <w:t>Африки.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 xml:space="preserve">Поддержка гендерного равенства и предоставление возможностей молодежи: </w:t>
      </w:r>
      <w:r w:rsidR="00710D04">
        <w:t>п</w:t>
      </w:r>
      <w:r w:rsidRPr="005028C6">
        <w:t>родвигать и соблюдать принципы гендерного равенства и создания возможностей для молодежи в программах развития аквакультуры, добиваясь ликвидации дискриминации по гендерному признаку во всех ее формах; создавать условия для полноценного и равноправного участия женщин и молодежи в аквакультуре, в том числе в сегменте рабочей силы при равной оплате, и в деятельности по развитию людского капитала; обеспечение всем женщинам и молодежи, в особенности из бедных и уязвимых слоев населения, равных прав доступа к основным услугам, владения природными ресурсами, включая землю, и доступа к соответствующим новым технологиям, финансовым услугам, а также рынкам вводимых ресурсов и продукции.</w:t>
      </w:r>
    </w:p>
    <w:p w:rsidR="00E869F7" w:rsidRPr="005028C6" w:rsidRDefault="00E869F7" w:rsidP="0000663C">
      <w:pPr>
        <w:jc w:val="both"/>
      </w:pPr>
      <w:r w:rsidRPr="005028C6">
        <w:t>Движение к областям общих приоритетов: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>В целом региональные приоритеты можно сгруппировать по нескольким более общим категориям, обобщенным в таблице, приведенной ниже. Все регионы в качестве приоритетов указали совершенствование управления, включая вопросы регулирования, лицензирования, инвестиционной политики и землепользования. В рамках улучшения административных процедур сгруппированы прочие приоритеты. Точно так же все регионы указали в качестве приоритетов экономическое развитие и укрепление потенциала, взаимное влияние которых растет по мере укрепления цепочек приращения стоимости, рыночных стратегий и инвестиционных механизмов, а также роста масштабов обучения и передачи технологий. Интенсификация исследований и разработки новых технологий были указаны пятью регионами. Здесь приоритеты примерно в равной доле распределились между</w:t>
      </w:r>
      <w:r w:rsidR="00BB7978">
        <w:t xml:space="preserve"> </w:t>
      </w:r>
      <w:r w:rsidRPr="005028C6">
        <w:t xml:space="preserve">интенсификацией производства и уменьшением воздействия на окружающую среду. Эти же регионы в качестве приоритета указали смягчение последствий негативных экологических явлений экстремального характера. </w:t>
      </w:r>
      <w:r w:rsidR="00A629B8">
        <w:t>Четыре</w:t>
      </w:r>
      <w:r w:rsidRPr="005028C6">
        <w:t xml:space="preserve"> региона сочли важными приоритетами разработку методов и технологий смягчения последствий изменения климата, включая диверсификацию аквакультуры. Высокие баллы по шкале приоритетности получили вопросы</w:t>
      </w:r>
      <w:r w:rsidR="00BB7978">
        <w:t xml:space="preserve"> </w:t>
      </w:r>
      <w:r w:rsidRPr="005028C6">
        <w:t>социальной защиты, включая гендерное равенство, внедрение социальных инноваций, создание возможностей для молодежи и справедливой, достойной занятости. Решение проблем биобезопасность, включая вопросы здоровья животных и борьбы с инвазивными видами, были сочтены приоритетными всеми регионами. Три региона назвали улучшение доступа к вводимым ресурсам, в особенности к высококачественным кормам, семенному материалу и водным ресурсам. Наконец, именно эти две цели были выделены двумя регионами, хотя почти все из указанных приоритетов призваны способствовать укреплению продовольственной безопасности и улучшению ситуации с питанием.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>Секретариат в предварительном порядке провел увязку этих категорий со стратегическими целями в рамках пересмотренной общеорганизационной стратегической рамочной программы. Департамент рыболовства и аквакультуры продолжит работу по уточнению этих категорий с учетом организационных результатов и организационных итогов в рамках соответствующих стратегических целей при разработке Программы работы и бюджета. Они также будут сопоставлены с такими новыми механизмами практической реализации, как региональные инициативы и основные области работы Организации. Помимо этого, они должны соответствовать итогам и рекомендациям региональных конференций ФАО.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pPr>
        <w:pStyle w:val="NewPara"/>
      </w:pPr>
      <w:r w:rsidRPr="005028C6">
        <w:t>При условии соответствующего дополнительного финансирования имеется также возможность разработки дополнительных программных областей для осуществления совместно с партнерами, включая ФАО. Если будет сочтено необходимым, они могут составить межсессионную рабочую программу в дополнение к регулярной программе и полевой работе ФАО.</w:t>
      </w:r>
    </w:p>
    <w:p w:rsidR="00E869F7" w:rsidRPr="005028C6" w:rsidRDefault="00E869F7" w:rsidP="0000663C">
      <w:pPr>
        <w:jc w:val="both"/>
      </w:pPr>
    </w:p>
    <w:p w:rsidR="00E869F7" w:rsidRPr="005028C6" w:rsidRDefault="00E869F7" w:rsidP="0000663C">
      <w:r w:rsidRPr="005028C6">
        <w:br w:type="page"/>
      </w:r>
      <w:r w:rsidRPr="005028C6">
        <w:rPr>
          <w:b/>
        </w:rPr>
        <w:t>Таблица 1:</w:t>
      </w:r>
      <w:r w:rsidRPr="005028C6">
        <w:t xml:space="preserve"> Приоритетные области аквакультуры в привязке к стратегическим целям ФАО</w:t>
      </w:r>
    </w:p>
    <w:tbl>
      <w:tblPr>
        <w:tblpPr w:leftFromText="180" w:rightFromText="180" w:vertAnchor="text" w:horzAnchor="margin" w:tblpY="145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3456"/>
        <w:gridCol w:w="1600"/>
        <w:gridCol w:w="1868"/>
      </w:tblGrid>
      <w:tr w:rsidR="00E869F7" w:rsidRPr="005028C6" w:rsidTr="0000663C">
        <w:trPr>
          <w:trHeight w:val="780"/>
        </w:trPr>
        <w:tc>
          <w:tcPr>
            <w:tcW w:w="1165" w:type="pct"/>
            <w:shd w:val="clear" w:color="auto" w:fill="F4F3EC"/>
            <w:vAlign w:val="center"/>
          </w:tcPr>
          <w:p w:rsidR="00E869F7" w:rsidRPr="005028C6" w:rsidRDefault="00E869F7" w:rsidP="0000663C">
            <w:r w:rsidRPr="005028C6">
              <w:t>Главная соответствующая стратегическая цель</w:t>
            </w:r>
          </w:p>
          <w:p w:rsidR="00E869F7" w:rsidRPr="005028C6" w:rsidRDefault="00E869F7" w:rsidP="0000663C">
            <w:r w:rsidRPr="005028C6">
              <w:t>(СЦ)</w:t>
            </w:r>
          </w:p>
        </w:tc>
        <w:tc>
          <w:tcPr>
            <w:tcW w:w="1940" w:type="pct"/>
            <w:shd w:val="clear" w:color="auto" w:fill="F4F3EC"/>
            <w:vAlign w:val="center"/>
          </w:tcPr>
          <w:p w:rsidR="00E869F7" w:rsidRPr="005028C6" w:rsidRDefault="00E869F7" w:rsidP="0000663C">
            <w:r w:rsidRPr="005028C6">
              <w:t>Категория приоритетной области</w:t>
            </w:r>
          </w:p>
        </w:tc>
        <w:tc>
          <w:tcPr>
            <w:tcW w:w="954" w:type="pct"/>
            <w:shd w:val="clear" w:color="auto" w:fill="F4F3EC"/>
            <w:vAlign w:val="center"/>
          </w:tcPr>
          <w:p w:rsidR="00E869F7" w:rsidRPr="005028C6" w:rsidRDefault="00E869F7" w:rsidP="0000663C">
            <w:r w:rsidRPr="005028C6">
              <w:t>Регионы*</w:t>
            </w:r>
          </w:p>
        </w:tc>
        <w:tc>
          <w:tcPr>
            <w:tcW w:w="941" w:type="pct"/>
            <w:shd w:val="clear" w:color="auto" w:fill="F4F3EC"/>
            <w:vAlign w:val="center"/>
          </w:tcPr>
          <w:p w:rsidR="00E869F7" w:rsidRPr="005028C6" w:rsidRDefault="00E869F7" w:rsidP="0000663C">
            <w:r w:rsidRPr="005028C6">
              <w:t>Дополнительная соответствующая</w:t>
            </w:r>
          </w:p>
          <w:p w:rsidR="00E869F7" w:rsidRPr="005028C6" w:rsidRDefault="00E869F7" w:rsidP="0000663C">
            <w:r w:rsidRPr="005028C6">
              <w:t>стратегическая цель</w:t>
            </w:r>
          </w:p>
        </w:tc>
      </w:tr>
      <w:tr w:rsidR="00E869F7" w:rsidRPr="005028C6" w:rsidTr="0000663C">
        <w:trPr>
          <w:trHeight w:val="537"/>
        </w:trPr>
        <w:tc>
          <w:tcPr>
            <w:tcW w:w="1165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 1</w:t>
            </w:r>
          </w:p>
          <w:p w:rsidR="00E869F7" w:rsidRPr="005028C6" w:rsidRDefault="00E869F7" w:rsidP="0000663C">
            <w:r w:rsidRPr="005028C6">
              <w:t>Содействие искоренению голода и решению проблемы отсутствия продовольственной безопасности и неполноценного питания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Укрепление продовольственной безопасности и улучшение питания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ЛАК,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  <w:r w:rsidRPr="005028C6">
              <w:t>, СЦ</w:t>
            </w:r>
          </w:p>
        </w:tc>
      </w:tr>
      <w:tr w:rsidR="00E869F7" w:rsidRPr="005028C6" w:rsidTr="0000663C">
        <w:trPr>
          <w:trHeight w:val="533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 2</w:t>
            </w:r>
          </w:p>
          <w:p w:rsidR="00E869F7" w:rsidRPr="005028C6" w:rsidRDefault="00E869F7" w:rsidP="0000663C">
            <w:r w:rsidRPr="005028C6">
              <w:t>Устойчивое увеличение объема и повышение качества товаров и услуг сельского, лесного и рыбного хозяйства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Увеличение масштабов обучения, развития потенциала и передачи технологии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БВСА, 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СЦ3</w:t>
            </w:r>
          </w:p>
        </w:tc>
      </w:tr>
      <w:tr w:rsidR="00E869F7" w:rsidRPr="005028C6" w:rsidTr="0000663C">
        <w:trPr>
          <w:trHeight w:val="543"/>
        </w:trPr>
        <w:tc>
          <w:tcPr>
            <w:tcW w:w="1165" w:type="pct"/>
            <w:vMerge/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Стимулирование исследований и разработок новых технологий для устойчивой интенсификации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БВСА, 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4</w:t>
            </w:r>
            <w:proofErr w:type="gramEnd"/>
          </w:p>
        </w:tc>
      </w:tr>
      <w:tr w:rsidR="00E869F7" w:rsidRPr="005028C6" w:rsidTr="0000663C">
        <w:trPr>
          <w:trHeight w:val="530"/>
        </w:trPr>
        <w:tc>
          <w:tcPr>
            <w:tcW w:w="1165" w:type="pct"/>
            <w:vMerge/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Защита от негативных экологических явлений экстремального характера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БВСА, 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4</w:t>
            </w:r>
            <w:proofErr w:type="gramEnd"/>
            <w:r w:rsidRPr="005028C6">
              <w:t>, СЦ5</w:t>
            </w:r>
          </w:p>
        </w:tc>
      </w:tr>
      <w:tr w:rsidR="00E869F7" w:rsidRPr="005028C6" w:rsidTr="0000663C">
        <w:trPr>
          <w:trHeight w:val="677"/>
        </w:trPr>
        <w:tc>
          <w:tcPr>
            <w:tcW w:w="1165" w:type="pct"/>
            <w:vMerge/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Решение проблем биобезопасности, включая вопросы здоровья животных и борьбы с инвазивными видами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</w:p>
        </w:tc>
      </w:tr>
      <w:tr w:rsidR="00E869F7" w:rsidRPr="005028C6" w:rsidTr="0000663C">
        <w:trPr>
          <w:trHeight w:val="617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 3</w:t>
            </w:r>
          </w:p>
          <w:p w:rsidR="00E869F7" w:rsidRPr="005028C6" w:rsidRDefault="00E869F7" w:rsidP="0000663C">
            <w:r w:rsidRPr="005028C6">
              <w:t>Сокращение масштабов нищеты в сельских районах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Поддержка экономического развития, укрепление цепочек приращения стоимости, рыночных стратегий и инвестиционных механизмов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БВСА, 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4</w:t>
            </w:r>
            <w:proofErr w:type="gramEnd"/>
          </w:p>
        </w:tc>
      </w:tr>
      <w:tr w:rsidR="00E869F7" w:rsidRPr="005028C6" w:rsidTr="0000663C">
        <w:trPr>
          <w:trHeight w:val="480"/>
        </w:trPr>
        <w:tc>
          <w:tcPr>
            <w:tcW w:w="1165" w:type="pct"/>
            <w:vMerge/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Обеспечение достойной занятости, источников сре</w:t>
            </w:r>
            <w:proofErr w:type="gramStart"/>
            <w:r w:rsidRPr="005028C6">
              <w:t>дств к с</w:t>
            </w:r>
            <w:proofErr w:type="gramEnd"/>
            <w:r w:rsidRPr="005028C6">
              <w:t>уществованию и возможностей для уязвимых групп, молодежи и женщин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АТР, ЛАК, БВСА,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СЦ3</w:t>
            </w:r>
          </w:p>
        </w:tc>
      </w:tr>
      <w:tr w:rsidR="00E869F7" w:rsidRPr="005028C6" w:rsidTr="00154A40">
        <w:trPr>
          <w:trHeight w:val="720"/>
        </w:trPr>
        <w:tc>
          <w:tcPr>
            <w:tcW w:w="11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Поддержка совершенствования управления, включая вопросы регулирования, лицензирования, инвестиционной политики и землепользования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АТР, </w:t>
            </w:r>
            <w:proofErr w:type="gramStart"/>
            <w:r w:rsidRPr="005028C6">
              <w:t>ЕВР</w:t>
            </w:r>
            <w:proofErr w:type="gramEnd"/>
            <w:r w:rsidRPr="005028C6">
              <w:t>, ЛАК, БВСА, 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</w:p>
        </w:tc>
      </w:tr>
      <w:tr w:rsidR="00E869F7" w:rsidRPr="005028C6" w:rsidTr="0000663C">
        <w:trPr>
          <w:trHeight w:val="720"/>
        </w:trPr>
        <w:tc>
          <w:tcPr>
            <w:tcW w:w="1165" w:type="pct"/>
            <w:vMerge w:val="restar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 4</w:t>
            </w:r>
          </w:p>
          <w:p w:rsidR="00E869F7" w:rsidRPr="005028C6" w:rsidRDefault="00E869F7" w:rsidP="0000663C">
            <w:r w:rsidRPr="005028C6">
              <w:t xml:space="preserve">Повышение уровня </w:t>
            </w:r>
            <w:proofErr w:type="spellStart"/>
            <w:r w:rsidRPr="005028C6">
              <w:t>инклюзивности</w:t>
            </w:r>
            <w:proofErr w:type="spellEnd"/>
            <w:r w:rsidRPr="005028C6">
              <w:t xml:space="preserve"> и эффективности агропродовольственных систем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Обеспечение надежного доступа к качественным вводимым ресурсам, в особенности к кормам, семенному материалу и водным ресурсам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АТР, БВСА,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</w:p>
        </w:tc>
      </w:tr>
      <w:tr w:rsidR="00E869F7" w:rsidRPr="005028C6" w:rsidTr="00154A40">
        <w:trPr>
          <w:trHeight w:val="720"/>
        </w:trPr>
        <w:tc>
          <w:tcPr>
            <w:tcW w:w="1165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E869F7" w:rsidRPr="005028C6" w:rsidRDefault="00E869F7" w:rsidP="0000663C"/>
        </w:tc>
        <w:tc>
          <w:tcPr>
            <w:tcW w:w="1940" w:type="pct"/>
            <w:tcBorders>
              <w:bottom w:val="nil"/>
            </w:tcBorders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 xml:space="preserve">Обеспечение гендерного равенства и возможностей для женщин 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Default="00E869F7" w:rsidP="0000663C">
            <w:r w:rsidRPr="005028C6">
              <w:t>АТР, ЛАК, БВСА, ССА</w:t>
            </w:r>
          </w:p>
          <w:p w:rsidR="0086607C" w:rsidRPr="005028C6" w:rsidRDefault="0086607C" w:rsidP="0000663C"/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</w:p>
        </w:tc>
      </w:tr>
      <w:tr w:rsidR="00E869F7" w:rsidRPr="005028C6" w:rsidTr="00154A40">
        <w:trPr>
          <w:trHeight w:val="720"/>
        </w:trPr>
        <w:tc>
          <w:tcPr>
            <w:tcW w:w="1165" w:type="pct"/>
            <w:tcBorders>
              <w:top w:val="nil"/>
            </w:tcBorders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 5</w:t>
            </w:r>
          </w:p>
          <w:p w:rsidR="00E869F7" w:rsidRPr="005028C6" w:rsidRDefault="00E869F7" w:rsidP="0000663C">
            <w:r w:rsidRPr="005028C6">
              <w:t>Повышение устойчивости сре</w:t>
            </w:r>
            <w:proofErr w:type="gramStart"/>
            <w:r w:rsidRPr="005028C6">
              <w:t>дств к с</w:t>
            </w:r>
            <w:proofErr w:type="gramEnd"/>
            <w:r w:rsidRPr="005028C6">
              <w:t>уществованию перед угрозами и кризисами</w:t>
            </w:r>
          </w:p>
        </w:tc>
        <w:tc>
          <w:tcPr>
            <w:tcW w:w="1940" w:type="pct"/>
            <w:tcBorders>
              <w:top w:val="nil"/>
            </w:tcBorders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Разработка методов адаптации и повышения устойчивости в контексте изменения климата, включая борьбу с болезнями и биобезопасность, расширение видового разнообразия и технологий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АТР, ЛАК, БВСА, ССА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869F7" w:rsidRPr="005028C6" w:rsidRDefault="00E869F7" w:rsidP="0000663C">
            <w:r w:rsidRPr="005028C6">
              <w:t>СЦ</w:t>
            </w:r>
            <w:proofErr w:type="gramStart"/>
            <w:r w:rsidRPr="005028C6">
              <w:t>2</w:t>
            </w:r>
            <w:proofErr w:type="gramEnd"/>
          </w:p>
        </w:tc>
      </w:tr>
    </w:tbl>
    <w:p w:rsidR="00E869F7" w:rsidRPr="005028C6" w:rsidRDefault="00E869F7" w:rsidP="00E869F7">
      <w:r w:rsidRPr="005028C6">
        <w:t>* ЕУР = Европа, ЛАК = Латинская Америка и Карибский бассейн, СА = Северная Америка, БВСА = Ближний Восток и Северная Африка,</w:t>
      </w:r>
      <w:r w:rsidR="00BB7978">
        <w:t xml:space="preserve"> </w:t>
      </w:r>
      <w:r w:rsidRPr="005028C6">
        <w:t xml:space="preserve">ССА = </w:t>
      </w:r>
      <w:proofErr w:type="spellStart"/>
      <w:r w:rsidRPr="005028C6">
        <w:t>Субсахарская</w:t>
      </w:r>
      <w:proofErr w:type="spellEnd"/>
      <w:r w:rsidRPr="005028C6">
        <w:t xml:space="preserve"> Африка, АТР = Азиатско</w:t>
      </w:r>
      <w:r w:rsidR="00951047">
        <w:t>-</w:t>
      </w:r>
      <w:r w:rsidRPr="005028C6">
        <w:t>Тихоокеанский регион.</w:t>
      </w:r>
    </w:p>
    <w:p w:rsidR="00E869F7" w:rsidRPr="005028C6" w:rsidRDefault="00E869F7" w:rsidP="00E869F7"/>
    <w:p w:rsidR="001937C0" w:rsidRPr="005028C6" w:rsidRDefault="001937C0" w:rsidP="00E869F7"/>
    <w:sectPr w:rsidR="001937C0" w:rsidRPr="005028C6" w:rsidSect="00E86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FA" w:rsidRDefault="001020FA" w:rsidP="00E47A83">
      <w:pPr>
        <w:spacing w:before="0"/>
      </w:pPr>
      <w:r>
        <w:separator/>
      </w:r>
    </w:p>
  </w:endnote>
  <w:endnote w:type="continuationSeparator" w:id="0">
    <w:p w:rsidR="001020FA" w:rsidRDefault="001020FA" w:rsidP="00E47A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41" w:rsidRDefault="0039278E">
    <w:pPr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41" w:rsidRDefault="0039278E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Tr="00E510BB">
      <w:tc>
        <w:tcPr>
          <w:tcW w:w="9071" w:type="dxa"/>
        </w:tcPr>
        <w:p w:rsidR="00930612" w:rsidRDefault="00E869F7" w:rsidP="00F0794F">
          <w:pPr>
            <w:pStyle w:val="Note"/>
            <w:textboxTightWrap w:val="allLines"/>
          </w:pPr>
          <w:bookmarkStart w:id="10" w:name="NotesBookmark"/>
          <w: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 Интернете по адресу: www.fao.org </w:t>
          </w:r>
          <w:bookmarkEnd w:id="10"/>
        </w:p>
      </w:tc>
    </w:tr>
  </w:tbl>
  <w:p w:rsidR="009C0B0C" w:rsidRPr="009C0B0C" w:rsidRDefault="00E869F7" w:rsidP="00F0794F">
    <w:bookmarkStart w:id="11" w:name="FooterInformationBookmark"/>
    <w:r>
      <w:t xml:space="preserve"> </w:t>
    </w:r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FA" w:rsidRDefault="001020FA" w:rsidP="00E47A83">
      <w:pPr>
        <w:spacing w:before="0"/>
      </w:pPr>
      <w:r>
        <w:separator/>
      </w:r>
    </w:p>
  </w:footnote>
  <w:footnote w:type="continuationSeparator" w:id="0">
    <w:p w:rsidR="001020FA" w:rsidRDefault="001020FA" w:rsidP="00E47A8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B" w:rsidRPr="001A0BFF" w:rsidRDefault="00E47A83" w:rsidP="001A0BFF">
    <w:pPr>
      <w:pStyle w:val="Underlined"/>
    </w:pPr>
    <w:r>
      <w:fldChar w:fldCharType="begin"/>
    </w:r>
    <w:r w:rsidR="00E869F7">
      <w:instrText xml:space="preserve"> PAGE  \* Arabic  \* MERGEFORMAT </w:instrText>
    </w:r>
    <w:r>
      <w:fldChar w:fldCharType="separate"/>
    </w:r>
    <w:r w:rsidR="0039278E">
      <w:rPr>
        <w:noProof/>
      </w:rPr>
      <w:t>4</w:t>
    </w:r>
    <w:r>
      <w:rPr>
        <w:noProof/>
      </w:rPr>
      <w:fldChar w:fldCharType="end"/>
    </w:r>
    <w:r>
      <w:ptab w:relativeTo="margin" w:alignment="right" w:leader="none"/>
    </w:r>
    <w:r>
      <w:t xml:space="preserve"> </w:t>
    </w:r>
    <w:bookmarkStart w:id="4" w:name="EvenIdentificationBookmark"/>
    <w:r>
      <w:t xml:space="preserve">COFI:AQ/VIII/2015/5 </w:t>
    </w:r>
    <w:bookmarkEnd w:id="4"/>
  </w:p>
  <w:p w:rsidR="00F0794F" w:rsidRPr="004C383B" w:rsidRDefault="0039278E" w:rsidP="004C38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B" w:rsidRPr="001A0BFF" w:rsidRDefault="00E869F7" w:rsidP="001A0BFF">
    <w:pPr>
      <w:pStyle w:val="Underlined"/>
    </w:pPr>
    <w:bookmarkStart w:id="5" w:name="OddIdentificationBookmark"/>
    <w:r>
      <w:t xml:space="preserve">COFI:AQ/VIII/2015/5 </w:t>
    </w:r>
    <w:bookmarkEnd w:id="5"/>
    <w:r>
      <w:ptab w:relativeTo="margin" w:alignment="right" w:leader="none"/>
    </w:r>
    <w:r w:rsidR="00E47A83">
      <w:fldChar w:fldCharType="begin"/>
    </w:r>
    <w:r>
      <w:instrText xml:space="preserve"> PAGE  \* Arabic  \* MERGEFORMAT </w:instrText>
    </w:r>
    <w:r w:rsidR="00E47A83">
      <w:fldChar w:fldCharType="separate"/>
    </w:r>
    <w:r w:rsidR="0086607C">
      <w:rPr>
        <w:noProof/>
      </w:rPr>
      <w:t>17</w:t>
    </w:r>
    <w:r w:rsidR="00E47A83">
      <w:rPr>
        <w:noProof/>
      </w:rPr>
      <w:fldChar w:fldCharType="end"/>
    </w:r>
  </w:p>
  <w:p w:rsidR="001A0BFF" w:rsidRPr="004C383B" w:rsidRDefault="0039278E" w:rsidP="004C383B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E869F7" w:rsidP="00734C44">
    <w:pPr>
      <w:pStyle w:val="LanguageSymbol"/>
      <w:framePr w:wrap="around"/>
    </w:pPr>
    <w:bookmarkStart w:id="6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E869F7" w:rsidP="00F2216D">
          <w:bookmarkStart w:id="7" w:name="PublicationDateBookmark"/>
          <w:bookmarkEnd w:id="6"/>
          <w:r>
            <w:t xml:space="preserve">Июнь 2015 года </w:t>
          </w:r>
          <w:bookmarkEnd w:id="7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E869F7" w:rsidP="00F2216D">
          <w:pPr>
            <w:jc w:val="right"/>
          </w:pPr>
          <w:bookmarkStart w:id="8" w:name="FirstCoverIdentificationBookmark"/>
          <w:r>
            <w:t xml:space="preserve">COFI:AQ/VIII/2015/5 </w:t>
          </w:r>
          <w:bookmarkEnd w:id="8"/>
        </w:p>
      </w:tc>
    </w:tr>
  </w:tbl>
  <w:p w:rsidR="00AE4D6E" w:rsidRPr="008E01CD" w:rsidRDefault="0039278E" w:rsidP="008E01CD">
    <w:pPr>
      <w:pBdr>
        <w:bottom w:val="single" w:sz="12" w:space="0" w:color="auto"/>
      </w:pBdr>
      <w:spacing w:before="0"/>
      <w:contextualSpacing/>
      <w:rPr>
        <w:sz w:val="4"/>
      </w:rPr>
    </w:pPr>
  </w:p>
  <w:p w:rsidR="00DF0451" w:rsidRDefault="00E869F7" w:rsidP="008E01CD">
    <w:pPr>
      <w:jc w:val="center"/>
    </w:pPr>
    <w:bookmarkStart w:id="9" w:name="LogoBookmark"/>
    <w:r>
      <w:rPr>
        <w:noProof/>
        <w:lang w:val="en-GB" w:eastAsia="en-GB" w:bidi="ar-SA"/>
      </w:rPr>
      <w:drawing>
        <wp:inline distT="0" distB="0" distL="0" distR="0" wp14:anchorId="672B07B2" wp14:editId="78D325A8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7978">
      <w:t xml:space="preserve"> </w: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2629DCC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1" w:firstLine="0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1" w:firstLine="0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C26EAD8A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9F7"/>
    <w:rsid w:val="00031DD7"/>
    <w:rsid w:val="000409A8"/>
    <w:rsid w:val="000421ED"/>
    <w:rsid w:val="00065459"/>
    <w:rsid w:val="00091148"/>
    <w:rsid w:val="000F201D"/>
    <w:rsid w:val="001020FA"/>
    <w:rsid w:val="001230A1"/>
    <w:rsid w:val="00132E68"/>
    <w:rsid w:val="00154A40"/>
    <w:rsid w:val="00157145"/>
    <w:rsid w:val="001937C0"/>
    <w:rsid w:val="00194294"/>
    <w:rsid w:val="001B64E4"/>
    <w:rsid w:val="001C267E"/>
    <w:rsid w:val="001E12EE"/>
    <w:rsid w:val="001E6A45"/>
    <w:rsid w:val="00241DFE"/>
    <w:rsid w:val="002611F7"/>
    <w:rsid w:val="0028249D"/>
    <w:rsid w:val="002C2614"/>
    <w:rsid w:val="002F5419"/>
    <w:rsid w:val="00301406"/>
    <w:rsid w:val="00302B3C"/>
    <w:rsid w:val="00331076"/>
    <w:rsid w:val="00353897"/>
    <w:rsid w:val="003720E0"/>
    <w:rsid w:val="00380D20"/>
    <w:rsid w:val="0038137B"/>
    <w:rsid w:val="00383C05"/>
    <w:rsid w:val="0039278E"/>
    <w:rsid w:val="003A13C7"/>
    <w:rsid w:val="003E083E"/>
    <w:rsid w:val="0045090E"/>
    <w:rsid w:val="004643B6"/>
    <w:rsid w:val="0046691C"/>
    <w:rsid w:val="004750F1"/>
    <w:rsid w:val="004946C8"/>
    <w:rsid w:val="004A6D21"/>
    <w:rsid w:val="004B6176"/>
    <w:rsid w:val="004D6B6F"/>
    <w:rsid w:val="004E2B4D"/>
    <w:rsid w:val="005028C6"/>
    <w:rsid w:val="005724E3"/>
    <w:rsid w:val="005A280A"/>
    <w:rsid w:val="005D2F2C"/>
    <w:rsid w:val="005E1CCA"/>
    <w:rsid w:val="0060766A"/>
    <w:rsid w:val="00612651"/>
    <w:rsid w:val="00640E9C"/>
    <w:rsid w:val="006861D5"/>
    <w:rsid w:val="006F2041"/>
    <w:rsid w:val="00710D04"/>
    <w:rsid w:val="00716DBA"/>
    <w:rsid w:val="0072400F"/>
    <w:rsid w:val="00735641"/>
    <w:rsid w:val="007C346D"/>
    <w:rsid w:val="00825F3E"/>
    <w:rsid w:val="0082602A"/>
    <w:rsid w:val="00836C5F"/>
    <w:rsid w:val="0084286A"/>
    <w:rsid w:val="0086607C"/>
    <w:rsid w:val="008660D4"/>
    <w:rsid w:val="008A2405"/>
    <w:rsid w:val="008D5785"/>
    <w:rsid w:val="008E265D"/>
    <w:rsid w:val="00936DD2"/>
    <w:rsid w:val="00951047"/>
    <w:rsid w:val="009D04D5"/>
    <w:rsid w:val="00A1758A"/>
    <w:rsid w:val="00A22F17"/>
    <w:rsid w:val="00A33CD8"/>
    <w:rsid w:val="00A44140"/>
    <w:rsid w:val="00A629B8"/>
    <w:rsid w:val="00A73BE3"/>
    <w:rsid w:val="00A82E45"/>
    <w:rsid w:val="00A84E6E"/>
    <w:rsid w:val="00B12912"/>
    <w:rsid w:val="00B27687"/>
    <w:rsid w:val="00B4655F"/>
    <w:rsid w:val="00B53002"/>
    <w:rsid w:val="00B5465E"/>
    <w:rsid w:val="00B7300F"/>
    <w:rsid w:val="00B7605C"/>
    <w:rsid w:val="00B979C4"/>
    <w:rsid w:val="00BA5D60"/>
    <w:rsid w:val="00BB7978"/>
    <w:rsid w:val="00BC74F9"/>
    <w:rsid w:val="00C127CE"/>
    <w:rsid w:val="00C251E0"/>
    <w:rsid w:val="00C30246"/>
    <w:rsid w:val="00C34D06"/>
    <w:rsid w:val="00C6469C"/>
    <w:rsid w:val="00C65CAE"/>
    <w:rsid w:val="00C70011"/>
    <w:rsid w:val="00C7487A"/>
    <w:rsid w:val="00CB7995"/>
    <w:rsid w:val="00CD32AA"/>
    <w:rsid w:val="00CE01DF"/>
    <w:rsid w:val="00D478D1"/>
    <w:rsid w:val="00DD3AF4"/>
    <w:rsid w:val="00DD641E"/>
    <w:rsid w:val="00DD7F8A"/>
    <w:rsid w:val="00E00902"/>
    <w:rsid w:val="00E20889"/>
    <w:rsid w:val="00E33D93"/>
    <w:rsid w:val="00E34437"/>
    <w:rsid w:val="00E47A83"/>
    <w:rsid w:val="00E75D2D"/>
    <w:rsid w:val="00E77456"/>
    <w:rsid w:val="00E869F7"/>
    <w:rsid w:val="00F2106D"/>
    <w:rsid w:val="00F220DD"/>
    <w:rsid w:val="00F321D5"/>
    <w:rsid w:val="00F42F2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69F7"/>
    <w:pPr>
      <w:spacing w:before="120" w:after="0" w:line="240" w:lineRule="auto"/>
    </w:pPr>
    <w:rPr>
      <w:rFonts w:ascii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E869F7"/>
    <w:pPr>
      <w:keepNext/>
      <w:numPr>
        <w:numId w:val="1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E869F7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rsid w:val="00E869F7"/>
    <w:rPr>
      <w:rFonts w:ascii="Times New Roman Bold" w:eastAsia="Times New Roman" w:hAnsi="Times New Roman Bold" w:cs="Akhbar MT"/>
      <w:b/>
      <w:bCs/>
      <w:sz w:val="26"/>
      <w:szCs w:val="36"/>
      <w:lang w:val="ru-RU"/>
    </w:rPr>
  </w:style>
  <w:style w:type="character" w:customStyle="1" w:styleId="Heading2Char">
    <w:name w:val="Heading 2 Char"/>
    <w:aliases w:val="Chpt Char"/>
    <w:basedOn w:val="DefaultParagraphFont"/>
    <w:link w:val="Heading2"/>
    <w:rsid w:val="00E869F7"/>
    <w:rPr>
      <w:rFonts w:ascii="Times New Roman Bold" w:eastAsia="Times New Roman" w:hAnsi="Times New Roman Bold" w:cs="Akhbar MT"/>
      <w:b/>
      <w:bCs/>
      <w:sz w:val="24"/>
      <w:szCs w:val="3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86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9F7"/>
    <w:rPr>
      <w:rFonts w:ascii="Times New Roman" w:hAnsi="Times New Roman" w:cs="Akhbar MT"/>
      <w:szCs w:val="30"/>
      <w:lang w:val="ru-RU"/>
    </w:rPr>
  </w:style>
  <w:style w:type="paragraph" w:customStyle="1" w:styleId="Note">
    <w:name w:val="Note"/>
    <w:basedOn w:val="Normal"/>
    <w:link w:val="NoteChar"/>
    <w:autoRedefine/>
    <w:qFormat/>
    <w:rsid w:val="00E869F7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E869F7"/>
    <w:rPr>
      <w:rFonts w:ascii="Times New Roman" w:hAnsi="Times New Roman" w:cs="Akhbar MT"/>
      <w:i/>
      <w:sz w:val="20"/>
      <w:szCs w:val="28"/>
      <w:lang w:val="ru-RU"/>
    </w:rPr>
  </w:style>
  <w:style w:type="paragraph" w:customStyle="1" w:styleId="DocTitle">
    <w:name w:val="DocTitle"/>
    <w:basedOn w:val="Normal"/>
    <w:link w:val="DocTitleChar"/>
    <w:qFormat/>
    <w:rsid w:val="00E869F7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E869F7"/>
    <w:rPr>
      <w:rFonts w:ascii="Times New Roman" w:hAnsi="Times New Roman" w:cs="Akhbar MT"/>
      <w:bCs/>
      <w:color w:val="7F7F7F" w:themeColor="text1" w:themeTint="80"/>
      <w:sz w:val="56"/>
      <w:szCs w:val="72"/>
      <w:lang w:val="ru-RU"/>
    </w:rPr>
  </w:style>
  <w:style w:type="paragraph" w:customStyle="1" w:styleId="NewPara">
    <w:name w:val="NewPara"/>
    <w:basedOn w:val="ListParagraph"/>
    <w:link w:val="NewParaChar"/>
    <w:qFormat/>
    <w:rsid w:val="00E869F7"/>
    <w:pPr>
      <w:numPr>
        <w:numId w:val="2"/>
      </w:numPr>
      <w:contextualSpacing w:val="0"/>
    </w:pPr>
  </w:style>
  <w:style w:type="character" w:customStyle="1" w:styleId="NewParaChar">
    <w:name w:val="NewPara Char"/>
    <w:basedOn w:val="DefaultParagraphFont"/>
    <w:link w:val="NewPara"/>
    <w:rsid w:val="00E869F7"/>
    <w:rPr>
      <w:rFonts w:ascii="Times New Roman" w:hAnsi="Times New Roman" w:cs="Akhbar MT"/>
      <w:szCs w:val="30"/>
      <w:lang w:val="ru-RU"/>
    </w:rPr>
  </w:style>
  <w:style w:type="paragraph" w:customStyle="1" w:styleId="BulletList">
    <w:name w:val="Bullet List"/>
    <w:basedOn w:val="ListParagraph"/>
    <w:link w:val="BulletListChar"/>
    <w:qFormat/>
    <w:rsid w:val="00E869F7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rsid w:val="00E869F7"/>
    <w:rPr>
      <w:rFonts w:ascii="Times New Roman" w:hAnsi="Times New Roman" w:cs="Akhbar MT"/>
      <w:szCs w:val="30"/>
      <w:lang w:val="ru-RU"/>
    </w:rPr>
  </w:style>
  <w:style w:type="paragraph" w:customStyle="1" w:styleId="Underlined">
    <w:name w:val="Underlined"/>
    <w:basedOn w:val="Normal"/>
    <w:link w:val="UnderlinedChar"/>
    <w:qFormat/>
    <w:rsid w:val="00E869F7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E869F7"/>
    <w:rPr>
      <w:rFonts w:ascii="Times New Roman" w:hAnsi="Times New Roman" w:cs="Akhbar MT"/>
      <w:szCs w:val="30"/>
      <w:lang w:val="ru-RU"/>
    </w:rPr>
  </w:style>
  <w:style w:type="paragraph" w:customStyle="1" w:styleId="PageBreak">
    <w:name w:val="PageBreak"/>
    <w:basedOn w:val="Normal"/>
    <w:link w:val="PageBreakChar"/>
    <w:rsid w:val="00E869F7"/>
  </w:style>
  <w:style w:type="character" w:customStyle="1" w:styleId="PageBreakChar">
    <w:name w:val="PageBreak Char"/>
    <w:basedOn w:val="DefaultParagraphFont"/>
    <w:link w:val="PageBreak"/>
    <w:rsid w:val="00E869F7"/>
    <w:rPr>
      <w:rFonts w:ascii="Times New Roman" w:hAnsi="Times New Roman" w:cs="Akhbar MT"/>
      <w:szCs w:val="30"/>
      <w:lang w:val="ru-RU"/>
    </w:rPr>
  </w:style>
  <w:style w:type="paragraph" w:customStyle="1" w:styleId="MeetingInfo">
    <w:name w:val="MeetingInfo"/>
    <w:basedOn w:val="Normal"/>
    <w:link w:val="MeetingInfoChar"/>
    <w:qFormat/>
    <w:rsid w:val="00E869F7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spacing w:before="0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E869F7"/>
    <w:rPr>
      <w:rFonts w:ascii="Times New Roman Bold" w:hAnsi="Times New Roman Bold" w:cs="Akhbar MT"/>
      <w:b/>
      <w:bCs/>
      <w:sz w:val="28"/>
      <w:szCs w:val="36"/>
      <w:lang w:val="ru-RU"/>
    </w:rPr>
  </w:style>
  <w:style w:type="paragraph" w:customStyle="1" w:styleId="Hidden">
    <w:name w:val="Hidden"/>
    <w:basedOn w:val="Normal"/>
    <w:link w:val="HiddenChar"/>
    <w:qFormat/>
    <w:rsid w:val="00E869F7"/>
    <w:pPr>
      <w:spacing w:before="0"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E869F7"/>
    <w:rPr>
      <w:rFonts w:ascii="Times New Roman" w:hAnsi="Times New Roman" w:cs="Akhbar MT"/>
      <w:sz w:val="2"/>
      <w:szCs w:val="30"/>
      <w:lang w:val="ru-RU"/>
    </w:rPr>
  </w:style>
  <w:style w:type="paragraph" w:customStyle="1" w:styleId="LanguageSymbol">
    <w:name w:val="LanguageSymbol"/>
    <w:basedOn w:val="Normal"/>
    <w:link w:val="LanguageSymbolChar"/>
    <w:qFormat/>
    <w:rsid w:val="00E869F7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E869F7"/>
    <w:rPr>
      <w:rFonts w:ascii="Times New Roman" w:hAnsi="Times New Roman" w:cs="Akhbar MT"/>
      <w:b/>
      <w:color w:val="808080"/>
      <w:sz w:val="56"/>
      <w:szCs w:val="56"/>
      <w:lang w:val="ru-RU"/>
    </w:rPr>
  </w:style>
  <w:style w:type="table" w:styleId="TableGrid">
    <w:name w:val="Table Grid"/>
    <w:basedOn w:val="TableNormal"/>
    <w:uiPriority w:val="59"/>
    <w:rsid w:val="00E8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869F7"/>
  </w:style>
  <w:style w:type="character" w:customStyle="1" w:styleId="Heading3Char">
    <w:name w:val="Heading 3 Char"/>
    <w:basedOn w:val="DefaultParagraphFont"/>
    <w:link w:val="Heading3"/>
    <w:uiPriority w:val="9"/>
    <w:semiHidden/>
    <w:rsid w:val="00E869F7"/>
    <w:rPr>
      <w:rFonts w:asciiTheme="majorHAnsi" w:eastAsiaTheme="majorEastAsia" w:hAnsiTheme="majorHAnsi" w:cstheme="majorBidi"/>
      <w:b/>
      <w:bCs/>
      <w:color w:val="4F81BD" w:themeColor="accent1"/>
      <w:szCs w:val="30"/>
      <w:lang w:val="ru-RU"/>
    </w:rPr>
  </w:style>
  <w:style w:type="paragraph" w:styleId="ListParagraph">
    <w:name w:val="List Paragraph"/>
    <w:basedOn w:val="Normal"/>
    <w:uiPriority w:val="34"/>
    <w:qFormat/>
    <w:rsid w:val="00E86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9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F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18</Pages>
  <Words>6854</Words>
  <Characters>39070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Giona Fumasoli (CPAM)</dc:creator>
  <cp:keywords/>
  <dc:description/>
  <cp:lastModifiedBy>Olga Bratus (CPAM)</cp:lastModifiedBy>
  <cp:revision>88</cp:revision>
  <dcterms:created xsi:type="dcterms:W3CDTF">2015-06-24T14:18:00Z</dcterms:created>
  <dcterms:modified xsi:type="dcterms:W3CDTF">2015-07-15T14:44:00Z</dcterms:modified>
</cp:coreProperties>
</file>