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BE" w:rsidRPr="007101E3" w:rsidRDefault="005853BE" w:rsidP="005853BE">
      <w:pPr>
        <w:pStyle w:val="Hidden"/>
        <w:rPr>
          <w:lang w:val="ru-RU"/>
        </w:rPr>
      </w:pPr>
    </w:p>
    <w:p w:rsidR="005853BE" w:rsidRPr="00F86F22" w:rsidRDefault="00407FCD" w:rsidP="005853BE">
      <w:pPr>
        <w:pStyle w:val="DocTitle"/>
        <w:rPr>
          <w:smallCaps/>
          <w:lang w:val="ru-RU"/>
        </w:rPr>
      </w:pPr>
      <w:bookmarkStart w:id="0" w:name="CoverTitleBookmark"/>
      <w:bookmarkStart w:id="1" w:name="CoverBookmark"/>
      <w:r w:rsidRPr="00F86F22">
        <w:rPr>
          <w:smallCaps/>
          <w:lang w:val="ru-RU"/>
        </w:rPr>
        <w:t>Комитет по рыбному хозяйству</w:t>
      </w:r>
    </w:p>
    <w:bookmarkEnd w:id="0"/>
    <w:p w:rsidR="005853BE" w:rsidRPr="00942B17" w:rsidRDefault="00407FCD" w:rsidP="005853BE">
      <w:pPr>
        <w:pStyle w:val="MeetingInfo"/>
        <w:pBdr>
          <w:bar w:val="none" w:sz="0" w:color="auto"/>
        </w:pBdr>
        <w:rPr>
          <w:rFonts w:ascii="Times New Roman" w:hAnsi="Times New Roman" w:cs="Times New Roman"/>
          <w:lang w:val="ru-RU"/>
        </w:rPr>
      </w:pPr>
      <w:r w:rsidRPr="00407FCD">
        <w:rPr>
          <w:rFonts w:ascii="Times New Roman" w:hAnsi="Times New Roman" w:cs="Times New Roman"/>
          <w:lang w:val="ru-RU"/>
        </w:rPr>
        <w:t>ПОДКОМИТЕТ ПО АКВАКУЛЬТУРЕ</w:t>
      </w:r>
    </w:p>
    <w:p w:rsidR="005853BE" w:rsidRPr="00942B17" w:rsidRDefault="00407FCD" w:rsidP="005853BE">
      <w:pPr>
        <w:pStyle w:val="MeetingInfo"/>
        <w:pBdr>
          <w:bar w:val="none" w:sz="0" w:color="auto"/>
        </w:pBdr>
        <w:rPr>
          <w:rFonts w:ascii="Times New Roman" w:hAnsi="Times New Roman" w:cs="Times New Roman"/>
          <w:lang w:val="ru-RU"/>
        </w:rPr>
      </w:pPr>
      <w:r w:rsidRPr="00407FCD">
        <w:rPr>
          <w:rFonts w:ascii="Times New Roman" w:hAnsi="Times New Roman" w:cs="Times New Roman"/>
          <w:lang w:val="ru-RU"/>
        </w:rPr>
        <w:t>Восьмая сессия</w:t>
      </w:r>
    </w:p>
    <w:p w:rsidR="005853BE" w:rsidRPr="00412266" w:rsidRDefault="00407FCD" w:rsidP="00F86F22">
      <w:pPr>
        <w:pStyle w:val="MeetingInfo"/>
        <w:pBdr>
          <w:bar w:val="none" w:sz="0" w:color="auto"/>
        </w:pBdr>
        <w:rPr>
          <w:rFonts w:ascii="Times New Roman" w:hAnsi="Times New Roman" w:cs="Times New Roman"/>
          <w:lang w:val="ru-RU"/>
        </w:rPr>
      </w:pPr>
      <w:r w:rsidRPr="00412266">
        <w:rPr>
          <w:rFonts w:ascii="Times New Roman" w:hAnsi="Times New Roman" w:cs="Times New Roman"/>
          <w:lang w:val="ru-RU"/>
        </w:rPr>
        <w:t xml:space="preserve">Бразилиа, Бразилия, </w:t>
      </w:r>
      <w:r w:rsidR="005853BE" w:rsidRPr="00412266">
        <w:rPr>
          <w:rFonts w:ascii="Times New Roman" w:hAnsi="Times New Roman" w:cs="Times New Roman"/>
          <w:lang w:val="ru-RU"/>
        </w:rPr>
        <w:t>5</w:t>
      </w:r>
      <w:r w:rsidR="00F86F22" w:rsidRPr="00EE1E99">
        <w:rPr>
          <w:rFonts w:ascii="Times New Roman" w:hAnsi="Times New Roman" w:cs="Times New Roman"/>
          <w:lang w:val="ru-RU"/>
        </w:rPr>
        <w:t>-</w:t>
      </w:r>
      <w:r w:rsidR="005853BE" w:rsidRPr="00412266">
        <w:rPr>
          <w:rFonts w:ascii="Times New Roman" w:hAnsi="Times New Roman" w:cs="Times New Roman"/>
          <w:lang w:val="ru-RU"/>
        </w:rPr>
        <w:t xml:space="preserve">9 </w:t>
      </w:r>
      <w:r w:rsidRPr="00412266">
        <w:rPr>
          <w:rFonts w:ascii="Times New Roman" w:hAnsi="Times New Roman" w:cs="Times New Roman"/>
          <w:lang w:val="ru-RU"/>
        </w:rPr>
        <w:t>октября</w:t>
      </w:r>
      <w:r w:rsidR="005853BE" w:rsidRPr="00412266">
        <w:rPr>
          <w:rFonts w:ascii="Times New Roman" w:hAnsi="Times New Roman" w:cs="Times New Roman"/>
          <w:lang w:val="ru-RU"/>
        </w:rPr>
        <w:t xml:space="preserve"> 2015</w:t>
      </w:r>
      <w:r w:rsidRPr="00412266">
        <w:rPr>
          <w:rFonts w:ascii="Times New Roman" w:hAnsi="Times New Roman" w:cs="Times New Roman"/>
          <w:lang w:val="ru-RU"/>
        </w:rPr>
        <w:t xml:space="preserve"> года</w:t>
      </w:r>
      <w:r w:rsidR="005853BE" w:rsidRPr="00412266">
        <w:rPr>
          <w:rFonts w:ascii="Times New Roman" w:hAnsi="Times New Roman" w:cs="Times New Roman"/>
          <w:lang w:val="ru-RU"/>
        </w:rPr>
        <w:tab/>
      </w:r>
    </w:p>
    <w:p w:rsidR="005853BE" w:rsidRPr="00942B17" w:rsidRDefault="006B3093" w:rsidP="005853BE">
      <w:pPr>
        <w:pStyle w:val="MeetingInfo"/>
        <w:pBdr>
          <w:bar w:val="none" w:sz="0" w:color="auto"/>
        </w:pBd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676E8" wp14:editId="64DC8A48">
                <wp:simplePos x="0" y="0"/>
                <wp:positionH relativeFrom="column">
                  <wp:posOffset>-13335</wp:posOffset>
                </wp:positionH>
                <wp:positionV relativeFrom="paragraph">
                  <wp:posOffset>698500</wp:posOffset>
                </wp:positionV>
                <wp:extent cx="5807075" cy="2103755"/>
                <wp:effectExtent l="0" t="0" r="2222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75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41A" w:rsidRPr="00412266" w:rsidRDefault="0075341A" w:rsidP="005853BE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Cs/>
                                <w:lang w:val="ru-RU"/>
                              </w:rPr>
                              <w:t>РЕЗЮМЕ</w:t>
                            </w:r>
                          </w:p>
                          <w:p w:rsidR="0075341A" w:rsidRDefault="0075341A" w:rsidP="005853BE">
                            <w:pPr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>В настоящем рабочем документе представлен обзор связанн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ой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с аквакультурой образова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тельной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и исследовательской деятельности и дается подробное объяснение того, как он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мо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же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т более эффективно способствовать развитию аквакультуры. Документ представляет основу для обсуждения вопроса о том, следует ли ФАО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содействовать/обеспечивать руководство в исследовательской и образовательной деятельности для развития аквакультуры, и если да, то в каких областях и как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? </w:t>
                            </w:r>
                          </w:p>
                          <w:p w:rsidR="0075341A" w:rsidRPr="00412266" w:rsidRDefault="0075341A" w:rsidP="005853BE">
                            <w:pP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Подкомитету</w:t>
                            </w:r>
                            <w:r w:rsidRPr="00412266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предлагается</w:t>
                            </w:r>
                          </w:p>
                          <w:p w:rsidR="0075341A" w:rsidRPr="00412266" w:rsidRDefault="0075341A" w:rsidP="005853BE">
                            <w:pPr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Рассмотреть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документ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представить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замечания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рекомендации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по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мерам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которые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необходимо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предпринять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для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содействия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исследовательской и образовательной деятельности в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области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аквакультуры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t>в особенности эффективному использованию ресурсов и устойчивой интенсификации</w:t>
                            </w:r>
                            <w:r w:rsidRPr="00412266">
                              <w:rPr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</w:p>
                          <w:p w:rsidR="0075341A" w:rsidRPr="00412266" w:rsidRDefault="0075341A" w:rsidP="005853B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55pt;width:457.25pt;height:1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">
                <v:textbox>
                  <w:txbxContent>
                    <w:p w:rsidR="0075341A" w:rsidRPr="00412266" w:rsidRDefault="0075341A" w:rsidP="005853BE">
                      <w:pPr>
                        <w:jc w:val="center"/>
                        <w:rPr>
                          <w:b/>
                          <w:lang w:val="ru-RU"/>
                        </w:rPr>
                      </w:pPr>
                      <w:r>
                        <w:rPr>
                          <w:bCs/>
                          <w:lang w:val="ru-RU"/>
                        </w:rPr>
                        <w:t>РЕЗЮМЕ</w:t>
                      </w:r>
                    </w:p>
                    <w:p w:rsidR="0075341A" w:rsidRDefault="0075341A" w:rsidP="005853BE">
                      <w:pPr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>В настоящем рабочем документе представлен обзор связанн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ой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с аквакультурой образова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тельной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и исследовательской деятельности и дается подробное объяснение того, как он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мо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же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т более эффективно способствовать развитию аквакультуры. Документ представляет основу для обсуждения вопроса о том, следует ли ФАО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содействовать/обеспечивать руководство в исследовательской и образовательной деятельности для развития аквакультуры, и если да, то в каких областях и как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? </w:t>
                      </w:r>
                    </w:p>
                    <w:p w:rsidR="0075341A" w:rsidRPr="00412266" w:rsidRDefault="0075341A" w:rsidP="005853BE">
                      <w:pPr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Подкомитету</w:t>
                      </w:r>
                      <w:r w:rsidRPr="00412266">
                        <w:rPr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lang w:val="ru-RU"/>
                        </w:rPr>
                        <w:t>предлагается</w:t>
                      </w:r>
                    </w:p>
                    <w:p w:rsidR="0075341A" w:rsidRPr="00412266" w:rsidRDefault="0075341A" w:rsidP="005853BE">
                      <w:pPr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>Рассмотреть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документ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представить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замечания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рекомендации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по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мерам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которые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необходимо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предпринять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для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содействия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исследовательской и образовательной деятельности в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области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аквакультуры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в особенности эффективному использованию ресурсов и устойчивой интенсификации</w:t>
                      </w:r>
                      <w:r w:rsidRPr="00412266">
                        <w:rPr>
                          <w:sz w:val="20"/>
                          <w:szCs w:val="20"/>
                          <w:lang w:val="ru-RU"/>
                        </w:rPr>
                        <w:t>.</w:t>
                      </w:r>
                    </w:p>
                    <w:p w:rsidR="0075341A" w:rsidRPr="00412266" w:rsidRDefault="0075341A" w:rsidP="005853B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FCD" w:rsidRPr="00407FCD">
        <w:rPr>
          <w:rFonts w:ascii="Times New Roman" w:hAnsi="Times New Roman" w:cs="Times New Roman"/>
          <w:lang w:val="ru-RU"/>
        </w:rPr>
        <w:t>РОЛЬ ИССЛЕДОВАТЕЛЬСКОЙ И ОБРАЗОВАТЕЛЬНОЙ ДЕЯТЕЛЬНОСТИ В РАЗВИТИИ АКВАКУЛЬТУРЫ</w:t>
      </w:r>
      <w:r w:rsidR="005853BE" w:rsidRPr="00942B17">
        <w:rPr>
          <w:rFonts w:ascii="Times New Roman" w:hAnsi="Times New Roman" w:cs="Times New Roman"/>
          <w:lang w:val="ru-RU"/>
        </w:rPr>
        <w:t xml:space="preserve"> </w:t>
      </w:r>
    </w:p>
    <w:p w:rsidR="005853BE" w:rsidRPr="00942B17" w:rsidRDefault="005853BE" w:rsidP="005853BE">
      <w:pPr>
        <w:rPr>
          <w:lang w:val="ru-RU"/>
        </w:rPr>
      </w:pPr>
      <w:r w:rsidRPr="00942B17">
        <w:rPr>
          <w:lang w:val="ru-RU"/>
        </w:rPr>
        <w:t xml:space="preserve"> </w:t>
      </w:r>
      <w:bookmarkEnd w:id="1"/>
      <w:r w:rsidRPr="00942B17">
        <w:rPr>
          <w:lang w:val="ru-RU"/>
        </w:rPr>
        <w:t xml:space="preserve"> </w:t>
      </w:r>
      <w:bookmarkStart w:id="2" w:name="SummaryBoxBookmark"/>
      <w:r w:rsidRPr="00942B17">
        <w:rPr>
          <w:lang w:val="ru-RU"/>
        </w:rPr>
        <w:t xml:space="preserve"> </w:t>
      </w:r>
      <w:bookmarkEnd w:id="2"/>
      <w:r w:rsidRPr="00942B17">
        <w:rPr>
          <w:lang w:val="ru-RU"/>
        </w:rPr>
        <w:t xml:space="preserve"> </w:t>
      </w:r>
      <w:bookmarkStart w:id="3" w:name="TableOfContentsRangeBookmark"/>
      <w:r w:rsidRPr="00942B17">
        <w:rPr>
          <w:lang w:val="ru-RU"/>
        </w:rPr>
        <w:t xml:space="preserve"> </w:t>
      </w:r>
      <w:bookmarkEnd w:id="3"/>
    </w:p>
    <w:p w:rsidR="005853BE" w:rsidRPr="00942B17" w:rsidRDefault="005853BE" w:rsidP="005853BE">
      <w:pPr>
        <w:pStyle w:val="SummaryBoxText"/>
        <w:rPr>
          <w:lang w:val="ru-RU"/>
        </w:rPr>
      </w:pPr>
    </w:p>
    <w:p w:rsidR="005853BE" w:rsidRPr="00942B17" w:rsidRDefault="005853BE" w:rsidP="005853BE">
      <w:pPr>
        <w:pStyle w:val="SummaryBoxText"/>
        <w:rPr>
          <w:lang w:val="ru-RU"/>
        </w:rPr>
      </w:pPr>
    </w:p>
    <w:p w:rsidR="005853BE" w:rsidRPr="00942B17" w:rsidRDefault="005853BE" w:rsidP="005853BE">
      <w:pPr>
        <w:pStyle w:val="SummaryBoxText"/>
        <w:rPr>
          <w:lang w:val="ru-RU"/>
        </w:rPr>
      </w:pPr>
    </w:p>
    <w:p w:rsidR="005853BE" w:rsidRPr="00942B17" w:rsidRDefault="005853BE" w:rsidP="005853BE">
      <w:pPr>
        <w:pStyle w:val="SummaryBoxText"/>
        <w:rPr>
          <w:lang w:val="ru-RU"/>
        </w:rPr>
      </w:pPr>
    </w:p>
    <w:p w:rsidR="005853BE" w:rsidRPr="00942B17" w:rsidRDefault="005853BE" w:rsidP="005853BE">
      <w:pPr>
        <w:pStyle w:val="SummaryBoxText"/>
        <w:rPr>
          <w:lang w:val="ru-RU"/>
        </w:rPr>
      </w:pPr>
    </w:p>
    <w:p w:rsidR="005853BE" w:rsidRPr="00FF0D32" w:rsidRDefault="00FF0D32" w:rsidP="005853BE">
      <w:pPr>
        <w:pStyle w:val="Heading2"/>
        <w:numPr>
          <w:ilvl w:val="0"/>
          <w:numId w:val="0"/>
        </w:numPr>
        <w:ind w:left="709" w:hanging="708"/>
        <w:jc w:val="left"/>
        <w:rPr>
          <w:rFonts w:ascii="Times New Roman" w:hAnsi="Times New Roman" w:cs="Times New Roman"/>
        </w:rPr>
      </w:pPr>
      <w:r w:rsidRPr="00FF0D32">
        <w:rPr>
          <w:rFonts w:ascii="Times New Roman" w:hAnsi="Times New Roman" w:cs="Times New Roman"/>
          <w:lang w:val="ru-RU"/>
        </w:rPr>
        <w:t>ВВЕДЕНИЕ</w:t>
      </w:r>
    </w:p>
    <w:p w:rsidR="005853BE" w:rsidRDefault="005853BE" w:rsidP="005853BE"/>
    <w:p w:rsidR="005853BE" w:rsidRPr="00015BFC" w:rsidRDefault="00713D04" w:rsidP="005853BE">
      <w:pPr>
        <w:pStyle w:val="NewPara"/>
        <w:jc w:val="both"/>
        <w:rPr>
          <w:lang w:val="ru-RU"/>
        </w:rPr>
      </w:pPr>
      <w:r>
        <w:rPr>
          <w:lang w:val="ru-RU"/>
        </w:rPr>
        <w:t>В</w:t>
      </w:r>
      <w:r w:rsidRPr="00015BFC">
        <w:rPr>
          <w:lang w:val="ru-RU"/>
        </w:rPr>
        <w:t xml:space="preserve"> </w:t>
      </w:r>
      <w:r>
        <w:rPr>
          <w:lang w:val="ru-RU"/>
        </w:rPr>
        <w:t>последние</w:t>
      </w:r>
      <w:r w:rsidRPr="00015BFC">
        <w:rPr>
          <w:lang w:val="ru-RU"/>
        </w:rPr>
        <w:t xml:space="preserve"> </w:t>
      </w:r>
      <w:r w:rsidR="00EB2303">
        <w:rPr>
          <w:lang w:val="ru-RU"/>
        </w:rPr>
        <w:t>30 </w:t>
      </w:r>
      <w:r>
        <w:rPr>
          <w:lang w:val="ru-RU"/>
        </w:rPr>
        <w:t>лет</w:t>
      </w:r>
      <w:r w:rsidRPr="00015BFC">
        <w:rPr>
          <w:lang w:val="ru-RU"/>
        </w:rPr>
        <w:t xml:space="preserve"> </w:t>
      </w:r>
      <w:r>
        <w:rPr>
          <w:lang w:val="ru-RU"/>
        </w:rPr>
        <w:t>аквакультура</w:t>
      </w:r>
      <w:r w:rsidRPr="00015BFC">
        <w:rPr>
          <w:lang w:val="ru-RU"/>
        </w:rPr>
        <w:t xml:space="preserve"> </w:t>
      </w:r>
      <w:r>
        <w:rPr>
          <w:lang w:val="ru-RU"/>
        </w:rPr>
        <w:t>была</w:t>
      </w:r>
      <w:r w:rsidRPr="00015BFC">
        <w:rPr>
          <w:lang w:val="ru-RU"/>
        </w:rPr>
        <w:t xml:space="preserve"> </w:t>
      </w:r>
      <w:r>
        <w:rPr>
          <w:lang w:val="ru-RU"/>
        </w:rPr>
        <w:t>сам</w:t>
      </w:r>
      <w:r w:rsidR="00412266">
        <w:rPr>
          <w:lang w:val="ru-RU"/>
        </w:rPr>
        <w:t>ой</w:t>
      </w:r>
      <w:r w:rsidRPr="00015BFC">
        <w:rPr>
          <w:lang w:val="ru-RU"/>
        </w:rPr>
        <w:t xml:space="preserve"> </w:t>
      </w:r>
      <w:r>
        <w:rPr>
          <w:lang w:val="ru-RU"/>
        </w:rPr>
        <w:t>быстро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растущ</w:t>
      </w:r>
      <w:r w:rsidR="00412266">
        <w:rPr>
          <w:lang w:val="ru-RU"/>
        </w:rPr>
        <w:t>ей подотраслью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производства продовольствия</w:t>
      </w:r>
      <w:r w:rsidR="005853BE" w:rsidRPr="00015BFC">
        <w:rPr>
          <w:lang w:val="ru-RU"/>
        </w:rPr>
        <w:t xml:space="preserve">. </w:t>
      </w:r>
      <w:r w:rsidR="00015BFC">
        <w:rPr>
          <w:lang w:val="ru-RU"/>
        </w:rPr>
        <w:t xml:space="preserve">Сейчас аквакультура производит около </w:t>
      </w:r>
      <w:r w:rsidR="005853BE" w:rsidRPr="00015BFC">
        <w:rPr>
          <w:lang w:val="ru-RU"/>
        </w:rPr>
        <w:t>97</w:t>
      </w:r>
      <w:r w:rsidRPr="00015BFC">
        <w:rPr>
          <w:lang w:val="ru-RU"/>
        </w:rPr>
        <w:t>,</w:t>
      </w:r>
      <w:r w:rsidR="005853BE" w:rsidRPr="00015BFC">
        <w:rPr>
          <w:lang w:val="ru-RU"/>
        </w:rPr>
        <w:t>2</w:t>
      </w:r>
      <w:r w:rsidR="00EB2303">
        <w:rPr>
          <w:lang w:val="ru-RU"/>
        </w:rPr>
        <w:t> </w:t>
      </w:r>
      <w:proofErr w:type="gramStart"/>
      <w:r>
        <w:rPr>
          <w:lang w:val="ru-RU"/>
        </w:rPr>
        <w:t>млн</w:t>
      </w:r>
      <w:proofErr w:type="gramEnd"/>
      <w:r w:rsidR="00EB2303">
        <w:rPr>
          <w:lang w:val="ru-RU"/>
        </w:rPr>
        <w:t> </w:t>
      </w:r>
      <w:r>
        <w:rPr>
          <w:lang w:val="ru-RU"/>
        </w:rPr>
        <w:t>тонн</w:t>
      </w:r>
      <w:r w:rsidRPr="00015BFC">
        <w:rPr>
          <w:lang w:val="ru-RU"/>
        </w:rPr>
        <w:t xml:space="preserve"> </w:t>
      </w:r>
      <w:r w:rsidR="00015BFC">
        <w:rPr>
          <w:lang w:val="ru-RU"/>
        </w:rPr>
        <w:t>продукции</w:t>
      </w:r>
      <w:r w:rsidR="005853BE" w:rsidRPr="00015BFC">
        <w:rPr>
          <w:lang w:val="ru-RU"/>
        </w:rPr>
        <w:t xml:space="preserve"> (</w:t>
      </w:r>
      <w:r>
        <w:rPr>
          <w:lang w:val="ru-RU"/>
        </w:rPr>
        <w:t>включая</w:t>
      </w:r>
      <w:r w:rsidRPr="00015BFC">
        <w:rPr>
          <w:lang w:val="ru-RU"/>
        </w:rPr>
        <w:t xml:space="preserve"> </w:t>
      </w:r>
      <w:r>
        <w:rPr>
          <w:lang w:val="ru-RU"/>
        </w:rPr>
        <w:t>водные</w:t>
      </w:r>
      <w:r w:rsidRPr="00015BFC">
        <w:rPr>
          <w:lang w:val="ru-RU"/>
        </w:rPr>
        <w:t xml:space="preserve"> </w:t>
      </w:r>
      <w:r>
        <w:rPr>
          <w:lang w:val="ru-RU"/>
        </w:rPr>
        <w:t>растения</w:t>
      </w:r>
      <w:r w:rsidRPr="00015BFC">
        <w:rPr>
          <w:lang w:val="ru-RU"/>
        </w:rPr>
        <w:t xml:space="preserve">) </w:t>
      </w:r>
      <w:r w:rsidR="00015BFC">
        <w:rPr>
          <w:lang w:val="ru-RU"/>
        </w:rPr>
        <w:t>в год, что составляет</w:t>
      </w:r>
      <w:r w:rsidR="005853BE" w:rsidRPr="00015BFC">
        <w:rPr>
          <w:lang w:val="ru-RU"/>
        </w:rPr>
        <w:t xml:space="preserve"> </w:t>
      </w:r>
      <w:r>
        <w:rPr>
          <w:lang w:val="ru-RU"/>
        </w:rPr>
        <w:t>около</w:t>
      </w:r>
      <w:r w:rsidR="005853BE" w:rsidRPr="00015BFC">
        <w:rPr>
          <w:lang w:val="ru-RU"/>
        </w:rPr>
        <w:t xml:space="preserve"> 50</w:t>
      </w:r>
      <w:r w:rsidR="00EB2303">
        <w:rPr>
          <w:lang w:val="ru-RU"/>
        </w:rPr>
        <w:t>%</w:t>
      </w:r>
      <w:r w:rsidR="005853BE" w:rsidRPr="008033B0">
        <w:t> </w:t>
      </w:r>
      <w:r w:rsidR="00015BFC">
        <w:rPr>
          <w:lang w:val="ru-RU"/>
        </w:rPr>
        <w:t>всего продовольствия, произведенного в водных системах</w:t>
      </w:r>
      <w:r w:rsidR="005853BE" w:rsidRPr="00BE4A3C">
        <w:rPr>
          <w:vertAlign w:val="superscript"/>
        </w:rPr>
        <w:footnoteReference w:id="1"/>
      </w:r>
      <w:r w:rsidR="005853BE" w:rsidRPr="00015BFC">
        <w:rPr>
          <w:lang w:val="ru-RU"/>
        </w:rPr>
        <w:t xml:space="preserve">. </w:t>
      </w:r>
      <w:r w:rsidR="00015BFC">
        <w:rPr>
          <w:lang w:val="ru-RU"/>
        </w:rPr>
        <w:t>Это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одна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из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наиболее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обещающих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индустрий</w:t>
      </w:r>
      <w:r w:rsidR="00015BFC" w:rsidRPr="00015BFC">
        <w:rPr>
          <w:lang w:val="ru-RU"/>
        </w:rPr>
        <w:t xml:space="preserve">, </w:t>
      </w:r>
      <w:r w:rsidR="00015BFC">
        <w:rPr>
          <w:lang w:val="ru-RU"/>
        </w:rPr>
        <w:t>производящих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 xml:space="preserve">продовольствие, как в социально-экономическом плане, так и в </w:t>
      </w:r>
      <w:r w:rsidR="00412266">
        <w:rPr>
          <w:lang w:val="ru-RU"/>
        </w:rPr>
        <w:t xml:space="preserve">плане </w:t>
      </w:r>
      <w:r w:rsidR="00015BFC">
        <w:rPr>
          <w:lang w:val="ru-RU"/>
        </w:rPr>
        <w:t>обеспечения продовольственной безопасности</w:t>
      </w:r>
      <w:r w:rsidR="005853BE" w:rsidRPr="00BE4A3C">
        <w:rPr>
          <w:vertAlign w:val="superscript"/>
        </w:rPr>
        <w:footnoteReference w:id="2"/>
      </w:r>
      <w:r w:rsidR="005853BE" w:rsidRPr="00015BFC">
        <w:rPr>
          <w:lang w:val="ru-RU"/>
        </w:rPr>
        <w:t xml:space="preserve">. </w:t>
      </w:r>
      <w:r w:rsidR="00015BFC">
        <w:rPr>
          <w:lang w:val="ru-RU"/>
        </w:rPr>
        <w:t>Она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может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помочь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сократить</w:t>
      </w:r>
      <w:r w:rsidR="00015BFC" w:rsidRPr="00015BFC">
        <w:rPr>
          <w:lang w:val="ru-RU"/>
        </w:rPr>
        <w:t xml:space="preserve"> </w:t>
      </w:r>
      <w:r w:rsidR="00412266">
        <w:rPr>
          <w:lang w:val="ru-RU"/>
        </w:rPr>
        <w:t xml:space="preserve">масштабы </w:t>
      </w:r>
      <w:r w:rsidR="00015BFC">
        <w:rPr>
          <w:lang w:val="ru-RU"/>
        </w:rPr>
        <w:t>бедност</w:t>
      </w:r>
      <w:r w:rsidR="00412266">
        <w:rPr>
          <w:lang w:val="ru-RU"/>
        </w:rPr>
        <w:t>и</w:t>
      </w:r>
      <w:r w:rsidR="00015BFC" w:rsidRPr="00015BFC">
        <w:rPr>
          <w:lang w:val="ru-RU"/>
        </w:rPr>
        <w:t xml:space="preserve">, </w:t>
      </w:r>
      <w:r w:rsidR="00015BFC">
        <w:rPr>
          <w:lang w:val="ru-RU"/>
        </w:rPr>
        <w:t>предоставляя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рабочие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места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и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возможности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для экономического развития</w:t>
      </w:r>
      <w:r w:rsidR="005853BE" w:rsidRPr="00015BFC">
        <w:rPr>
          <w:lang w:val="ru-RU"/>
        </w:rPr>
        <w:t xml:space="preserve">. </w:t>
      </w:r>
    </w:p>
    <w:p w:rsidR="005853BE" w:rsidRPr="00015BFC" w:rsidRDefault="00942B17" w:rsidP="002A0BA4">
      <w:pPr>
        <w:pStyle w:val="NewPara"/>
        <w:jc w:val="both"/>
        <w:rPr>
          <w:lang w:val="ru-RU"/>
        </w:rPr>
      </w:pPr>
      <w:r>
        <w:rPr>
          <w:lang w:val="ru-RU"/>
        </w:rPr>
        <w:lastRenderedPageBreak/>
        <w:t>В</w:t>
      </w:r>
      <w:r w:rsidRPr="00942B17">
        <w:rPr>
          <w:lang w:val="ru-RU"/>
        </w:rPr>
        <w:t xml:space="preserve"> 2012 </w:t>
      </w:r>
      <w:r>
        <w:rPr>
          <w:lang w:val="ru-RU"/>
        </w:rPr>
        <w:t>году</w:t>
      </w:r>
      <w:r w:rsidRPr="00942B17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942B17">
        <w:rPr>
          <w:lang w:val="ru-RU"/>
        </w:rPr>
        <w:t xml:space="preserve"> </w:t>
      </w:r>
      <w:r>
        <w:rPr>
          <w:lang w:val="ru-RU"/>
        </w:rPr>
        <w:t>в</w:t>
      </w:r>
      <w:r w:rsidRPr="00942B17">
        <w:rPr>
          <w:lang w:val="ru-RU"/>
        </w:rPr>
        <w:t xml:space="preserve"> </w:t>
      </w:r>
      <w:r>
        <w:rPr>
          <w:lang w:val="ru-RU"/>
        </w:rPr>
        <w:t>секторе</w:t>
      </w:r>
      <w:r w:rsidRPr="00942B17">
        <w:rPr>
          <w:lang w:val="ru-RU"/>
        </w:rPr>
        <w:t xml:space="preserve"> </w:t>
      </w:r>
      <w:r>
        <w:rPr>
          <w:lang w:val="ru-RU"/>
        </w:rPr>
        <w:t>рыболовства</w:t>
      </w:r>
      <w:r w:rsidRPr="00942B17">
        <w:rPr>
          <w:lang w:val="ru-RU"/>
        </w:rPr>
        <w:t xml:space="preserve"> </w:t>
      </w:r>
      <w:r>
        <w:rPr>
          <w:lang w:val="ru-RU"/>
        </w:rPr>
        <w:t>и</w:t>
      </w:r>
      <w:r w:rsidRPr="00942B17">
        <w:rPr>
          <w:lang w:val="ru-RU"/>
        </w:rPr>
        <w:t xml:space="preserve"> </w:t>
      </w:r>
      <w:proofErr w:type="spellStart"/>
      <w:r>
        <w:rPr>
          <w:lang w:val="ru-RU"/>
        </w:rPr>
        <w:t>аквакультуры</w:t>
      </w:r>
      <w:proofErr w:type="spellEnd"/>
      <w:r w:rsidRPr="00942B17">
        <w:rPr>
          <w:lang w:val="ru-RU"/>
        </w:rPr>
        <w:t xml:space="preserve"> </w:t>
      </w:r>
      <w:r>
        <w:rPr>
          <w:lang w:val="ru-RU"/>
        </w:rPr>
        <w:t>работало</w:t>
      </w:r>
      <w:r w:rsidRPr="00942B17">
        <w:rPr>
          <w:lang w:val="ru-RU"/>
        </w:rPr>
        <w:t xml:space="preserve"> </w:t>
      </w:r>
      <w:r>
        <w:rPr>
          <w:lang w:val="ru-RU"/>
        </w:rPr>
        <w:t>около</w:t>
      </w:r>
      <w:r w:rsidRPr="00942B17">
        <w:rPr>
          <w:lang w:val="ru-RU"/>
        </w:rPr>
        <w:t xml:space="preserve"> 58</w:t>
      </w:r>
      <w:r w:rsidR="00EB2303">
        <w:rPr>
          <w:lang w:val="ru-RU"/>
        </w:rPr>
        <w:t> </w:t>
      </w:r>
      <w:proofErr w:type="gramStart"/>
      <w:r>
        <w:rPr>
          <w:lang w:val="ru-RU"/>
        </w:rPr>
        <w:t>млн</w:t>
      </w:r>
      <w:proofErr w:type="gramEnd"/>
      <w:r w:rsidR="00EB2303">
        <w:rPr>
          <w:lang w:val="ru-RU"/>
        </w:rPr>
        <w:t> </w:t>
      </w:r>
      <w:r>
        <w:rPr>
          <w:lang w:val="ru-RU"/>
        </w:rPr>
        <w:t>человек</w:t>
      </w:r>
      <w:r w:rsidRPr="00942B17">
        <w:rPr>
          <w:lang w:val="ru-RU"/>
        </w:rPr>
        <w:t xml:space="preserve"> </w:t>
      </w:r>
      <w:r>
        <w:rPr>
          <w:lang w:val="ru-RU"/>
        </w:rPr>
        <w:t>и</w:t>
      </w:r>
      <w:r w:rsidRPr="00942B17">
        <w:rPr>
          <w:lang w:val="ru-RU"/>
        </w:rPr>
        <w:t xml:space="preserve"> </w:t>
      </w:r>
      <w:r>
        <w:rPr>
          <w:lang w:val="ru-RU"/>
        </w:rPr>
        <w:t>около</w:t>
      </w:r>
      <w:r w:rsidRPr="00942B17">
        <w:rPr>
          <w:lang w:val="ru-RU"/>
        </w:rPr>
        <w:t xml:space="preserve"> 200</w:t>
      </w:r>
      <w:r w:rsidR="00EB2303">
        <w:rPr>
          <w:lang w:val="ru-RU"/>
        </w:rPr>
        <w:t> </w:t>
      </w:r>
      <w:r>
        <w:rPr>
          <w:lang w:val="ru-RU"/>
        </w:rPr>
        <w:t>млн – во всех звеньях производственно-сбытовой цепочки</w:t>
      </w:r>
      <w:r w:rsidR="005853BE" w:rsidRPr="00942B17">
        <w:rPr>
          <w:lang w:val="ru-RU"/>
        </w:rPr>
        <w:t xml:space="preserve">. </w:t>
      </w:r>
      <w:r w:rsidR="00015BFC">
        <w:rPr>
          <w:lang w:val="ru-RU"/>
        </w:rPr>
        <w:t>От</w:t>
      </w:r>
      <w:r w:rsidR="00015BFC" w:rsidRPr="00015BFC">
        <w:rPr>
          <w:lang w:val="ru-RU"/>
        </w:rPr>
        <w:t xml:space="preserve"> </w:t>
      </w:r>
      <w:proofErr w:type="spellStart"/>
      <w:r w:rsidR="00015BFC">
        <w:rPr>
          <w:lang w:val="ru-RU"/>
        </w:rPr>
        <w:t>аквакультуры</w:t>
      </w:r>
      <w:proofErr w:type="spellEnd"/>
      <w:r w:rsidR="00015BFC" w:rsidRPr="00015BFC">
        <w:rPr>
          <w:lang w:val="ru-RU"/>
        </w:rPr>
        <w:t xml:space="preserve"> </w:t>
      </w:r>
      <w:r w:rsidR="002A0BA4">
        <w:rPr>
          <w:lang w:val="ru-RU"/>
        </w:rPr>
        <w:t>обеспечивает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средств</w:t>
      </w:r>
      <w:r w:rsidR="002A0BA4">
        <w:rPr>
          <w:lang w:val="ru-RU"/>
        </w:rPr>
        <w:t>а</w:t>
      </w:r>
      <w:r w:rsidR="00015BFC">
        <w:rPr>
          <w:lang w:val="ru-RU"/>
        </w:rPr>
        <w:t xml:space="preserve"> к существованию </w:t>
      </w:r>
      <w:r w:rsidR="002A0BA4">
        <w:rPr>
          <w:lang w:val="ru-RU"/>
        </w:rPr>
        <w:t xml:space="preserve">для </w:t>
      </w:r>
      <w:r w:rsidR="005853BE" w:rsidRPr="00015BFC">
        <w:rPr>
          <w:lang w:val="ru-RU"/>
        </w:rPr>
        <w:t>880</w:t>
      </w:r>
      <w:r w:rsidR="00EB2303">
        <w:rPr>
          <w:lang w:val="ru-RU"/>
        </w:rPr>
        <w:t> </w:t>
      </w:r>
      <w:proofErr w:type="gramStart"/>
      <w:r w:rsidR="00015BFC">
        <w:rPr>
          <w:lang w:val="ru-RU"/>
        </w:rPr>
        <w:t>млн</w:t>
      </w:r>
      <w:proofErr w:type="gramEnd"/>
      <w:r w:rsidR="00EB2303">
        <w:rPr>
          <w:lang w:val="ru-RU"/>
        </w:rPr>
        <w:t> </w:t>
      </w:r>
      <w:r w:rsidR="00015BFC">
        <w:rPr>
          <w:lang w:val="ru-RU"/>
        </w:rPr>
        <w:t>человек</w:t>
      </w:r>
      <w:r w:rsidR="005853BE" w:rsidRPr="00BE4A3C">
        <w:rPr>
          <w:vertAlign w:val="superscript"/>
        </w:rPr>
        <w:footnoteReference w:id="3"/>
      </w:r>
      <w:r w:rsidR="005853BE" w:rsidRPr="00015BFC">
        <w:rPr>
          <w:lang w:val="ru-RU"/>
        </w:rPr>
        <w:t xml:space="preserve">. </w:t>
      </w:r>
      <w:r>
        <w:rPr>
          <w:lang w:val="ru-RU"/>
        </w:rPr>
        <w:t>В</w:t>
      </w:r>
      <w:r w:rsidR="005853BE" w:rsidRPr="00015BFC">
        <w:rPr>
          <w:lang w:val="ru-RU"/>
        </w:rPr>
        <w:t xml:space="preserve"> 2012</w:t>
      </w:r>
      <w:r w:rsidR="00EB2303">
        <w:rPr>
          <w:lang w:val="ru-RU"/>
        </w:rPr>
        <w:t> </w:t>
      </w:r>
      <w:r>
        <w:rPr>
          <w:lang w:val="ru-RU"/>
        </w:rPr>
        <w:t>году</w:t>
      </w:r>
      <w:r w:rsidR="005853BE" w:rsidRPr="00015BFC">
        <w:rPr>
          <w:lang w:val="ru-RU"/>
        </w:rPr>
        <w:t xml:space="preserve"> 39</w:t>
      </w:r>
      <w:r w:rsidR="00713D04" w:rsidRPr="00015BFC">
        <w:rPr>
          <w:lang w:val="ru-RU"/>
        </w:rPr>
        <w:t>,</w:t>
      </w:r>
      <w:r w:rsidR="005853BE" w:rsidRPr="00015BFC">
        <w:rPr>
          <w:lang w:val="ru-RU"/>
        </w:rPr>
        <w:t>4</w:t>
      </w:r>
      <w:r w:rsidR="00EB2303">
        <w:rPr>
          <w:lang w:val="ru-RU"/>
        </w:rPr>
        <w:t> </w:t>
      </w:r>
      <w:r w:rsidR="00713D04">
        <w:rPr>
          <w:lang w:val="ru-RU"/>
        </w:rPr>
        <w:t>млн</w:t>
      </w:r>
      <w:r w:rsidR="00EB2303">
        <w:rPr>
          <w:lang w:val="ru-RU"/>
        </w:rPr>
        <w:t> </w:t>
      </w:r>
      <w:r w:rsidR="00713D04">
        <w:rPr>
          <w:lang w:val="ru-RU"/>
        </w:rPr>
        <w:t>человек</w:t>
      </w:r>
      <w:r w:rsidR="00713D04" w:rsidRPr="00015BFC">
        <w:rPr>
          <w:lang w:val="ru-RU"/>
        </w:rPr>
        <w:t xml:space="preserve"> </w:t>
      </w:r>
      <w:r w:rsidR="00015BFC">
        <w:rPr>
          <w:lang w:val="ru-RU"/>
        </w:rPr>
        <w:t>занимались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промысловым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рыболовством</w:t>
      </w:r>
      <w:r w:rsidR="00015BFC" w:rsidRPr="00015BFC">
        <w:rPr>
          <w:lang w:val="ru-RU"/>
        </w:rPr>
        <w:t xml:space="preserve"> </w:t>
      </w:r>
      <w:r w:rsidR="00015BFC">
        <w:rPr>
          <w:lang w:val="ru-RU"/>
        </w:rPr>
        <w:t>и</w:t>
      </w:r>
      <w:r w:rsidR="00015BFC" w:rsidRPr="00015BFC">
        <w:rPr>
          <w:lang w:val="ru-RU"/>
        </w:rPr>
        <w:t xml:space="preserve"> </w:t>
      </w:r>
      <w:r w:rsidR="005853BE" w:rsidRPr="00015BFC">
        <w:rPr>
          <w:lang w:val="ru-RU"/>
        </w:rPr>
        <w:t>18</w:t>
      </w:r>
      <w:r w:rsidR="00015BFC">
        <w:rPr>
          <w:lang w:val="ru-RU"/>
        </w:rPr>
        <w:t>,</w:t>
      </w:r>
      <w:r w:rsidR="005853BE" w:rsidRPr="00015BFC">
        <w:rPr>
          <w:lang w:val="ru-RU"/>
        </w:rPr>
        <w:t xml:space="preserve">9 </w:t>
      </w:r>
      <w:r w:rsidR="00015BFC">
        <w:rPr>
          <w:lang w:val="ru-RU"/>
        </w:rPr>
        <w:t xml:space="preserve">млн – </w:t>
      </w:r>
      <w:proofErr w:type="spellStart"/>
      <w:r w:rsidR="00015BFC">
        <w:rPr>
          <w:lang w:val="ru-RU"/>
        </w:rPr>
        <w:t>аквакультурой</w:t>
      </w:r>
      <w:proofErr w:type="spellEnd"/>
      <w:r w:rsidR="005853BE" w:rsidRPr="00015BFC">
        <w:rPr>
          <w:lang w:val="ru-RU"/>
        </w:rPr>
        <w:t xml:space="preserve">. </w:t>
      </w:r>
    </w:p>
    <w:p w:rsidR="005853BE" w:rsidRPr="00015BFC" w:rsidRDefault="005853BE" w:rsidP="005853BE">
      <w:pPr>
        <w:pStyle w:val="NewPara"/>
        <w:numPr>
          <w:ilvl w:val="0"/>
          <w:numId w:val="0"/>
        </w:numPr>
        <w:rPr>
          <w:lang w:val="ru-RU"/>
        </w:rPr>
      </w:pPr>
    </w:p>
    <w:p w:rsidR="005853BE" w:rsidRPr="00942B17" w:rsidRDefault="00942B17" w:rsidP="005853BE">
      <w:pPr>
        <w:pStyle w:val="NewPara"/>
        <w:jc w:val="both"/>
        <w:rPr>
          <w:lang w:val="ru-RU"/>
        </w:rPr>
      </w:pPr>
      <w:r>
        <w:rPr>
          <w:lang w:val="ru-RU"/>
        </w:rPr>
        <w:t>Аквакультура</w:t>
      </w:r>
      <w:r w:rsidRPr="00942B17">
        <w:rPr>
          <w:lang w:val="ru-RU"/>
        </w:rPr>
        <w:t xml:space="preserve"> </w:t>
      </w:r>
      <w:r>
        <w:rPr>
          <w:lang w:val="ru-RU"/>
        </w:rPr>
        <w:t>является</w:t>
      </w:r>
      <w:r w:rsidRPr="00942B17">
        <w:rPr>
          <w:lang w:val="ru-RU"/>
        </w:rPr>
        <w:t xml:space="preserve"> </w:t>
      </w:r>
      <w:r>
        <w:rPr>
          <w:lang w:val="ru-RU"/>
        </w:rPr>
        <w:t>альтернативой</w:t>
      </w:r>
      <w:r w:rsidRPr="00942B17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942B17">
        <w:rPr>
          <w:lang w:val="ru-RU"/>
        </w:rPr>
        <w:t xml:space="preserve"> </w:t>
      </w:r>
      <w:r>
        <w:rPr>
          <w:lang w:val="ru-RU"/>
        </w:rPr>
        <w:t>природных</w:t>
      </w:r>
      <w:r w:rsidRPr="00942B17">
        <w:rPr>
          <w:lang w:val="ru-RU"/>
        </w:rPr>
        <w:t xml:space="preserve"> </w:t>
      </w:r>
      <w:r>
        <w:rPr>
          <w:lang w:val="ru-RU"/>
        </w:rPr>
        <w:t>водных</w:t>
      </w:r>
      <w:r w:rsidRPr="00942B17">
        <w:rPr>
          <w:lang w:val="ru-RU"/>
        </w:rPr>
        <w:t xml:space="preserve"> </w:t>
      </w:r>
      <w:r>
        <w:rPr>
          <w:lang w:val="ru-RU"/>
        </w:rPr>
        <w:t>ресурсов</w:t>
      </w:r>
      <w:r w:rsidRPr="00942B17">
        <w:rPr>
          <w:lang w:val="ru-RU"/>
        </w:rPr>
        <w:t xml:space="preserve"> </w:t>
      </w:r>
      <w:r>
        <w:rPr>
          <w:lang w:val="ru-RU"/>
        </w:rPr>
        <w:t>и</w:t>
      </w:r>
      <w:r w:rsidRPr="00942B17">
        <w:rPr>
          <w:lang w:val="ru-RU"/>
        </w:rPr>
        <w:t xml:space="preserve"> </w:t>
      </w:r>
      <w:r>
        <w:rPr>
          <w:lang w:val="ru-RU"/>
        </w:rPr>
        <w:t>продемонстрировала</w:t>
      </w:r>
      <w:r w:rsidRPr="00942B17">
        <w:rPr>
          <w:lang w:val="ru-RU"/>
        </w:rPr>
        <w:t xml:space="preserve"> </w:t>
      </w:r>
      <w:r>
        <w:rPr>
          <w:lang w:val="ru-RU"/>
        </w:rPr>
        <w:t>свою</w:t>
      </w:r>
      <w:r w:rsidRPr="00942B17">
        <w:rPr>
          <w:lang w:val="ru-RU"/>
        </w:rPr>
        <w:t xml:space="preserve"> </w:t>
      </w:r>
      <w:r>
        <w:rPr>
          <w:lang w:val="ru-RU"/>
        </w:rPr>
        <w:t>способность</w:t>
      </w:r>
      <w:r w:rsidRPr="00942B17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942B17">
        <w:rPr>
          <w:lang w:val="ru-RU"/>
        </w:rPr>
        <w:t xml:space="preserve"> </w:t>
      </w:r>
      <w:r>
        <w:rPr>
          <w:lang w:val="ru-RU"/>
        </w:rPr>
        <w:t>смягчению</w:t>
      </w:r>
      <w:r w:rsidRPr="00942B17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942B1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42B17">
        <w:rPr>
          <w:lang w:val="ru-RU"/>
        </w:rPr>
        <w:t xml:space="preserve"> </w:t>
      </w:r>
      <w:r>
        <w:rPr>
          <w:lang w:val="ru-RU"/>
        </w:rPr>
        <w:t>климата</w:t>
      </w:r>
      <w:r w:rsidRPr="00942B17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42B17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942B17">
        <w:rPr>
          <w:lang w:val="ru-RU"/>
        </w:rPr>
        <w:t xml:space="preserve"> </w:t>
      </w:r>
      <w:r>
        <w:rPr>
          <w:lang w:val="ru-RU"/>
        </w:rPr>
        <w:t>таких</w:t>
      </w:r>
      <w:r w:rsidRPr="00942B17">
        <w:rPr>
          <w:lang w:val="ru-RU"/>
        </w:rPr>
        <w:t xml:space="preserve"> </w:t>
      </w:r>
      <w:r>
        <w:rPr>
          <w:lang w:val="ru-RU"/>
        </w:rPr>
        <w:t>типов</w:t>
      </w:r>
      <w:r w:rsidRPr="00942B17">
        <w:rPr>
          <w:lang w:val="ru-RU"/>
        </w:rPr>
        <w:t xml:space="preserve"> </w:t>
      </w:r>
      <w:r>
        <w:rPr>
          <w:lang w:val="ru-RU"/>
        </w:rPr>
        <w:t>пищевых</w:t>
      </w:r>
      <w:r w:rsidRPr="00942B17">
        <w:rPr>
          <w:lang w:val="ru-RU"/>
        </w:rPr>
        <w:t xml:space="preserve"> </w:t>
      </w:r>
      <w:r>
        <w:rPr>
          <w:lang w:val="ru-RU"/>
        </w:rPr>
        <w:t>продуктов</w:t>
      </w:r>
      <w:r w:rsidRPr="00942B17">
        <w:rPr>
          <w:lang w:val="ru-RU"/>
        </w:rPr>
        <w:t xml:space="preserve"> </w:t>
      </w:r>
      <w:r>
        <w:rPr>
          <w:lang w:val="ru-RU"/>
        </w:rPr>
        <w:t>и</w:t>
      </w:r>
      <w:r w:rsidRPr="00942B17">
        <w:rPr>
          <w:lang w:val="ru-RU"/>
        </w:rPr>
        <w:t xml:space="preserve"> </w:t>
      </w:r>
      <w:r>
        <w:rPr>
          <w:lang w:val="ru-RU"/>
        </w:rPr>
        <w:t>сырья</w:t>
      </w:r>
      <w:r w:rsidRPr="00942B17">
        <w:rPr>
          <w:lang w:val="ru-RU"/>
        </w:rPr>
        <w:t xml:space="preserve">, </w:t>
      </w:r>
      <w:r>
        <w:rPr>
          <w:lang w:val="ru-RU"/>
        </w:rPr>
        <w:t>которые выбрасывают низкие уровни парниковых газов и связывают углерод</w:t>
      </w:r>
      <w:r w:rsidR="005853BE" w:rsidRPr="00942B17">
        <w:rPr>
          <w:lang w:val="ru-RU"/>
        </w:rPr>
        <w:t xml:space="preserve">. </w:t>
      </w:r>
      <w:r w:rsidR="00713D04">
        <w:rPr>
          <w:lang w:val="ru-RU"/>
        </w:rPr>
        <w:t xml:space="preserve">Например, </w:t>
      </w:r>
      <w:r w:rsidR="00EB2303">
        <w:rPr>
          <w:lang w:val="ru-RU"/>
        </w:rPr>
        <w:t>"</w:t>
      </w:r>
      <w:r w:rsidR="00713D04">
        <w:rPr>
          <w:lang w:val="ru-RU"/>
        </w:rPr>
        <w:t>углеродный след</w:t>
      </w:r>
      <w:r w:rsidR="00EB2303">
        <w:rPr>
          <w:lang w:val="ru-RU"/>
        </w:rPr>
        <w:t xml:space="preserve">" </w:t>
      </w:r>
      <w:r w:rsidR="00713D04">
        <w:rPr>
          <w:lang w:val="ru-RU"/>
        </w:rPr>
        <w:t>атлантического лосося, курятины, свинины и говядины составляет</w:t>
      </w:r>
      <w:r w:rsidR="005853BE" w:rsidRPr="00942B17">
        <w:rPr>
          <w:lang w:val="ru-RU"/>
        </w:rPr>
        <w:t xml:space="preserve"> 2</w:t>
      </w:r>
      <w:r w:rsidR="00713D04">
        <w:rPr>
          <w:lang w:val="ru-RU"/>
        </w:rPr>
        <w:t>,</w:t>
      </w:r>
      <w:r w:rsidR="005853BE" w:rsidRPr="00942B17">
        <w:rPr>
          <w:lang w:val="ru-RU"/>
        </w:rPr>
        <w:t>9, 2</w:t>
      </w:r>
      <w:r w:rsidR="00713D04">
        <w:rPr>
          <w:lang w:val="ru-RU"/>
        </w:rPr>
        <w:t>,</w:t>
      </w:r>
      <w:r w:rsidR="005853BE" w:rsidRPr="00942B17">
        <w:rPr>
          <w:lang w:val="ru-RU"/>
        </w:rPr>
        <w:t>7, 5</w:t>
      </w:r>
      <w:r w:rsidR="00713D04">
        <w:rPr>
          <w:lang w:val="ru-RU"/>
        </w:rPr>
        <w:t>,</w:t>
      </w:r>
      <w:r w:rsidR="005853BE" w:rsidRPr="00942B17">
        <w:rPr>
          <w:lang w:val="ru-RU"/>
        </w:rPr>
        <w:t>9</w:t>
      </w:r>
      <w:r w:rsidR="00713D04">
        <w:rPr>
          <w:lang w:val="ru-RU"/>
        </w:rPr>
        <w:t xml:space="preserve"> и</w:t>
      </w:r>
      <w:r w:rsidR="005853BE" w:rsidRPr="00942B17">
        <w:rPr>
          <w:lang w:val="ru-RU"/>
        </w:rPr>
        <w:t xml:space="preserve"> 30</w:t>
      </w:r>
      <w:r w:rsidR="00713D04">
        <w:rPr>
          <w:lang w:val="ru-RU"/>
        </w:rPr>
        <w:t>,</w:t>
      </w:r>
      <w:r w:rsidR="005853BE" w:rsidRPr="00942B17">
        <w:rPr>
          <w:lang w:val="ru-RU"/>
        </w:rPr>
        <w:t xml:space="preserve">0 </w:t>
      </w:r>
      <w:r w:rsidR="00713D04">
        <w:rPr>
          <w:lang w:val="ru-RU"/>
        </w:rPr>
        <w:t>кг</w:t>
      </w:r>
      <w:r w:rsidR="005853BE" w:rsidRPr="00942B17">
        <w:rPr>
          <w:lang w:val="ru-RU"/>
        </w:rPr>
        <w:t xml:space="preserve"> </w:t>
      </w:r>
      <w:r w:rsidR="005853BE" w:rsidRPr="008033B0">
        <w:t>CO</w:t>
      </w:r>
      <w:r w:rsidR="005853BE" w:rsidRPr="00942B17">
        <w:rPr>
          <w:vertAlign w:val="subscript"/>
          <w:lang w:val="ru-RU"/>
        </w:rPr>
        <w:t>2</w:t>
      </w:r>
      <w:r w:rsidR="005853BE" w:rsidRPr="00942B17">
        <w:rPr>
          <w:lang w:val="ru-RU"/>
        </w:rPr>
        <w:t xml:space="preserve"> </w:t>
      </w:r>
      <w:r w:rsidR="00713D04">
        <w:rPr>
          <w:lang w:val="ru-RU"/>
        </w:rPr>
        <w:t xml:space="preserve">соответственно на 1 кг </w:t>
      </w:r>
      <w:r>
        <w:rPr>
          <w:lang w:val="ru-RU"/>
        </w:rPr>
        <w:t>съедобной части продукта</w:t>
      </w:r>
      <w:r w:rsidR="005853BE" w:rsidRPr="00887892">
        <w:rPr>
          <w:vertAlign w:val="superscript"/>
        </w:rPr>
        <w:footnoteReference w:id="4"/>
      </w:r>
      <w:r w:rsidR="005853BE" w:rsidRPr="00942B17">
        <w:rPr>
          <w:lang w:val="ru-RU"/>
        </w:rPr>
        <w:t xml:space="preserve">. </w:t>
      </w:r>
    </w:p>
    <w:p w:rsidR="005853BE" w:rsidRPr="00942B17" w:rsidRDefault="005853BE" w:rsidP="005853BE">
      <w:pPr>
        <w:pStyle w:val="NewPara"/>
        <w:numPr>
          <w:ilvl w:val="0"/>
          <w:numId w:val="0"/>
        </w:numPr>
        <w:rPr>
          <w:lang w:val="ru-RU"/>
        </w:rPr>
      </w:pPr>
    </w:p>
    <w:p w:rsidR="005853BE" w:rsidRPr="00C31C0D" w:rsidRDefault="00942B17" w:rsidP="005853BE">
      <w:pPr>
        <w:pStyle w:val="NewPara"/>
        <w:jc w:val="both"/>
        <w:rPr>
          <w:lang w:val="ru-RU"/>
        </w:rPr>
      </w:pPr>
      <w:r>
        <w:rPr>
          <w:lang w:val="ru-RU"/>
        </w:rPr>
        <w:t>В</w:t>
      </w:r>
      <w:r w:rsidRPr="00942B17">
        <w:rPr>
          <w:lang w:val="ru-RU"/>
        </w:rPr>
        <w:t xml:space="preserve"> </w:t>
      </w:r>
      <w:r>
        <w:rPr>
          <w:lang w:val="ru-RU"/>
        </w:rPr>
        <w:t>то</w:t>
      </w:r>
      <w:r w:rsidRPr="00942B17">
        <w:rPr>
          <w:lang w:val="ru-RU"/>
        </w:rPr>
        <w:t xml:space="preserve"> </w:t>
      </w:r>
      <w:r>
        <w:rPr>
          <w:lang w:val="ru-RU"/>
        </w:rPr>
        <w:t>время</w:t>
      </w:r>
      <w:r w:rsidRPr="00942B17">
        <w:rPr>
          <w:lang w:val="ru-RU"/>
        </w:rPr>
        <w:t xml:space="preserve"> </w:t>
      </w:r>
      <w:r>
        <w:rPr>
          <w:lang w:val="ru-RU"/>
        </w:rPr>
        <w:t>как</w:t>
      </w:r>
      <w:r w:rsidRPr="00942B17">
        <w:rPr>
          <w:lang w:val="ru-RU"/>
        </w:rPr>
        <w:t xml:space="preserve"> </w:t>
      </w:r>
      <w:r>
        <w:rPr>
          <w:lang w:val="ru-RU"/>
        </w:rPr>
        <w:t>промысловое</w:t>
      </w:r>
      <w:r w:rsidRPr="00942B17">
        <w:rPr>
          <w:lang w:val="ru-RU"/>
        </w:rPr>
        <w:t xml:space="preserve"> </w:t>
      </w:r>
      <w:r>
        <w:rPr>
          <w:lang w:val="ru-RU"/>
        </w:rPr>
        <w:t>рыболовство</w:t>
      </w:r>
      <w:r w:rsidRPr="00942B17">
        <w:rPr>
          <w:lang w:val="ru-RU"/>
        </w:rPr>
        <w:t xml:space="preserve"> </w:t>
      </w:r>
      <w:r w:rsidR="00412266">
        <w:rPr>
          <w:lang w:val="ru-RU"/>
        </w:rPr>
        <w:t>прекратило рост</w:t>
      </w:r>
      <w:r w:rsidRPr="00942B17">
        <w:rPr>
          <w:lang w:val="ru-RU"/>
        </w:rPr>
        <w:t xml:space="preserve">, </w:t>
      </w:r>
      <w:r>
        <w:rPr>
          <w:lang w:val="ru-RU"/>
        </w:rPr>
        <w:t>аквакультура</w:t>
      </w:r>
      <w:r w:rsidRPr="00942B17">
        <w:rPr>
          <w:lang w:val="ru-RU"/>
        </w:rPr>
        <w:t xml:space="preserve"> </w:t>
      </w:r>
      <w:r>
        <w:rPr>
          <w:lang w:val="ru-RU"/>
        </w:rPr>
        <w:t>способствовала</w:t>
      </w:r>
      <w:r w:rsidRPr="00942B17">
        <w:rPr>
          <w:lang w:val="ru-RU"/>
        </w:rPr>
        <w:t xml:space="preserve"> </w:t>
      </w:r>
      <w:r>
        <w:rPr>
          <w:lang w:val="ru-RU"/>
        </w:rPr>
        <w:t>росту</w:t>
      </w:r>
      <w:r w:rsidRPr="00942B17">
        <w:rPr>
          <w:lang w:val="ru-RU"/>
        </w:rPr>
        <w:t xml:space="preserve"> </w:t>
      </w:r>
      <w:r>
        <w:rPr>
          <w:lang w:val="ru-RU"/>
        </w:rPr>
        <w:t>отрасли производства морепродуктов</w:t>
      </w:r>
      <w:r w:rsidR="005853BE" w:rsidRPr="00942B17">
        <w:rPr>
          <w:lang w:val="ru-RU"/>
        </w:rPr>
        <w:t xml:space="preserve">, </w:t>
      </w:r>
      <w:r w:rsidR="00015BFC">
        <w:rPr>
          <w:lang w:val="ru-RU"/>
        </w:rPr>
        <w:t>повлияла на разнообразие продуктов питания и нашла способы достижения экономического развития и сохранения окружающей среды в различных водных экосистемах</w:t>
      </w:r>
      <w:r w:rsidR="005853BE" w:rsidRPr="00887892">
        <w:rPr>
          <w:vertAlign w:val="superscript"/>
        </w:rPr>
        <w:footnoteReference w:id="5"/>
      </w:r>
      <w:r w:rsidR="005853BE" w:rsidRPr="00942B17">
        <w:rPr>
          <w:lang w:val="ru-RU"/>
        </w:rPr>
        <w:t xml:space="preserve">. </w:t>
      </w:r>
      <w:r w:rsidR="00C31C0D">
        <w:rPr>
          <w:lang w:val="ru-RU"/>
        </w:rPr>
        <w:t>Первоначально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аквакультура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была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в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весьма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значительной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степени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связана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с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использованием</w:t>
      </w:r>
      <w:r w:rsidR="00C31C0D" w:rsidRPr="00C31C0D">
        <w:rPr>
          <w:lang w:val="ru-RU"/>
        </w:rPr>
        <w:t xml:space="preserve"> </w:t>
      </w:r>
      <w:r w:rsidR="00C31C0D">
        <w:rPr>
          <w:lang w:val="ru-RU"/>
        </w:rPr>
        <w:t>ресурсов (земельных, водных и трудовых), но в последнее время все более основывается на знаниях и технологии</w:t>
      </w:r>
      <w:r w:rsidR="005853BE" w:rsidRPr="00C31C0D">
        <w:rPr>
          <w:lang w:val="ru-RU"/>
        </w:rPr>
        <w:t xml:space="preserve">. </w:t>
      </w:r>
    </w:p>
    <w:p w:rsidR="005853BE" w:rsidRPr="00C31C0D" w:rsidRDefault="005853BE" w:rsidP="005853BE">
      <w:pPr>
        <w:pStyle w:val="NewPara"/>
        <w:numPr>
          <w:ilvl w:val="0"/>
          <w:numId w:val="0"/>
        </w:numPr>
        <w:rPr>
          <w:lang w:val="ru-RU"/>
        </w:rPr>
      </w:pPr>
    </w:p>
    <w:p w:rsidR="005853BE" w:rsidRPr="0052495B" w:rsidRDefault="002A0BA4" w:rsidP="002A0BA4">
      <w:pPr>
        <w:pStyle w:val="NewPara"/>
        <w:jc w:val="both"/>
        <w:rPr>
          <w:lang w:val="ru-RU"/>
        </w:rPr>
      </w:pPr>
      <w:r>
        <w:rPr>
          <w:lang w:val="ru-RU"/>
        </w:rPr>
        <w:t>Многочисленные</w:t>
      </w:r>
      <w:r w:rsidRPr="0052495B">
        <w:rPr>
          <w:lang w:val="ru-RU"/>
        </w:rPr>
        <w:t xml:space="preserve"> </w:t>
      </w:r>
      <w:r w:rsidR="0052495B">
        <w:rPr>
          <w:lang w:val="ru-RU"/>
        </w:rPr>
        <w:t>инновации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в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области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технологии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и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управления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позвол</w:t>
      </w:r>
      <w:r>
        <w:rPr>
          <w:lang w:val="ru-RU"/>
        </w:rPr>
        <w:t>яют</w:t>
      </w:r>
      <w:r w:rsidR="0052495B">
        <w:rPr>
          <w:lang w:val="ru-RU"/>
        </w:rPr>
        <w:t xml:space="preserve"> </w:t>
      </w:r>
      <w:proofErr w:type="spellStart"/>
      <w:r w:rsidR="0052495B">
        <w:rPr>
          <w:lang w:val="ru-RU"/>
        </w:rPr>
        <w:t>аквакультуре</w:t>
      </w:r>
      <w:proofErr w:type="spellEnd"/>
      <w:r w:rsidR="0052495B">
        <w:rPr>
          <w:lang w:val="ru-RU"/>
        </w:rPr>
        <w:t xml:space="preserve"> </w:t>
      </w:r>
      <w:r>
        <w:rPr>
          <w:lang w:val="ru-RU"/>
        </w:rPr>
        <w:t>вносить эффективный вклад в обеспечение нутриционной безопасности</w:t>
      </w:r>
      <w:r w:rsidR="0052495B">
        <w:rPr>
          <w:lang w:val="ru-RU"/>
        </w:rPr>
        <w:t xml:space="preserve">, </w:t>
      </w:r>
      <w:r w:rsidR="00656DA6">
        <w:rPr>
          <w:lang w:val="ru-RU"/>
        </w:rPr>
        <w:t>до</w:t>
      </w:r>
      <w:r w:rsidR="0052495B">
        <w:rPr>
          <w:lang w:val="ru-RU"/>
        </w:rPr>
        <w:t>стойн</w:t>
      </w:r>
      <w:r>
        <w:rPr>
          <w:lang w:val="ru-RU"/>
        </w:rPr>
        <w:t>ой</w:t>
      </w:r>
      <w:r w:rsidR="00656DA6" w:rsidRPr="0052495B">
        <w:rPr>
          <w:lang w:val="ru-RU"/>
        </w:rPr>
        <w:t xml:space="preserve"> </w:t>
      </w:r>
      <w:r>
        <w:rPr>
          <w:lang w:val="ru-RU"/>
        </w:rPr>
        <w:t>занятости</w:t>
      </w:r>
      <w:r w:rsidRPr="0052495B">
        <w:rPr>
          <w:lang w:val="ru-RU"/>
        </w:rPr>
        <w:t xml:space="preserve"> </w:t>
      </w:r>
      <w:r w:rsidR="00656DA6">
        <w:rPr>
          <w:lang w:val="ru-RU"/>
        </w:rPr>
        <w:t>и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устойчиво</w:t>
      </w:r>
      <w:r>
        <w:rPr>
          <w:lang w:val="ru-RU"/>
        </w:rPr>
        <w:t>го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производств</w:t>
      </w:r>
      <w:r>
        <w:rPr>
          <w:lang w:val="ru-RU"/>
        </w:rPr>
        <w:t>а</w:t>
      </w:r>
      <w:r w:rsidR="005853BE" w:rsidRPr="0052495B">
        <w:rPr>
          <w:lang w:val="ru-RU"/>
        </w:rPr>
        <w:t xml:space="preserve">. </w:t>
      </w:r>
      <w:r w:rsidR="0052495B">
        <w:rPr>
          <w:lang w:val="ru-RU"/>
        </w:rPr>
        <w:t>Широкое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>освоение</w:t>
      </w:r>
      <w:r w:rsidR="0052495B" w:rsidRPr="0052495B">
        <w:rPr>
          <w:lang w:val="ru-RU"/>
        </w:rPr>
        <w:t xml:space="preserve"> </w:t>
      </w:r>
      <w:r w:rsidR="0052495B">
        <w:rPr>
          <w:lang w:val="ru-RU"/>
        </w:rPr>
        <w:t xml:space="preserve">усовершенствованных технологий в традиционных фермерских хозяйствах </w:t>
      </w:r>
      <w:r w:rsidR="00656DA6">
        <w:rPr>
          <w:lang w:val="ru-RU"/>
        </w:rPr>
        <w:t>в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ряде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стран</w:t>
      </w:r>
      <w:r w:rsidR="00656DA6" w:rsidRPr="0052495B">
        <w:rPr>
          <w:lang w:val="ru-RU"/>
        </w:rPr>
        <w:t xml:space="preserve"> </w:t>
      </w:r>
      <w:r>
        <w:rPr>
          <w:lang w:val="ru-RU"/>
        </w:rPr>
        <w:t>доказало, что</w:t>
      </w:r>
      <w:r w:rsidR="00EB2303" w:rsidRPr="0052495B">
        <w:rPr>
          <w:lang w:val="ru-RU"/>
        </w:rPr>
        <w:t xml:space="preserve"> </w:t>
      </w:r>
      <w:r w:rsidR="00656DA6">
        <w:rPr>
          <w:lang w:val="ru-RU"/>
        </w:rPr>
        <w:t>аквакультур</w:t>
      </w:r>
      <w:r>
        <w:rPr>
          <w:lang w:val="ru-RU"/>
        </w:rPr>
        <w:t>а содействует</w:t>
      </w:r>
      <w:r w:rsidR="00656DA6" w:rsidRPr="0052495B">
        <w:rPr>
          <w:lang w:val="ru-RU"/>
        </w:rPr>
        <w:t xml:space="preserve"> </w:t>
      </w:r>
      <w:r>
        <w:rPr>
          <w:lang w:val="ru-RU"/>
        </w:rPr>
        <w:t>повышению продуктивности</w:t>
      </w:r>
      <w:r w:rsidR="006D6C36">
        <w:rPr>
          <w:lang w:val="ru-RU"/>
        </w:rPr>
        <w:t>, диверсификации источников сре</w:t>
      </w:r>
      <w:proofErr w:type="gramStart"/>
      <w:r w:rsidR="006D6C36">
        <w:rPr>
          <w:lang w:val="ru-RU"/>
        </w:rPr>
        <w:t>дств к с</w:t>
      </w:r>
      <w:proofErr w:type="gramEnd"/>
      <w:r w:rsidR="006D6C36">
        <w:rPr>
          <w:lang w:val="ru-RU"/>
        </w:rPr>
        <w:t>уществованию в сельских районах</w:t>
      </w:r>
      <w:r w:rsidR="005853BE" w:rsidRPr="0052495B">
        <w:rPr>
          <w:lang w:val="ru-RU"/>
        </w:rPr>
        <w:t xml:space="preserve">, </w:t>
      </w:r>
      <w:r>
        <w:rPr>
          <w:lang w:val="ru-RU"/>
        </w:rPr>
        <w:t>созданию</w:t>
      </w:r>
      <w:r w:rsidRPr="0052495B">
        <w:rPr>
          <w:lang w:val="ru-RU"/>
        </w:rPr>
        <w:t xml:space="preserve"> </w:t>
      </w:r>
      <w:r w:rsidR="00656DA6">
        <w:rPr>
          <w:lang w:val="ru-RU"/>
        </w:rPr>
        <w:t>рабочи</w:t>
      </w:r>
      <w:r>
        <w:rPr>
          <w:lang w:val="ru-RU"/>
        </w:rPr>
        <w:t>х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мест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и</w:t>
      </w:r>
      <w:r w:rsidR="00656DA6" w:rsidRPr="0052495B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52495B">
        <w:rPr>
          <w:lang w:val="ru-RU"/>
        </w:rPr>
        <w:t xml:space="preserve"> </w:t>
      </w:r>
      <w:r w:rsidR="00656DA6">
        <w:rPr>
          <w:lang w:val="ru-RU"/>
        </w:rPr>
        <w:t>дохода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в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сельском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хозяйстве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развивающихся</w:t>
      </w:r>
      <w:r w:rsidR="00656DA6" w:rsidRPr="0052495B">
        <w:rPr>
          <w:lang w:val="ru-RU"/>
        </w:rPr>
        <w:t xml:space="preserve"> </w:t>
      </w:r>
      <w:r w:rsidR="00656DA6">
        <w:rPr>
          <w:lang w:val="ru-RU"/>
        </w:rPr>
        <w:t>стран</w:t>
      </w:r>
      <w:r w:rsidR="005853BE" w:rsidRPr="00F730EB">
        <w:rPr>
          <w:vertAlign w:val="superscript"/>
        </w:rPr>
        <w:footnoteReference w:id="6"/>
      </w:r>
      <w:r w:rsidR="00656DA6" w:rsidRPr="0052495B">
        <w:rPr>
          <w:lang w:val="ru-RU"/>
        </w:rPr>
        <w:t xml:space="preserve">, </w:t>
      </w:r>
      <w:r w:rsidR="00656DA6">
        <w:rPr>
          <w:lang w:val="ru-RU"/>
        </w:rPr>
        <w:t>хотя</w:t>
      </w:r>
      <w:r w:rsidR="00656DA6" w:rsidRPr="0052495B">
        <w:rPr>
          <w:lang w:val="ru-RU"/>
        </w:rPr>
        <w:t xml:space="preserve"> </w:t>
      </w:r>
      <w:r>
        <w:rPr>
          <w:lang w:val="ru-RU"/>
        </w:rPr>
        <w:t>этот процесс сталкивается со</w:t>
      </w:r>
      <w:r w:rsidR="00412266">
        <w:rPr>
          <w:lang w:val="ru-RU"/>
        </w:rPr>
        <w:t xml:space="preserve"> </w:t>
      </w:r>
      <w:r>
        <w:rPr>
          <w:lang w:val="ru-RU"/>
        </w:rPr>
        <w:t xml:space="preserve">сложностями </w:t>
      </w:r>
      <w:r w:rsidR="00412266">
        <w:rPr>
          <w:lang w:val="ru-RU"/>
        </w:rPr>
        <w:t>и ограничени</w:t>
      </w:r>
      <w:r>
        <w:rPr>
          <w:lang w:val="ru-RU"/>
        </w:rPr>
        <w:t>ями</w:t>
      </w:r>
      <w:r w:rsidR="005853BE" w:rsidRPr="0052495B">
        <w:rPr>
          <w:lang w:val="ru-RU"/>
        </w:rPr>
        <w:t xml:space="preserve">. </w:t>
      </w:r>
    </w:p>
    <w:p w:rsidR="005853BE" w:rsidRPr="0052495B" w:rsidRDefault="005853BE" w:rsidP="005853BE">
      <w:pPr>
        <w:rPr>
          <w:lang w:val="ru-RU"/>
        </w:rPr>
      </w:pPr>
    </w:p>
    <w:p w:rsidR="005853BE" w:rsidRPr="00412266" w:rsidRDefault="00412266" w:rsidP="002A0BA4">
      <w:pPr>
        <w:pStyle w:val="Heading2"/>
        <w:numPr>
          <w:ilvl w:val="0"/>
          <w:numId w:val="0"/>
        </w:numPr>
        <w:ind w:firstLine="1"/>
        <w:jc w:val="left"/>
        <w:rPr>
          <w:rFonts w:ascii="Times New Roman" w:hAnsi="Times New Roman" w:cs="Times New Roman"/>
          <w:lang w:val="ru-RU"/>
        </w:rPr>
      </w:pPr>
      <w:r w:rsidRPr="00412266">
        <w:rPr>
          <w:rFonts w:ascii="Times New Roman" w:hAnsi="Times New Roman" w:cs="Times New Roman"/>
          <w:lang w:val="ru-RU"/>
        </w:rPr>
        <w:t xml:space="preserve">ПЕРЕХОД ОТ </w:t>
      </w:r>
      <w:r w:rsidR="00EB2303">
        <w:rPr>
          <w:rFonts w:ascii="Times New Roman" w:hAnsi="Times New Roman" w:cs="Times New Roman"/>
          <w:lang w:val="ru-RU"/>
        </w:rPr>
        <w:t>"</w:t>
      </w:r>
      <w:r w:rsidRPr="00412266">
        <w:rPr>
          <w:rFonts w:ascii="Times New Roman" w:hAnsi="Times New Roman" w:cs="Times New Roman"/>
          <w:lang w:val="ru-RU"/>
        </w:rPr>
        <w:t>ПРОИЗВОДИТЬ БОЛЬШЕ</w:t>
      </w:r>
      <w:r w:rsidR="00EB2303">
        <w:rPr>
          <w:rFonts w:ascii="Times New Roman" w:hAnsi="Times New Roman" w:cs="Times New Roman"/>
          <w:lang w:val="ru-RU"/>
        </w:rPr>
        <w:t>"</w:t>
      </w:r>
      <w:r w:rsidR="00EB2303" w:rsidRPr="00412266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412266">
        <w:rPr>
          <w:rFonts w:ascii="Times New Roman" w:hAnsi="Times New Roman" w:cs="Times New Roman"/>
          <w:lang w:val="ru-RU"/>
        </w:rPr>
        <w:t>К</w:t>
      </w:r>
      <w:proofErr w:type="gramEnd"/>
      <w:r w:rsidRPr="00412266">
        <w:rPr>
          <w:rFonts w:ascii="Times New Roman" w:hAnsi="Times New Roman" w:cs="Times New Roman"/>
          <w:lang w:val="ru-RU"/>
        </w:rPr>
        <w:t xml:space="preserve"> </w:t>
      </w:r>
      <w:r w:rsidR="00EB2303">
        <w:rPr>
          <w:rFonts w:ascii="Times New Roman" w:hAnsi="Times New Roman" w:cs="Times New Roman"/>
          <w:lang w:val="ru-RU"/>
        </w:rPr>
        <w:t>"</w:t>
      </w:r>
      <w:r w:rsidRPr="00412266">
        <w:rPr>
          <w:rFonts w:ascii="Times New Roman" w:hAnsi="Times New Roman" w:cs="Times New Roman"/>
          <w:lang w:val="ru-RU"/>
        </w:rPr>
        <w:t xml:space="preserve">ПРОИЗВОДИТЬ БОЛЬШЕ </w:t>
      </w:r>
      <w:r w:rsidR="005853BE" w:rsidRPr="00412266">
        <w:rPr>
          <w:rFonts w:ascii="Times New Roman" w:hAnsi="Times New Roman" w:cs="Times New Roman"/>
          <w:lang w:val="ru-RU"/>
        </w:rPr>
        <w:t xml:space="preserve"> </w:t>
      </w:r>
      <w:r w:rsidRPr="00412266">
        <w:rPr>
          <w:rFonts w:ascii="Times New Roman" w:hAnsi="Times New Roman" w:cs="Times New Roman"/>
          <w:lang w:val="ru-RU"/>
        </w:rPr>
        <w:t>ПРИ МЕНЬШ</w:t>
      </w:r>
      <w:r w:rsidR="000B22FA">
        <w:rPr>
          <w:rFonts w:ascii="Times New Roman" w:hAnsi="Times New Roman" w:cs="Times New Roman"/>
          <w:lang w:val="ru-RU"/>
        </w:rPr>
        <w:t>ЕМ КОЛИЧЕСТВЕ РЕСУРСОВ</w:t>
      </w:r>
      <w:r w:rsidR="00EB2303">
        <w:rPr>
          <w:rFonts w:ascii="Times New Roman" w:hAnsi="Times New Roman" w:cs="Times New Roman"/>
          <w:lang w:val="ru-RU"/>
        </w:rPr>
        <w:t>"</w:t>
      </w:r>
    </w:p>
    <w:p w:rsidR="005853BE" w:rsidRPr="00412266" w:rsidRDefault="005853BE" w:rsidP="005853BE">
      <w:pPr>
        <w:rPr>
          <w:lang w:val="ru-RU"/>
        </w:rPr>
      </w:pPr>
    </w:p>
    <w:p w:rsidR="005853BE" w:rsidRPr="00FD66FA" w:rsidRDefault="006D6C36" w:rsidP="005853BE">
      <w:pPr>
        <w:pStyle w:val="NewPara"/>
        <w:jc w:val="both"/>
        <w:rPr>
          <w:lang w:val="ru-RU"/>
        </w:rPr>
      </w:pPr>
      <w:r>
        <w:rPr>
          <w:lang w:val="ru-RU"/>
        </w:rPr>
        <w:t>Ограниченность</w:t>
      </w:r>
      <w:r w:rsidRPr="00412266">
        <w:rPr>
          <w:lang w:val="ru-RU"/>
        </w:rPr>
        <w:t xml:space="preserve"> </w:t>
      </w:r>
      <w:r w:rsidRPr="000B22FA">
        <w:rPr>
          <w:lang w:val="ru-RU"/>
        </w:rPr>
        <w:t>ресурсов, в числе прочих ограничений</w:t>
      </w:r>
      <w:r w:rsidR="005853BE" w:rsidRPr="000B22FA">
        <w:rPr>
          <w:lang w:val="ru-RU"/>
        </w:rPr>
        <w:t xml:space="preserve">, </w:t>
      </w:r>
      <w:r w:rsidR="00412266" w:rsidRPr="000B22FA">
        <w:rPr>
          <w:lang w:val="ru-RU"/>
        </w:rPr>
        <w:t xml:space="preserve">привела к смене парадигмы </w:t>
      </w:r>
      <w:proofErr w:type="spellStart"/>
      <w:r w:rsidR="00412266" w:rsidRPr="000B22FA">
        <w:rPr>
          <w:lang w:val="ru-RU"/>
        </w:rPr>
        <w:t>аквакультуры</w:t>
      </w:r>
      <w:proofErr w:type="spellEnd"/>
      <w:r w:rsidR="005853BE" w:rsidRPr="000B22FA">
        <w:rPr>
          <w:lang w:val="ru-RU"/>
        </w:rPr>
        <w:t xml:space="preserve"> </w:t>
      </w:r>
      <w:r w:rsidR="00412266" w:rsidRPr="000B22FA">
        <w:rPr>
          <w:lang w:val="ru-RU"/>
        </w:rPr>
        <w:t>с</w:t>
      </w:r>
      <w:r w:rsidR="00E9531F" w:rsidRPr="000B22FA">
        <w:rPr>
          <w:lang w:val="ru-RU"/>
        </w:rPr>
        <w:t xml:space="preserve"> </w:t>
      </w:r>
      <w:r w:rsidR="00EB2303">
        <w:rPr>
          <w:lang w:val="ru-RU"/>
        </w:rPr>
        <w:t>"</w:t>
      </w:r>
      <w:r w:rsidR="00E9531F" w:rsidRPr="000B22FA">
        <w:rPr>
          <w:lang w:val="ru-RU"/>
        </w:rPr>
        <w:t>производить больше</w:t>
      </w:r>
      <w:r w:rsidR="00EB2303">
        <w:rPr>
          <w:lang w:val="ru-RU"/>
        </w:rPr>
        <w:t>"</w:t>
      </w:r>
      <w:r w:rsidR="00EB2303" w:rsidRPr="000B22FA">
        <w:rPr>
          <w:lang w:val="ru-RU"/>
        </w:rPr>
        <w:t xml:space="preserve"> </w:t>
      </w:r>
      <w:proofErr w:type="gramStart"/>
      <w:r w:rsidR="00E9531F" w:rsidRPr="000B22FA">
        <w:rPr>
          <w:lang w:val="ru-RU"/>
        </w:rPr>
        <w:t>к</w:t>
      </w:r>
      <w:proofErr w:type="gramEnd"/>
      <w:r w:rsidR="00E9531F" w:rsidRPr="000B22FA">
        <w:rPr>
          <w:lang w:val="ru-RU"/>
        </w:rPr>
        <w:t xml:space="preserve"> </w:t>
      </w:r>
      <w:r w:rsidR="00EB2303">
        <w:rPr>
          <w:lang w:val="ru-RU"/>
        </w:rPr>
        <w:t>"</w:t>
      </w:r>
      <w:r w:rsidR="00E9531F" w:rsidRPr="000B22FA">
        <w:rPr>
          <w:lang w:val="ru-RU"/>
        </w:rPr>
        <w:t xml:space="preserve">производить больше </w:t>
      </w:r>
      <w:r w:rsidR="000B22FA" w:rsidRPr="000B22FA">
        <w:rPr>
          <w:lang w:val="ru-RU"/>
        </w:rPr>
        <w:t>при меньшем количестве ресурсов</w:t>
      </w:r>
      <w:r w:rsidR="00EB2303">
        <w:rPr>
          <w:lang w:val="ru-RU"/>
        </w:rPr>
        <w:t>"</w:t>
      </w:r>
      <w:r w:rsidR="00EB2303" w:rsidRPr="000B22FA">
        <w:rPr>
          <w:lang w:val="ru-RU"/>
        </w:rPr>
        <w:t xml:space="preserve">. </w:t>
      </w:r>
      <w:r w:rsidRPr="000B22FA">
        <w:rPr>
          <w:lang w:val="ru-RU"/>
        </w:rPr>
        <w:t xml:space="preserve">Такой переход отражает множество проблем, которые </w:t>
      </w:r>
      <w:r w:rsidR="000B22FA">
        <w:rPr>
          <w:lang w:val="ru-RU"/>
        </w:rPr>
        <w:t>препятствуют устойчивой продуктивности и</w:t>
      </w:r>
      <w:r w:rsidR="005853BE" w:rsidRPr="006D6C36">
        <w:rPr>
          <w:lang w:val="ru-RU"/>
        </w:rPr>
        <w:t xml:space="preserve"> </w:t>
      </w:r>
      <w:r>
        <w:rPr>
          <w:lang w:val="ru-RU"/>
        </w:rPr>
        <w:t>вытекаю</w:t>
      </w:r>
      <w:r w:rsidR="000B22FA">
        <w:rPr>
          <w:lang w:val="ru-RU"/>
        </w:rPr>
        <w:t>т</w:t>
      </w:r>
      <w:r w:rsidRPr="006D6C36">
        <w:rPr>
          <w:lang w:val="ru-RU"/>
        </w:rPr>
        <w:t xml:space="preserve"> </w:t>
      </w:r>
      <w:r>
        <w:rPr>
          <w:lang w:val="ru-RU"/>
        </w:rPr>
        <w:t>из</w:t>
      </w:r>
      <w:r w:rsidRPr="006D6C36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6D6C36">
        <w:rPr>
          <w:lang w:val="ru-RU"/>
        </w:rPr>
        <w:t xml:space="preserve"> </w:t>
      </w:r>
      <w:r>
        <w:rPr>
          <w:lang w:val="ru-RU"/>
        </w:rPr>
        <w:t>в</w:t>
      </w:r>
      <w:r w:rsidRPr="006D6C36">
        <w:rPr>
          <w:lang w:val="ru-RU"/>
        </w:rPr>
        <w:t xml:space="preserve"> </w:t>
      </w:r>
      <w:r>
        <w:rPr>
          <w:lang w:val="ru-RU"/>
        </w:rPr>
        <w:t>большем</w:t>
      </w:r>
      <w:r w:rsidRPr="006D6C36">
        <w:rPr>
          <w:lang w:val="ru-RU"/>
        </w:rPr>
        <w:t xml:space="preserve"> </w:t>
      </w:r>
      <w:r>
        <w:rPr>
          <w:lang w:val="ru-RU"/>
        </w:rPr>
        <w:t>количестве</w:t>
      </w:r>
      <w:r w:rsidRPr="006D6C36">
        <w:rPr>
          <w:lang w:val="ru-RU"/>
        </w:rPr>
        <w:t xml:space="preserve"> </w:t>
      </w:r>
      <w:r>
        <w:rPr>
          <w:lang w:val="ru-RU"/>
        </w:rPr>
        <w:t>водных</w:t>
      </w:r>
      <w:r w:rsidRPr="006D6C36">
        <w:rPr>
          <w:lang w:val="ru-RU"/>
        </w:rPr>
        <w:t xml:space="preserve"> </w:t>
      </w:r>
      <w:r>
        <w:rPr>
          <w:lang w:val="ru-RU"/>
        </w:rPr>
        <w:t>видов</w:t>
      </w:r>
      <w:r w:rsidRPr="006D6C36">
        <w:rPr>
          <w:lang w:val="ru-RU"/>
        </w:rPr>
        <w:t xml:space="preserve">, </w:t>
      </w:r>
      <w:r>
        <w:rPr>
          <w:lang w:val="ru-RU"/>
        </w:rPr>
        <w:t>разнообразия</w:t>
      </w:r>
      <w:r w:rsidRPr="006D6C36">
        <w:rPr>
          <w:lang w:val="ru-RU"/>
        </w:rPr>
        <w:t xml:space="preserve"> </w:t>
      </w:r>
      <w:r>
        <w:rPr>
          <w:lang w:val="ru-RU"/>
        </w:rPr>
        <w:t>систем</w:t>
      </w:r>
      <w:r w:rsidRPr="006D6C36">
        <w:rPr>
          <w:lang w:val="ru-RU"/>
        </w:rPr>
        <w:t xml:space="preserve"> </w:t>
      </w:r>
      <w:r>
        <w:rPr>
          <w:lang w:val="ru-RU"/>
        </w:rPr>
        <w:t>и</w:t>
      </w:r>
      <w:r w:rsidRPr="006D6C36">
        <w:rPr>
          <w:lang w:val="ru-RU"/>
        </w:rPr>
        <w:t xml:space="preserve"> </w:t>
      </w:r>
      <w:r>
        <w:rPr>
          <w:lang w:val="ru-RU"/>
        </w:rPr>
        <w:t>культивационных</w:t>
      </w:r>
      <w:r w:rsidRPr="006D6C36">
        <w:rPr>
          <w:lang w:val="ru-RU"/>
        </w:rPr>
        <w:t xml:space="preserve"> </w:t>
      </w:r>
      <w:r>
        <w:rPr>
          <w:lang w:val="ru-RU"/>
        </w:rPr>
        <w:t>сред</w:t>
      </w:r>
      <w:r w:rsidRPr="006D6C36">
        <w:rPr>
          <w:lang w:val="ru-RU"/>
        </w:rPr>
        <w:t xml:space="preserve">, </w:t>
      </w:r>
      <w:r>
        <w:rPr>
          <w:lang w:val="ru-RU"/>
        </w:rPr>
        <w:t>роста</w:t>
      </w:r>
      <w:r w:rsidRPr="006D6C36">
        <w:rPr>
          <w:lang w:val="ru-RU"/>
        </w:rPr>
        <w:t xml:space="preserve"> </w:t>
      </w:r>
      <w:r>
        <w:rPr>
          <w:lang w:val="ru-RU"/>
        </w:rPr>
        <w:t>заболеваемости</w:t>
      </w:r>
      <w:r w:rsidRPr="006D6C36">
        <w:rPr>
          <w:lang w:val="ru-RU"/>
        </w:rPr>
        <w:t xml:space="preserve">, </w:t>
      </w:r>
      <w:r>
        <w:rPr>
          <w:lang w:val="ru-RU"/>
        </w:rPr>
        <w:t>ощущаемой</w:t>
      </w:r>
      <w:r w:rsidRPr="006D6C36">
        <w:rPr>
          <w:lang w:val="ru-RU"/>
        </w:rPr>
        <w:t xml:space="preserve"> </w:t>
      </w:r>
      <w:r>
        <w:rPr>
          <w:lang w:val="ru-RU"/>
        </w:rPr>
        <w:t>угрозы</w:t>
      </w:r>
      <w:r w:rsidRPr="006D6C36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D6C36">
        <w:rPr>
          <w:lang w:val="ru-RU"/>
        </w:rPr>
        <w:t xml:space="preserve"> </w:t>
      </w:r>
      <w:r>
        <w:rPr>
          <w:lang w:val="ru-RU"/>
        </w:rPr>
        <w:t>климата</w:t>
      </w:r>
      <w:r w:rsidR="00FD66FA">
        <w:rPr>
          <w:lang w:val="ru-RU"/>
        </w:rPr>
        <w:t>,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растущей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конкуренции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за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ресурсы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между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различными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заинтересованными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сторонами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и</w:t>
      </w:r>
      <w:r w:rsidR="00942B17" w:rsidRPr="006D6C36">
        <w:rPr>
          <w:lang w:val="ru-RU"/>
        </w:rPr>
        <w:t xml:space="preserve"> </w:t>
      </w:r>
      <w:r w:rsidR="00E46F5E">
        <w:rPr>
          <w:lang w:val="ru-RU"/>
        </w:rPr>
        <w:t>конфликтов</w:t>
      </w:r>
      <w:r w:rsidR="00942B17" w:rsidRPr="006D6C36">
        <w:rPr>
          <w:lang w:val="ru-RU"/>
        </w:rPr>
        <w:t xml:space="preserve">, </w:t>
      </w:r>
      <w:r w:rsidR="00942B17">
        <w:rPr>
          <w:lang w:val="ru-RU"/>
        </w:rPr>
        <w:t>которые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такая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конкуренция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может</w:t>
      </w:r>
      <w:r w:rsidR="00942B17" w:rsidRPr="006D6C36">
        <w:rPr>
          <w:lang w:val="ru-RU"/>
        </w:rPr>
        <w:t xml:space="preserve"> </w:t>
      </w:r>
      <w:r w:rsidR="00942B17">
        <w:rPr>
          <w:lang w:val="ru-RU"/>
        </w:rPr>
        <w:t>поро</w:t>
      </w:r>
      <w:r w:rsidR="000B22FA">
        <w:rPr>
          <w:lang w:val="ru-RU"/>
        </w:rPr>
        <w:t>ждать</w:t>
      </w:r>
      <w:r w:rsidR="005853BE" w:rsidRPr="006D6C36">
        <w:rPr>
          <w:lang w:val="ru-RU"/>
        </w:rPr>
        <w:t xml:space="preserve">. </w:t>
      </w:r>
      <w:r w:rsidR="00FD66FA">
        <w:rPr>
          <w:lang w:val="ru-RU"/>
        </w:rPr>
        <w:t>Эти</w:t>
      </w:r>
      <w:r w:rsidR="00FD66FA" w:rsidRPr="00FD66FA">
        <w:rPr>
          <w:lang w:val="ru-RU"/>
        </w:rPr>
        <w:t xml:space="preserve"> </w:t>
      </w:r>
      <w:r w:rsidR="000B22FA">
        <w:rPr>
          <w:lang w:val="ru-RU"/>
        </w:rPr>
        <w:t>проблемы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не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разрешатся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сами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собой</w:t>
      </w:r>
      <w:r w:rsidR="00FD66FA" w:rsidRPr="00FD66FA">
        <w:rPr>
          <w:lang w:val="ru-RU"/>
        </w:rPr>
        <w:t xml:space="preserve">, </w:t>
      </w:r>
      <w:r w:rsidR="00FD66FA">
        <w:rPr>
          <w:lang w:val="ru-RU"/>
        </w:rPr>
        <w:t>а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новые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проблемы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будут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их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усугублять</w:t>
      </w:r>
      <w:r w:rsidR="005853BE" w:rsidRPr="00FD66FA">
        <w:rPr>
          <w:lang w:val="ru-RU"/>
        </w:rPr>
        <w:t xml:space="preserve">. </w:t>
      </w:r>
    </w:p>
    <w:p w:rsidR="005853BE" w:rsidRPr="00FD66FA" w:rsidRDefault="005853BE" w:rsidP="005853BE">
      <w:pPr>
        <w:rPr>
          <w:lang w:val="ru-RU"/>
        </w:rPr>
      </w:pPr>
    </w:p>
    <w:p w:rsidR="005853BE" w:rsidRPr="00A27A42" w:rsidRDefault="00942B17" w:rsidP="00967D4F">
      <w:pPr>
        <w:pStyle w:val="NewPara"/>
        <w:jc w:val="both"/>
        <w:rPr>
          <w:lang w:val="ru-RU"/>
        </w:rPr>
      </w:pPr>
      <w:r>
        <w:rPr>
          <w:lang w:val="ru-RU"/>
        </w:rPr>
        <w:t>История</w:t>
      </w:r>
      <w:r w:rsidRPr="00A27A42">
        <w:rPr>
          <w:lang w:val="ru-RU"/>
        </w:rPr>
        <w:t xml:space="preserve"> </w:t>
      </w:r>
      <w:r>
        <w:rPr>
          <w:lang w:val="ru-RU"/>
        </w:rPr>
        <w:t>сельского</w:t>
      </w:r>
      <w:r w:rsidRPr="00A27A42">
        <w:rPr>
          <w:lang w:val="ru-RU"/>
        </w:rPr>
        <w:t xml:space="preserve"> </w:t>
      </w:r>
      <w:r>
        <w:rPr>
          <w:lang w:val="ru-RU"/>
        </w:rPr>
        <w:t>хозяйства</w:t>
      </w:r>
      <w:r w:rsidRPr="00A27A42">
        <w:rPr>
          <w:lang w:val="ru-RU"/>
        </w:rPr>
        <w:t xml:space="preserve">, </w:t>
      </w:r>
      <w:r>
        <w:rPr>
          <w:lang w:val="ru-RU"/>
        </w:rPr>
        <w:t>в</w:t>
      </w:r>
      <w:r w:rsidRPr="00A27A42">
        <w:rPr>
          <w:lang w:val="ru-RU"/>
        </w:rPr>
        <w:t xml:space="preserve"> </w:t>
      </w:r>
      <w:r>
        <w:rPr>
          <w:lang w:val="ru-RU"/>
        </w:rPr>
        <w:t>особенности</w:t>
      </w:r>
      <w:r w:rsidRPr="00A27A42">
        <w:rPr>
          <w:lang w:val="ru-RU"/>
        </w:rPr>
        <w:t xml:space="preserve"> </w:t>
      </w:r>
      <w:r w:rsidR="00EB2303">
        <w:rPr>
          <w:lang w:val="ru-RU"/>
        </w:rPr>
        <w:t>"</w:t>
      </w:r>
      <w:r>
        <w:rPr>
          <w:lang w:val="ru-RU"/>
        </w:rPr>
        <w:t>зеленая</w:t>
      </w:r>
      <w:r w:rsidRPr="00A27A42">
        <w:rPr>
          <w:lang w:val="ru-RU"/>
        </w:rPr>
        <w:t xml:space="preserve"> </w:t>
      </w:r>
      <w:r>
        <w:rPr>
          <w:lang w:val="ru-RU"/>
        </w:rPr>
        <w:t>революция</w:t>
      </w:r>
      <w:r w:rsidR="00EB2303">
        <w:rPr>
          <w:lang w:val="ru-RU"/>
        </w:rPr>
        <w:t>"</w:t>
      </w:r>
      <w:r w:rsidR="00EB2303" w:rsidRPr="00A27A42">
        <w:rPr>
          <w:lang w:val="ru-RU"/>
        </w:rPr>
        <w:t xml:space="preserve">, </w:t>
      </w:r>
      <w:r>
        <w:rPr>
          <w:lang w:val="ru-RU"/>
        </w:rPr>
        <w:t>показала</w:t>
      </w:r>
      <w:r w:rsidRPr="00A27A42">
        <w:rPr>
          <w:lang w:val="ru-RU"/>
        </w:rPr>
        <w:t xml:space="preserve">, </w:t>
      </w:r>
      <w:r>
        <w:rPr>
          <w:lang w:val="ru-RU"/>
        </w:rPr>
        <w:t>что</w:t>
      </w:r>
      <w:r w:rsidRPr="00A27A42">
        <w:rPr>
          <w:lang w:val="ru-RU"/>
        </w:rPr>
        <w:t xml:space="preserve"> </w:t>
      </w:r>
      <w:r w:rsidR="00A27A42">
        <w:rPr>
          <w:lang w:val="ru-RU"/>
        </w:rPr>
        <w:t>целенаправленные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инвестиции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науку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технологию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развитие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людских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ресурсов</w:t>
      </w:r>
      <w:r w:rsidR="00A27A42" w:rsidRPr="00A27A42">
        <w:rPr>
          <w:lang w:val="ru-RU"/>
        </w:rPr>
        <w:t xml:space="preserve"> (</w:t>
      </w:r>
      <w:r w:rsidR="00A27A42">
        <w:rPr>
          <w:lang w:val="ru-RU"/>
        </w:rPr>
        <w:t>на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всех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уровнях</w:t>
      </w:r>
      <w:r w:rsidR="00A27A42" w:rsidRPr="00A27A42">
        <w:rPr>
          <w:lang w:val="ru-RU"/>
        </w:rPr>
        <w:t xml:space="preserve">, </w:t>
      </w:r>
      <w:r w:rsidR="00A27A42">
        <w:rPr>
          <w:lang w:val="ru-RU"/>
        </w:rPr>
        <w:t>от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ученых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до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фермеров</w:t>
      </w:r>
      <w:r w:rsidR="00A27A42" w:rsidRPr="00A27A42">
        <w:rPr>
          <w:lang w:val="ru-RU"/>
        </w:rPr>
        <w:t>)</w:t>
      </w:r>
      <w:r w:rsidR="005853BE" w:rsidRPr="00A27A42">
        <w:rPr>
          <w:lang w:val="ru-RU"/>
        </w:rPr>
        <w:t xml:space="preserve"> </w:t>
      </w:r>
      <w:r w:rsidR="00A27A42">
        <w:rPr>
          <w:lang w:val="ru-RU"/>
        </w:rPr>
        <w:t>могут позволить наращивать продуктивность темпами, опережающими рост населения</w:t>
      </w:r>
      <w:r w:rsidR="005853BE" w:rsidRPr="00A27A42">
        <w:rPr>
          <w:lang w:val="ru-RU"/>
        </w:rPr>
        <w:t xml:space="preserve">. </w:t>
      </w:r>
      <w:r w:rsidR="00A27A42">
        <w:rPr>
          <w:lang w:val="ru-RU"/>
        </w:rPr>
        <w:t>Весьма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высокой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была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отдача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от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инвестиций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исследования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области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злаковых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сельскохозяйственных культур</w:t>
      </w:r>
      <w:r w:rsidR="005853BE" w:rsidRPr="00A27A42">
        <w:rPr>
          <w:lang w:val="ru-RU"/>
        </w:rPr>
        <w:t xml:space="preserve">.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аквакультуре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хорошим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примером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служит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высокая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экономическая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отдача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от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инвестиций</w:t>
      </w:r>
      <w:r w:rsidR="00A27A42" w:rsidRPr="00A27A42">
        <w:rPr>
          <w:lang w:val="ru-RU"/>
        </w:rPr>
        <w:t xml:space="preserve"> </w:t>
      </w:r>
      <w:r w:rsidR="005853BE" w:rsidRPr="00A27A42">
        <w:rPr>
          <w:lang w:val="ru-RU"/>
        </w:rPr>
        <w:t>(70</w:t>
      </w:r>
      <w:r w:rsidR="000B22FA">
        <w:rPr>
          <w:lang w:val="ru-RU"/>
        </w:rPr>
        <w:t>%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период</w:t>
      </w:r>
      <w:r w:rsidR="00A27A42" w:rsidRPr="00A27A42">
        <w:rPr>
          <w:lang w:val="ru-RU"/>
        </w:rPr>
        <w:t xml:space="preserve"> </w:t>
      </w:r>
      <w:r w:rsidR="005853BE" w:rsidRPr="00A27A42">
        <w:rPr>
          <w:lang w:val="ru-RU"/>
        </w:rPr>
        <w:t>1988</w:t>
      </w:r>
      <w:r w:rsidR="00967D4F" w:rsidRPr="00FE314E">
        <w:rPr>
          <w:lang w:val="ru-RU"/>
        </w:rPr>
        <w:t>-</w:t>
      </w:r>
      <w:r w:rsidR="005853BE" w:rsidRPr="00A27A42">
        <w:rPr>
          <w:lang w:val="ru-RU"/>
        </w:rPr>
        <w:t>2010</w:t>
      </w:r>
      <w:r w:rsidR="00EB2303">
        <w:rPr>
          <w:lang w:val="ru-RU"/>
        </w:rPr>
        <w:t> </w:t>
      </w:r>
      <w:r w:rsidR="00A27A42">
        <w:rPr>
          <w:lang w:val="ru-RU"/>
        </w:rPr>
        <w:t>годов с</w:t>
      </w:r>
      <w:r w:rsidR="005853BE" w:rsidRPr="00A27A42">
        <w:rPr>
          <w:lang w:val="ru-RU"/>
        </w:rPr>
        <w:t xml:space="preserve"> </w:t>
      </w:r>
      <w:r w:rsidR="00A27A42">
        <w:rPr>
          <w:lang w:val="ru-RU"/>
        </w:rPr>
        <w:t xml:space="preserve">расчетной чистой приведенной стоимостью в </w:t>
      </w:r>
      <w:r w:rsidR="005853BE" w:rsidRPr="00A27A42">
        <w:rPr>
          <w:lang w:val="ru-RU"/>
        </w:rPr>
        <w:t>368</w:t>
      </w:r>
      <w:r w:rsidR="00EB2303">
        <w:rPr>
          <w:lang w:val="ru-RU"/>
        </w:rPr>
        <w:t> </w:t>
      </w:r>
      <w:proofErr w:type="gramStart"/>
      <w:r w:rsidR="00A27A42">
        <w:rPr>
          <w:lang w:val="ru-RU"/>
        </w:rPr>
        <w:t>млн</w:t>
      </w:r>
      <w:proofErr w:type="gramEnd"/>
      <w:r w:rsidR="00EB2303">
        <w:rPr>
          <w:lang w:val="ru-RU"/>
        </w:rPr>
        <w:t> </w:t>
      </w:r>
      <w:r w:rsidR="00A27A42">
        <w:rPr>
          <w:lang w:val="ru-RU"/>
        </w:rPr>
        <w:t>долл.</w:t>
      </w:r>
      <w:r w:rsidR="00EB2303">
        <w:rPr>
          <w:lang w:val="ru-RU"/>
        </w:rPr>
        <w:t xml:space="preserve"> </w:t>
      </w:r>
      <w:r w:rsidR="00A27A42">
        <w:rPr>
          <w:lang w:val="ru-RU"/>
        </w:rPr>
        <w:t>США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5853BE" w:rsidRPr="00A27A42">
        <w:rPr>
          <w:lang w:val="ru-RU"/>
        </w:rPr>
        <w:t xml:space="preserve"> </w:t>
      </w:r>
      <w:r w:rsidR="00A27A42">
        <w:rPr>
          <w:lang w:val="ru-RU"/>
        </w:rPr>
        <w:t>постоянных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ценах</w:t>
      </w:r>
      <w:r w:rsidR="00A27A42" w:rsidRPr="00A27A42">
        <w:rPr>
          <w:lang w:val="ru-RU"/>
        </w:rPr>
        <w:t xml:space="preserve"> </w:t>
      </w:r>
      <w:r w:rsidR="00EB2303" w:rsidRPr="00A27A42">
        <w:rPr>
          <w:lang w:val="ru-RU"/>
        </w:rPr>
        <w:t>20</w:t>
      </w:r>
      <w:r w:rsidR="00EB2303">
        <w:rPr>
          <w:lang w:val="ru-RU"/>
        </w:rPr>
        <w:t>0</w:t>
      </w:r>
      <w:r w:rsidR="00EB2303" w:rsidRPr="00A27A42">
        <w:rPr>
          <w:lang w:val="ru-RU"/>
        </w:rPr>
        <w:t>1</w:t>
      </w:r>
      <w:r w:rsidR="00EB2303">
        <w:rPr>
          <w:lang w:val="ru-RU"/>
        </w:rPr>
        <w:t> </w:t>
      </w:r>
      <w:r w:rsidR="00A27A42">
        <w:rPr>
          <w:lang w:val="ru-RU"/>
        </w:rPr>
        <w:t>года</w:t>
      </w:r>
      <w:r w:rsidR="005853BE" w:rsidRPr="00A27A42">
        <w:rPr>
          <w:lang w:val="ru-RU"/>
        </w:rPr>
        <w:t>)</w:t>
      </w:r>
      <w:r w:rsidR="005853BE" w:rsidRPr="00130119">
        <w:rPr>
          <w:vertAlign w:val="superscript"/>
        </w:rPr>
        <w:footnoteReference w:id="7"/>
      </w:r>
      <w:r w:rsidR="005853BE" w:rsidRPr="00A27A42">
        <w:rPr>
          <w:lang w:val="ru-RU"/>
        </w:rPr>
        <w:t xml:space="preserve"> </w:t>
      </w:r>
      <w:r w:rsidR="00A27A42">
        <w:rPr>
          <w:lang w:val="ru-RU"/>
        </w:rPr>
        <w:t>в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выведение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>и</w:t>
      </w:r>
      <w:r w:rsidR="00A27A42" w:rsidRPr="00A27A42">
        <w:rPr>
          <w:lang w:val="ru-RU"/>
        </w:rPr>
        <w:t xml:space="preserve"> </w:t>
      </w:r>
      <w:r w:rsidR="00A27A42">
        <w:rPr>
          <w:lang w:val="ru-RU"/>
        </w:rPr>
        <w:t xml:space="preserve">распространение </w:t>
      </w:r>
      <w:r w:rsidR="00F57784">
        <w:rPr>
          <w:lang w:val="ru-RU"/>
        </w:rPr>
        <w:t>тил</w:t>
      </w:r>
      <w:r w:rsidR="00412266">
        <w:rPr>
          <w:lang w:val="ru-RU"/>
        </w:rPr>
        <w:t>а</w:t>
      </w:r>
      <w:r w:rsidR="00F57784">
        <w:rPr>
          <w:lang w:val="ru-RU"/>
        </w:rPr>
        <w:t xml:space="preserve">пии </w:t>
      </w:r>
      <w:r w:rsidR="00F57784">
        <w:rPr>
          <w:lang w:val="en-US"/>
        </w:rPr>
        <w:t>GIFT</w:t>
      </w:r>
      <w:r w:rsidR="005853BE" w:rsidRPr="00C1714B">
        <w:rPr>
          <w:vertAlign w:val="superscript"/>
        </w:rPr>
        <w:footnoteReference w:id="8"/>
      </w:r>
      <w:r w:rsidR="005853BE" w:rsidRPr="00A27A42">
        <w:rPr>
          <w:lang w:val="ru-RU"/>
        </w:rPr>
        <w:t xml:space="preserve">. </w:t>
      </w:r>
    </w:p>
    <w:p w:rsidR="005853BE" w:rsidRPr="00A27A42" w:rsidRDefault="005853BE" w:rsidP="005853BE">
      <w:pPr>
        <w:jc w:val="both"/>
        <w:rPr>
          <w:lang w:val="ru-RU"/>
        </w:rPr>
      </w:pPr>
    </w:p>
    <w:p w:rsidR="005853BE" w:rsidRPr="00F57784" w:rsidRDefault="00F57784" w:rsidP="003779A2">
      <w:pPr>
        <w:pStyle w:val="NewPara"/>
        <w:jc w:val="both"/>
        <w:rPr>
          <w:lang w:val="ru-RU"/>
        </w:rPr>
      </w:pPr>
      <w:r>
        <w:rPr>
          <w:lang w:val="ru-RU"/>
        </w:rPr>
        <w:t>Вкратце</w:t>
      </w:r>
      <w:r w:rsidRPr="00F57784">
        <w:rPr>
          <w:lang w:val="ru-RU"/>
        </w:rPr>
        <w:t xml:space="preserve">, </w:t>
      </w:r>
      <w:r>
        <w:rPr>
          <w:lang w:val="ru-RU"/>
        </w:rPr>
        <w:t>инвестиции</w:t>
      </w:r>
      <w:r w:rsidRPr="00F57784">
        <w:rPr>
          <w:lang w:val="ru-RU"/>
        </w:rPr>
        <w:t xml:space="preserve"> </w:t>
      </w:r>
      <w:r>
        <w:rPr>
          <w:lang w:val="ru-RU"/>
        </w:rPr>
        <w:t>в</w:t>
      </w:r>
      <w:r w:rsidRPr="00F57784">
        <w:rPr>
          <w:lang w:val="ru-RU"/>
        </w:rPr>
        <w:t xml:space="preserve"> </w:t>
      </w:r>
      <w:r>
        <w:rPr>
          <w:lang w:val="ru-RU"/>
        </w:rPr>
        <w:t>исследовательскую</w:t>
      </w:r>
      <w:r w:rsidRPr="00F57784">
        <w:rPr>
          <w:lang w:val="ru-RU"/>
        </w:rPr>
        <w:t xml:space="preserve"> </w:t>
      </w:r>
      <w:r>
        <w:rPr>
          <w:lang w:val="ru-RU"/>
        </w:rPr>
        <w:t>и</w:t>
      </w:r>
      <w:r w:rsidRPr="00F57784">
        <w:rPr>
          <w:lang w:val="ru-RU"/>
        </w:rPr>
        <w:t xml:space="preserve"> </w:t>
      </w:r>
      <w:r>
        <w:rPr>
          <w:lang w:val="ru-RU"/>
        </w:rPr>
        <w:t>образовательную</w:t>
      </w:r>
      <w:r w:rsidRPr="00F57784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F57784">
        <w:rPr>
          <w:lang w:val="ru-RU"/>
        </w:rPr>
        <w:t xml:space="preserve"> </w:t>
      </w:r>
      <w:r>
        <w:rPr>
          <w:lang w:val="ru-RU"/>
        </w:rPr>
        <w:t>были</w:t>
      </w:r>
      <w:r w:rsidRPr="00F57784">
        <w:rPr>
          <w:lang w:val="ru-RU"/>
        </w:rPr>
        <w:t xml:space="preserve"> </w:t>
      </w:r>
      <w:r>
        <w:rPr>
          <w:lang w:val="ru-RU"/>
        </w:rPr>
        <w:t>выгодны</w:t>
      </w:r>
      <w:r w:rsidRPr="00F57784">
        <w:rPr>
          <w:lang w:val="ru-RU"/>
        </w:rPr>
        <w:t xml:space="preserve"> </w:t>
      </w:r>
      <w:r>
        <w:rPr>
          <w:lang w:val="ru-RU"/>
        </w:rPr>
        <w:t>в</w:t>
      </w:r>
      <w:r w:rsidRPr="00F57784">
        <w:rPr>
          <w:lang w:val="ru-RU"/>
        </w:rPr>
        <w:t xml:space="preserve"> </w:t>
      </w:r>
      <w:r>
        <w:rPr>
          <w:lang w:val="ru-RU"/>
        </w:rPr>
        <w:t>экономическом</w:t>
      </w:r>
      <w:r w:rsidRPr="00F57784">
        <w:rPr>
          <w:lang w:val="ru-RU"/>
        </w:rPr>
        <w:t xml:space="preserve"> </w:t>
      </w:r>
      <w:r>
        <w:rPr>
          <w:lang w:val="ru-RU"/>
        </w:rPr>
        <w:t>и</w:t>
      </w:r>
      <w:r w:rsidRPr="00F57784">
        <w:rPr>
          <w:lang w:val="ru-RU"/>
        </w:rPr>
        <w:t xml:space="preserve"> </w:t>
      </w:r>
      <w:r>
        <w:rPr>
          <w:lang w:val="ru-RU"/>
        </w:rPr>
        <w:t>социальном</w:t>
      </w:r>
      <w:r w:rsidRPr="00F57784">
        <w:rPr>
          <w:lang w:val="ru-RU"/>
        </w:rPr>
        <w:t xml:space="preserve"> </w:t>
      </w:r>
      <w:r>
        <w:rPr>
          <w:lang w:val="ru-RU"/>
        </w:rPr>
        <w:t>плане, эффективно разрешая хронические проблемы, облегчая решение новых проблем и служа катализатором для инноваций</w:t>
      </w:r>
      <w:r w:rsidR="005853BE" w:rsidRPr="00F57784">
        <w:rPr>
          <w:lang w:val="ru-RU"/>
        </w:rPr>
        <w:t xml:space="preserve">. </w:t>
      </w:r>
    </w:p>
    <w:p w:rsidR="005853BE" w:rsidRPr="00F57784" w:rsidRDefault="005853BE" w:rsidP="005853BE">
      <w:pPr>
        <w:rPr>
          <w:lang w:val="ru-RU"/>
        </w:rPr>
      </w:pPr>
    </w:p>
    <w:p w:rsidR="005853BE" w:rsidRPr="00732F66" w:rsidRDefault="00F57784" w:rsidP="005853BE">
      <w:pPr>
        <w:pStyle w:val="NewPara"/>
        <w:jc w:val="both"/>
        <w:rPr>
          <w:lang w:val="ru-RU"/>
        </w:rPr>
      </w:pPr>
      <w:r>
        <w:rPr>
          <w:lang w:val="ru-RU"/>
        </w:rPr>
        <w:t>Производить</w:t>
      </w:r>
      <w:r w:rsidRPr="00F57784">
        <w:rPr>
          <w:lang w:val="ru-RU"/>
        </w:rPr>
        <w:t xml:space="preserve"> </w:t>
      </w:r>
      <w:r>
        <w:rPr>
          <w:lang w:val="ru-RU"/>
        </w:rPr>
        <w:t>больше</w:t>
      </w:r>
      <w:r w:rsidRPr="00F57784">
        <w:rPr>
          <w:lang w:val="ru-RU"/>
        </w:rPr>
        <w:t xml:space="preserve"> – </w:t>
      </w:r>
      <w:r w:rsidR="000475CD">
        <w:rPr>
          <w:lang w:val="ru-RU"/>
        </w:rPr>
        <w:t>"</w:t>
      </w:r>
      <w:r>
        <w:rPr>
          <w:lang w:val="ru-RU"/>
        </w:rPr>
        <w:t>Использовать</w:t>
      </w:r>
      <w:r w:rsidRPr="00F57784">
        <w:rPr>
          <w:lang w:val="ru-RU"/>
        </w:rPr>
        <w:t xml:space="preserve">, </w:t>
      </w:r>
      <w:r>
        <w:rPr>
          <w:lang w:val="ru-RU"/>
        </w:rPr>
        <w:t>совершенствовать</w:t>
      </w:r>
      <w:r w:rsidRPr="00F57784">
        <w:rPr>
          <w:lang w:val="ru-RU"/>
        </w:rPr>
        <w:t xml:space="preserve"> </w:t>
      </w:r>
      <w:r>
        <w:rPr>
          <w:lang w:val="ru-RU"/>
        </w:rPr>
        <w:t>и</w:t>
      </w:r>
      <w:r w:rsidRPr="00F57784">
        <w:rPr>
          <w:lang w:val="ru-RU"/>
        </w:rPr>
        <w:t xml:space="preserve"> </w:t>
      </w:r>
      <w:r>
        <w:rPr>
          <w:lang w:val="ru-RU"/>
        </w:rPr>
        <w:t>совместно</w:t>
      </w:r>
      <w:r w:rsidRPr="00F57784">
        <w:rPr>
          <w:lang w:val="ru-RU"/>
        </w:rPr>
        <w:t xml:space="preserve"> </w:t>
      </w:r>
      <w:r>
        <w:rPr>
          <w:lang w:val="ru-RU"/>
        </w:rPr>
        <w:t>применять</w:t>
      </w:r>
      <w:r w:rsidRPr="00F57784">
        <w:rPr>
          <w:lang w:val="ru-RU"/>
        </w:rPr>
        <w:t xml:space="preserve"> </w:t>
      </w:r>
      <w:r>
        <w:rPr>
          <w:lang w:val="ru-RU"/>
        </w:rPr>
        <w:t xml:space="preserve">существующие технологии, чтобы поднять аквакультуру на один уровень с </w:t>
      </w:r>
      <w:r w:rsidR="00FE314E" w:rsidRPr="00FE314E">
        <w:rPr>
          <w:lang w:val="ru-RU"/>
        </w:rPr>
        <w:br/>
      </w:r>
      <w:r>
        <w:rPr>
          <w:lang w:val="ru-RU"/>
        </w:rPr>
        <w:t>животноводством</w:t>
      </w:r>
      <w:r w:rsidR="000475CD">
        <w:rPr>
          <w:lang w:val="ru-RU"/>
        </w:rPr>
        <w:t xml:space="preserve">"  </w:t>
      </w:r>
      <w:r>
        <w:rPr>
          <w:lang w:val="ru-RU"/>
        </w:rPr>
        <w:t>– такова суть научной стратегии,</w:t>
      </w:r>
      <w:r w:rsidR="005853BE" w:rsidRPr="00F57784">
        <w:rPr>
          <w:lang w:val="ru-RU"/>
        </w:rPr>
        <w:t xml:space="preserve"> </w:t>
      </w:r>
      <w:r>
        <w:rPr>
          <w:lang w:val="ru-RU"/>
        </w:rPr>
        <w:t xml:space="preserve">предложенной в 1976 году Киотской конференцией по аквакультуре, </w:t>
      </w:r>
      <w:r w:rsidR="00713D04">
        <w:rPr>
          <w:lang w:val="ru-RU"/>
        </w:rPr>
        <w:t>организованной</w:t>
      </w:r>
      <w:r w:rsidR="00713D04" w:rsidRPr="00F57784">
        <w:rPr>
          <w:lang w:val="ru-RU"/>
        </w:rPr>
        <w:t xml:space="preserve"> </w:t>
      </w:r>
      <w:r w:rsidR="00713D04">
        <w:rPr>
          <w:lang w:val="ru-RU"/>
        </w:rPr>
        <w:t>ПРООН</w:t>
      </w:r>
      <w:r w:rsidR="005853BE" w:rsidRPr="00130119">
        <w:rPr>
          <w:vertAlign w:val="superscript"/>
        </w:rPr>
        <w:footnoteReference w:id="9"/>
      </w:r>
      <w:r w:rsidR="005853BE" w:rsidRPr="00F57784">
        <w:rPr>
          <w:lang w:val="ru-RU"/>
        </w:rPr>
        <w:t xml:space="preserve"> </w:t>
      </w:r>
      <w:r w:rsidR="00713D04">
        <w:rPr>
          <w:lang w:val="ru-RU"/>
        </w:rPr>
        <w:t>и</w:t>
      </w:r>
      <w:r w:rsidR="005853BE" w:rsidRPr="00F57784">
        <w:rPr>
          <w:lang w:val="ru-RU"/>
        </w:rPr>
        <w:t xml:space="preserve"> </w:t>
      </w:r>
      <w:r w:rsidR="00713D04">
        <w:rPr>
          <w:lang w:val="ru-RU"/>
        </w:rPr>
        <w:t>ФАО</w:t>
      </w:r>
      <w:r w:rsidR="005853BE" w:rsidRPr="00F57784">
        <w:rPr>
          <w:lang w:val="ru-RU"/>
        </w:rPr>
        <w:t xml:space="preserve">. </w:t>
      </w:r>
      <w:proofErr w:type="gramStart"/>
      <w:r>
        <w:rPr>
          <w:lang w:val="ru-RU"/>
        </w:rPr>
        <w:t>Данная</w:t>
      </w:r>
      <w:r w:rsidRPr="00732F66">
        <w:rPr>
          <w:lang w:val="ru-RU"/>
        </w:rPr>
        <w:t xml:space="preserve"> </w:t>
      </w:r>
      <w:r>
        <w:rPr>
          <w:lang w:val="ru-RU"/>
        </w:rPr>
        <w:t>стратегия</w:t>
      </w:r>
      <w:r w:rsidRPr="00732F66">
        <w:rPr>
          <w:lang w:val="ru-RU"/>
        </w:rPr>
        <w:t xml:space="preserve"> </w:t>
      </w:r>
      <w:r>
        <w:rPr>
          <w:lang w:val="ru-RU"/>
        </w:rPr>
        <w:t>включает</w:t>
      </w:r>
      <w:r w:rsidRPr="00732F66">
        <w:rPr>
          <w:lang w:val="ru-RU"/>
        </w:rPr>
        <w:t xml:space="preserve"> </w:t>
      </w:r>
      <w:r>
        <w:rPr>
          <w:lang w:val="ru-RU"/>
        </w:rPr>
        <w:t>четыре</w:t>
      </w:r>
      <w:r w:rsidRPr="00732F66">
        <w:rPr>
          <w:lang w:val="ru-RU"/>
        </w:rPr>
        <w:t xml:space="preserve"> </w:t>
      </w:r>
      <w:r>
        <w:rPr>
          <w:lang w:val="ru-RU"/>
        </w:rPr>
        <w:t>фундаментальных</w:t>
      </w:r>
      <w:r w:rsidRPr="00732F66">
        <w:rPr>
          <w:lang w:val="ru-RU"/>
        </w:rPr>
        <w:t xml:space="preserve"> </w:t>
      </w:r>
      <w:r>
        <w:rPr>
          <w:lang w:val="ru-RU"/>
        </w:rPr>
        <w:t>направления</w:t>
      </w:r>
      <w:r w:rsidR="005853BE" w:rsidRPr="00732F66">
        <w:rPr>
          <w:lang w:val="ru-RU"/>
        </w:rPr>
        <w:t xml:space="preserve">: </w:t>
      </w:r>
      <w:proofErr w:type="spellStart"/>
      <w:r w:rsidR="005853BE" w:rsidRPr="00A722CB">
        <w:t>i</w:t>
      </w:r>
      <w:proofErr w:type="spellEnd"/>
      <w:r w:rsidR="005853BE" w:rsidRPr="00732F66">
        <w:rPr>
          <w:lang w:val="ru-RU"/>
        </w:rPr>
        <w:t>)</w:t>
      </w:r>
      <w:r w:rsidR="000475CD">
        <w:rPr>
          <w:lang w:val="ru-RU"/>
        </w:rPr>
        <w:t> </w:t>
      </w:r>
      <w:r>
        <w:rPr>
          <w:lang w:val="ru-RU"/>
        </w:rPr>
        <w:t>повышение</w:t>
      </w:r>
      <w:r w:rsidRPr="00732F66">
        <w:rPr>
          <w:lang w:val="ru-RU"/>
        </w:rPr>
        <w:t xml:space="preserve"> </w:t>
      </w:r>
      <w:r>
        <w:rPr>
          <w:lang w:val="ru-RU"/>
        </w:rPr>
        <w:t>производительности</w:t>
      </w:r>
      <w:r w:rsidRPr="00732F66">
        <w:rPr>
          <w:lang w:val="ru-RU"/>
        </w:rPr>
        <w:t xml:space="preserve"> </w:t>
      </w:r>
      <w:proofErr w:type="spellStart"/>
      <w:r>
        <w:rPr>
          <w:lang w:val="ru-RU"/>
        </w:rPr>
        <w:t>аквакультуры</w:t>
      </w:r>
      <w:proofErr w:type="spellEnd"/>
      <w:r w:rsidRPr="00732F66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732F66">
        <w:rPr>
          <w:lang w:val="ru-RU"/>
        </w:rPr>
        <w:t xml:space="preserve"> </w:t>
      </w:r>
      <w:r>
        <w:rPr>
          <w:lang w:val="ru-RU"/>
        </w:rPr>
        <w:t>передачи</w:t>
      </w:r>
      <w:r w:rsidRPr="00732F66">
        <w:rPr>
          <w:lang w:val="ru-RU"/>
        </w:rPr>
        <w:t xml:space="preserve"> </w:t>
      </w:r>
      <w:r w:rsidR="00732F66">
        <w:rPr>
          <w:lang w:val="ru-RU"/>
        </w:rPr>
        <w:t>проверенных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технологий</w:t>
      </w:r>
      <w:r w:rsidR="005853BE" w:rsidRPr="00732F66">
        <w:rPr>
          <w:lang w:val="ru-RU"/>
        </w:rPr>
        <w:t xml:space="preserve">; </w:t>
      </w:r>
      <w:r w:rsidR="005853BE" w:rsidRPr="00A722CB">
        <w:t>ii</w:t>
      </w:r>
      <w:r w:rsidR="005853BE" w:rsidRPr="00732F66">
        <w:rPr>
          <w:lang w:val="ru-RU"/>
        </w:rPr>
        <w:t>)</w:t>
      </w:r>
      <w:r w:rsidR="000475CD">
        <w:rPr>
          <w:lang w:val="ru-RU"/>
        </w:rPr>
        <w:t> </w:t>
      </w:r>
      <w:r w:rsidR="00732F66">
        <w:rPr>
          <w:lang w:val="ru-RU"/>
        </w:rPr>
        <w:t>проведение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актуальных</w:t>
      </w:r>
      <w:r w:rsidR="00BF32C1">
        <w:rPr>
          <w:lang w:val="ru-RU"/>
        </w:rPr>
        <w:t>,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адаптированных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к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конкретным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условиям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исследований</w:t>
      </w:r>
      <w:r w:rsidR="00732F66" w:rsidRPr="00732F66">
        <w:rPr>
          <w:lang w:val="ru-RU"/>
        </w:rPr>
        <w:t xml:space="preserve">, </w:t>
      </w:r>
      <w:r w:rsidR="00732F66">
        <w:rPr>
          <w:lang w:val="ru-RU"/>
        </w:rPr>
        <w:t>содействующих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росту</w:t>
      </w:r>
      <w:r w:rsidR="00732F66" w:rsidRPr="00732F66">
        <w:rPr>
          <w:lang w:val="ru-RU"/>
        </w:rPr>
        <w:t xml:space="preserve"> </w:t>
      </w:r>
      <w:r w:rsidR="00732F66">
        <w:rPr>
          <w:lang w:val="ru-RU"/>
        </w:rPr>
        <w:t>производительности</w:t>
      </w:r>
      <w:r w:rsidR="005853BE" w:rsidRPr="00732F66">
        <w:rPr>
          <w:lang w:val="ru-RU"/>
        </w:rPr>
        <w:t xml:space="preserve">, </w:t>
      </w:r>
      <w:r w:rsidR="00732F66">
        <w:rPr>
          <w:lang w:val="ru-RU"/>
        </w:rPr>
        <w:t>с использованием фундаментальных и прикладных исследований во взаимодополняющем сотрудничестве с академическими институтами</w:t>
      </w:r>
      <w:r w:rsidR="005853BE" w:rsidRPr="00732F66">
        <w:rPr>
          <w:lang w:val="ru-RU"/>
        </w:rPr>
        <w:t xml:space="preserve">; </w:t>
      </w:r>
      <w:r w:rsidR="005853BE" w:rsidRPr="00A722CB">
        <w:t>iii</w:t>
      </w:r>
      <w:r w:rsidR="005853BE" w:rsidRPr="00732F66">
        <w:rPr>
          <w:lang w:val="ru-RU"/>
        </w:rPr>
        <w:t>)</w:t>
      </w:r>
      <w:r w:rsidR="000475CD">
        <w:rPr>
          <w:lang w:val="ru-RU"/>
        </w:rPr>
        <w:t> </w:t>
      </w:r>
      <w:r w:rsidR="00732F66">
        <w:rPr>
          <w:lang w:val="ru-RU"/>
        </w:rPr>
        <w:t xml:space="preserve">профессиональная подготовка </w:t>
      </w:r>
      <w:r w:rsidR="000B22FA">
        <w:rPr>
          <w:lang w:val="ru-RU"/>
        </w:rPr>
        <w:t>руководящих кадров</w:t>
      </w:r>
      <w:r w:rsidR="00FD66FA">
        <w:rPr>
          <w:lang w:val="ru-RU"/>
        </w:rPr>
        <w:t>, занимающ</w:t>
      </w:r>
      <w:r w:rsidR="000B22FA">
        <w:rPr>
          <w:lang w:val="ru-RU"/>
        </w:rPr>
        <w:t>ихся</w:t>
      </w:r>
      <w:r w:rsidR="00FD66FA">
        <w:rPr>
          <w:lang w:val="ru-RU"/>
        </w:rPr>
        <w:t xml:space="preserve"> планированием и управлением развития </w:t>
      </w:r>
      <w:proofErr w:type="spellStart"/>
      <w:r w:rsidR="00FD66FA">
        <w:rPr>
          <w:lang w:val="ru-RU"/>
        </w:rPr>
        <w:t>аквакультуры</w:t>
      </w:r>
      <w:proofErr w:type="spellEnd"/>
      <w:r w:rsidR="00FD66FA">
        <w:rPr>
          <w:lang w:val="ru-RU"/>
        </w:rPr>
        <w:t xml:space="preserve"> и производством</w:t>
      </w:r>
      <w:r w:rsidR="005853BE" w:rsidRPr="00732F66">
        <w:rPr>
          <w:lang w:val="ru-RU"/>
        </w:rPr>
        <w:t>;</w:t>
      </w:r>
      <w:proofErr w:type="gramEnd"/>
      <w:r w:rsidR="005853BE" w:rsidRPr="00732F66">
        <w:rPr>
          <w:lang w:val="ru-RU"/>
        </w:rPr>
        <w:t xml:space="preserve"> </w:t>
      </w:r>
      <w:r w:rsidR="005853BE" w:rsidRPr="00A722CB">
        <w:t>iv</w:t>
      </w:r>
      <w:r w:rsidR="005853BE" w:rsidRPr="00732F66">
        <w:rPr>
          <w:lang w:val="ru-RU"/>
        </w:rPr>
        <w:t>)</w:t>
      </w:r>
      <w:r w:rsidR="000475CD">
        <w:rPr>
          <w:lang w:val="ru-RU"/>
        </w:rPr>
        <w:t> </w:t>
      </w:r>
      <w:proofErr w:type="gramStart"/>
      <w:r w:rsidR="00FD66FA">
        <w:rPr>
          <w:lang w:val="ru-RU"/>
        </w:rPr>
        <w:t>обоснование</w:t>
      </w:r>
      <w:proofErr w:type="gramEnd"/>
      <w:r w:rsidR="00FD66FA">
        <w:rPr>
          <w:lang w:val="ru-RU"/>
        </w:rPr>
        <w:t xml:space="preserve"> государственных расходов на национальные проекты развития аквакульутры</w:t>
      </w:r>
      <w:r w:rsidR="005853BE" w:rsidRPr="00732F66">
        <w:rPr>
          <w:lang w:val="ru-RU"/>
        </w:rPr>
        <w:t>.</w:t>
      </w:r>
    </w:p>
    <w:p w:rsidR="005853BE" w:rsidRPr="00732F66" w:rsidRDefault="005853BE" w:rsidP="005853BE">
      <w:pPr>
        <w:rPr>
          <w:lang w:val="ru-RU"/>
        </w:rPr>
      </w:pPr>
    </w:p>
    <w:p w:rsidR="005853BE" w:rsidRPr="00FF64FD" w:rsidRDefault="00FF64FD" w:rsidP="005853BE">
      <w:pPr>
        <w:pStyle w:val="NewPara"/>
        <w:jc w:val="both"/>
        <w:rPr>
          <w:lang w:val="ru-RU"/>
        </w:rPr>
      </w:pPr>
      <w:r>
        <w:rPr>
          <w:lang w:val="ru-RU"/>
        </w:rPr>
        <w:t>Научные</w:t>
      </w:r>
      <w:r w:rsidRPr="00FF64FD">
        <w:rPr>
          <w:lang w:val="ru-RU"/>
        </w:rPr>
        <w:t xml:space="preserve"> </w:t>
      </w:r>
      <w:r>
        <w:rPr>
          <w:lang w:val="ru-RU"/>
        </w:rPr>
        <w:t>данные</w:t>
      </w:r>
      <w:r w:rsidRPr="00FF64FD">
        <w:rPr>
          <w:lang w:val="ru-RU"/>
        </w:rPr>
        <w:t xml:space="preserve"> </w:t>
      </w:r>
      <w:r>
        <w:rPr>
          <w:lang w:val="ru-RU"/>
        </w:rPr>
        <w:t>были</w:t>
      </w:r>
      <w:r w:rsidRPr="00FF64FD">
        <w:rPr>
          <w:lang w:val="ru-RU"/>
        </w:rPr>
        <w:t xml:space="preserve"> </w:t>
      </w:r>
      <w:r>
        <w:rPr>
          <w:lang w:val="ru-RU"/>
        </w:rPr>
        <w:t>заимствованы</w:t>
      </w:r>
      <w:r w:rsidRPr="00FF64FD">
        <w:rPr>
          <w:lang w:val="ru-RU"/>
        </w:rPr>
        <w:t xml:space="preserve"> </w:t>
      </w:r>
      <w:r>
        <w:rPr>
          <w:lang w:val="ru-RU"/>
        </w:rPr>
        <w:t>у</w:t>
      </w:r>
      <w:r w:rsidRPr="00FF64FD">
        <w:rPr>
          <w:lang w:val="ru-RU"/>
        </w:rPr>
        <w:t xml:space="preserve"> </w:t>
      </w:r>
      <w:r>
        <w:rPr>
          <w:lang w:val="ru-RU"/>
        </w:rPr>
        <w:t>смежных</w:t>
      </w:r>
      <w:r w:rsidRPr="00FF64FD">
        <w:rPr>
          <w:lang w:val="ru-RU"/>
        </w:rPr>
        <w:t xml:space="preserve"> </w:t>
      </w:r>
      <w:r>
        <w:rPr>
          <w:lang w:val="ru-RU"/>
        </w:rPr>
        <w:t>дисциплин</w:t>
      </w:r>
      <w:r w:rsidRPr="00FF64FD">
        <w:rPr>
          <w:lang w:val="ru-RU"/>
        </w:rPr>
        <w:t xml:space="preserve">, </w:t>
      </w:r>
      <w:r>
        <w:rPr>
          <w:lang w:val="ru-RU"/>
        </w:rPr>
        <w:t>технология</w:t>
      </w:r>
      <w:r w:rsidRPr="00FF64FD">
        <w:rPr>
          <w:lang w:val="ru-RU"/>
        </w:rPr>
        <w:t xml:space="preserve"> – </w:t>
      </w:r>
      <w:r>
        <w:rPr>
          <w:lang w:val="ru-RU"/>
        </w:rPr>
        <w:t>у</w:t>
      </w:r>
      <w:r w:rsidRPr="00FF64FD">
        <w:rPr>
          <w:lang w:val="ru-RU"/>
        </w:rPr>
        <w:t xml:space="preserve"> </w:t>
      </w:r>
      <w:r>
        <w:rPr>
          <w:lang w:val="ru-RU"/>
        </w:rPr>
        <w:t>растениеводства</w:t>
      </w:r>
      <w:r w:rsidRPr="00FF64FD">
        <w:rPr>
          <w:lang w:val="ru-RU"/>
        </w:rPr>
        <w:t xml:space="preserve">, </w:t>
      </w:r>
      <w:r>
        <w:rPr>
          <w:lang w:val="ru-RU"/>
        </w:rPr>
        <w:t>животноводства</w:t>
      </w:r>
      <w:r w:rsidRPr="00FF64FD">
        <w:rPr>
          <w:lang w:val="ru-RU"/>
        </w:rPr>
        <w:t xml:space="preserve"> </w:t>
      </w:r>
      <w:r>
        <w:rPr>
          <w:lang w:val="ru-RU"/>
        </w:rPr>
        <w:t>и</w:t>
      </w:r>
      <w:r w:rsidRPr="00FF64FD">
        <w:rPr>
          <w:lang w:val="ru-RU"/>
        </w:rPr>
        <w:t xml:space="preserve"> </w:t>
      </w:r>
      <w:r>
        <w:rPr>
          <w:lang w:val="ru-RU"/>
        </w:rPr>
        <w:t>рыбного</w:t>
      </w:r>
      <w:r w:rsidRPr="00FF64FD">
        <w:rPr>
          <w:lang w:val="ru-RU"/>
        </w:rPr>
        <w:t xml:space="preserve"> </w:t>
      </w:r>
      <w:r>
        <w:rPr>
          <w:lang w:val="ru-RU"/>
        </w:rPr>
        <w:t>хозяйства</w:t>
      </w:r>
      <w:r w:rsidRPr="00FF64FD">
        <w:rPr>
          <w:lang w:val="ru-RU"/>
        </w:rPr>
        <w:t xml:space="preserve">, </w:t>
      </w:r>
      <w:r>
        <w:rPr>
          <w:lang w:val="ru-RU"/>
        </w:rPr>
        <w:t>а</w:t>
      </w:r>
      <w:r w:rsidRPr="00FF64FD">
        <w:rPr>
          <w:lang w:val="ru-RU"/>
        </w:rPr>
        <w:t xml:space="preserve"> </w:t>
      </w:r>
      <w:r>
        <w:rPr>
          <w:lang w:val="ru-RU"/>
        </w:rPr>
        <w:t>элементарные</w:t>
      </w:r>
      <w:r w:rsidRPr="00FF64FD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FF64FD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FF64FD">
        <w:rPr>
          <w:lang w:val="ru-RU"/>
        </w:rPr>
        <w:t xml:space="preserve"> </w:t>
      </w:r>
      <w:r>
        <w:rPr>
          <w:lang w:val="ru-RU"/>
        </w:rPr>
        <w:t>и</w:t>
      </w:r>
      <w:r w:rsidRPr="00FF64FD">
        <w:rPr>
          <w:lang w:val="ru-RU"/>
        </w:rPr>
        <w:t xml:space="preserve"> </w:t>
      </w:r>
      <w:r>
        <w:rPr>
          <w:lang w:val="ru-RU"/>
        </w:rPr>
        <w:t xml:space="preserve">традиционная практика (например, китайская интегрированная аквакультура, индийская поликультура и норвежское </w:t>
      </w:r>
      <w:r w:rsidR="000B22FA">
        <w:rPr>
          <w:lang w:val="ru-RU"/>
        </w:rPr>
        <w:t xml:space="preserve">прудовое </w:t>
      </w:r>
      <w:r>
        <w:rPr>
          <w:lang w:val="ru-RU"/>
        </w:rPr>
        <w:t xml:space="preserve">разведение лосося) были усовершенствованы и обогащены на основе научных данных и распространены путем обучения на практике и </w:t>
      </w:r>
      <w:r w:rsidR="005853BE" w:rsidRPr="00FF64FD">
        <w:rPr>
          <w:lang w:val="ru-RU"/>
        </w:rPr>
        <w:t xml:space="preserve"> </w:t>
      </w:r>
      <w:r>
        <w:rPr>
          <w:lang w:val="ru-RU"/>
        </w:rPr>
        <w:t>обмена между странами</w:t>
      </w:r>
      <w:r w:rsidR="005853BE" w:rsidRPr="00FF64FD">
        <w:rPr>
          <w:lang w:val="ru-RU"/>
        </w:rPr>
        <w:t xml:space="preserve">.  </w:t>
      </w:r>
    </w:p>
    <w:p w:rsidR="005853BE" w:rsidRPr="00FF64FD" w:rsidRDefault="005853BE" w:rsidP="005853BE">
      <w:pPr>
        <w:rPr>
          <w:lang w:val="ru-RU"/>
        </w:rPr>
      </w:pPr>
    </w:p>
    <w:p w:rsidR="005853BE" w:rsidRPr="00FF64FD" w:rsidRDefault="00FF64FD" w:rsidP="005853BE">
      <w:pPr>
        <w:pStyle w:val="NewPara"/>
        <w:jc w:val="both"/>
        <w:rPr>
          <w:lang w:val="ru-RU"/>
        </w:rPr>
      </w:pPr>
      <w:r>
        <w:rPr>
          <w:lang w:val="ru-RU"/>
        </w:rPr>
        <w:t>В целях решения конкретных проблем, связанных с системами ведения фермерского хозяйства, научные исследования</w:t>
      </w:r>
      <w:r w:rsidRPr="00FF64FD">
        <w:rPr>
          <w:lang w:val="ru-RU"/>
        </w:rPr>
        <w:t xml:space="preserve"> </w:t>
      </w:r>
      <w:r>
        <w:rPr>
          <w:lang w:val="ru-RU"/>
        </w:rPr>
        <w:t>были</w:t>
      </w:r>
      <w:r w:rsidRPr="00FF64FD">
        <w:rPr>
          <w:lang w:val="ru-RU"/>
        </w:rPr>
        <w:t xml:space="preserve"> </w:t>
      </w:r>
      <w:r>
        <w:rPr>
          <w:lang w:val="ru-RU"/>
        </w:rPr>
        <w:t>переориентированы</w:t>
      </w:r>
      <w:r w:rsidRPr="00FF64FD">
        <w:rPr>
          <w:lang w:val="ru-RU"/>
        </w:rPr>
        <w:t xml:space="preserve"> </w:t>
      </w:r>
      <w:r>
        <w:rPr>
          <w:lang w:val="ru-RU"/>
        </w:rPr>
        <w:t>с</w:t>
      </w:r>
      <w:r w:rsidRPr="00FF64FD">
        <w:rPr>
          <w:lang w:val="ru-RU"/>
        </w:rPr>
        <w:t xml:space="preserve"> </w:t>
      </w:r>
      <w:r>
        <w:rPr>
          <w:lang w:val="ru-RU"/>
        </w:rPr>
        <w:t>ведомственных на</w:t>
      </w:r>
      <w:r w:rsidRPr="00FF64FD">
        <w:rPr>
          <w:lang w:val="ru-RU"/>
        </w:rPr>
        <w:t xml:space="preserve"> </w:t>
      </w:r>
      <w:r>
        <w:rPr>
          <w:lang w:val="ru-RU"/>
        </w:rPr>
        <w:t>многодисциплинарные</w:t>
      </w:r>
      <w:r w:rsidR="005853BE" w:rsidRPr="00FF64FD">
        <w:rPr>
          <w:lang w:val="ru-RU"/>
        </w:rPr>
        <w:t xml:space="preserve">. </w:t>
      </w:r>
      <w:r>
        <w:rPr>
          <w:lang w:val="ru-RU"/>
        </w:rPr>
        <w:t>Цели</w:t>
      </w:r>
      <w:r w:rsidRPr="00FF64FD">
        <w:rPr>
          <w:lang w:val="ru-RU"/>
        </w:rPr>
        <w:t xml:space="preserve"> </w:t>
      </w:r>
      <w:r>
        <w:rPr>
          <w:lang w:val="ru-RU"/>
        </w:rPr>
        <w:t>в</w:t>
      </w:r>
      <w:r w:rsidRPr="00FF64FD">
        <w:rPr>
          <w:lang w:val="ru-RU"/>
        </w:rPr>
        <w:t xml:space="preserve"> </w:t>
      </w:r>
      <w:r>
        <w:rPr>
          <w:lang w:val="ru-RU"/>
        </w:rPr>
        <w:t>области</w:t>
      </w:r>
      <w:r w:rsidRPr="00FF64FD">
        <w:rPr>
          <w:lang w:val="ru-RU"/>
        </w:rPr>
        <w:t xml:space="preserve"> </w:t>
      </w:r>
      <w:r>
        <w:rPr>
          <w:lang w:val="ru-RU"/>
        </w:rPr>
        <w:t>развития</w:t>
      </w:r>
      <w:r w:rsidRPr="00FF64FD">
        <w:rPr>
          <w:lang w:val="ru-RU"/>
        </w:rPr>
        <w:t xml:space="preserve"> </w:t>
      </w:r>
      <w:r>
        <w:rPr>
          <w:lang w:val="ru-RU"/>
        </w:rPr>
        <w:t>людских</w:t>
      </w:r>
      <w:r w:rsidRPr="00FF64FD">
        <w:rPr>
          <w:lang w:val="ru-RU"/>
        </w:rPr>
        <w:t xml:space="preserve"> </w:t>
      </w:r>
      <w:r>
        <w:rPr>
          <w:lang w:val="ru-RU"/>
        </w:rPr>
        <w:t>ресурсов</w:t>
      </w:r>
      <w:r w:rsidRPr="00FF64FD">
        <w:rPr>
          <w:lang w:val="ru-RU"/>
        </w:rPr>
        <w:t xml:space="preserve"> </w:t>
      </w:r>
      <w:r>
        <w:rPr>
          <w:lang w:val="ru-RU"/>
        </w:rPr>
        <w:t>были</w:t>
      </w:r>
      <w:r w:rsidRPr="00FF64FD">
        <w:rPr>
          <w:lang w:val="ru-RU"/>
        </w:rPr>
        <w:t xml:space="preserve"> </w:t>
      </w:r>
      <w:r>
        <w:rPr>
          <w:lang w:val="ru-RU"/>
        </w:rPr>
        <w:t>установлены</w:t>
      </w:r>
      <w:r w:rsidRPr="00FF64FD">
        <w:rPr>
          <w:lang w:val="ru-RU"/>
        </w:rPr>
        <w:t xml:space="preserve"> </w:t>
      </w:r>
      <w:r>
        <w:rPr>
          <w:lang w:val="ru-RU"/>
        </w:rPr>
        <w:t>на</w:t>
      </w:r>
      <w:r w:rsidRPr="00FF64FD">
        <w:rPr>
          <w:lang w:val="ru-RU"/>
        </w:rPr>
        <w:t xml:space="preserve"> </w:t>
      </w:r>
      <w:r>
        <w:rPr>
          <w:lang w:val="ru-RU"/>
        </w:rPr>
        <w:t>основании</w:t>
      </w:r>
      <w:r w:rsidRPr="00FF64FD">
        <w:rPr>
          <w:lang w:val="ru-RU"/>
        </w:rPr>
        <w:t xml:space="preserve"> </w:t>
      </w:r>
      <w:r>
        <w:rPr>
          <w:lang w:val="ru-RU"/>
        </w:rPr>
        <w:t>оценки</w:t>
      </w:r>
      <w:r w:rsidRPr="00FF64FD">
        <w:rPr>
          <w:lang w:val="ru-RU"/>
        </w:rPr>
        <w:t xml:space="preserve"> </w:t>
      </w:r>
      <w:r>
        <w:rPr>
          <w:lang w:val="ru-RU"/>
        </w:rPr>
        <w:t>научных</w:t>
      </w:r>
      <w:r w:rsidRPr="00FF64FD">
        <w:rPr>
          <w:lang w:val="ru-RU"/>
        </w:rPr>
        <w:t xml:space="preserve">, </w:t>
      </w:r>
      <w:r>
        <w:rPr>
          <w:lang w:val="ru-RU"/>
        </w:rPr>
        <w:t>технических</w:t>
      </w:r>
      <w:r w:rsidRPr="00FF64FD">
        <w:rPr>
          <w:lang w:val="ru-RU"/>
        </w:rPr>
        <w:t xml:space="preserve">, </w:t>
      </w:r>
      <w:r>
        <w:rPr>
          <w:lang w:val="ru-RU"/>
        </w:rPr>
        <w:t>управленческих</w:t>
      </w:r>
      <w:r w:rsidRPr="00FF64FD">
        <w:rPr>
          <w:lang w:val="ru-RU"/>
        </w:rPr>
        <w:t xml:space="preserve"> </w:t>
      </w:r>
      <w:r>
        <w:rPr>
          <w:lang w:val="ru-RU"/>
        </w:rPr>
        <w:t>и</w:t>
      </w:r>
      <w:r w:rsidRPr="00FF64FD">
        <w:rPr>
          <w:lang w:val="ru-RU"/>
        </w:rPr>
        <w:t xml:space="preserve"> </w:t>
      </w:r>
      <w:r>
        <w:rPr>
          <w:lang w:val="ru-RU"/>
        </w:rPr>
        <w:t>производственных</w:t>
      </w:r>
      <w:r w:rsidRPr="00FF64FD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FF64FD">
        <w:rPr>
          <w:lang w:val="ru-RU"/>
        </w:rPr>
        <w:t xml:space="preserve"> </w:t>
      </w:r>
      <w:r>
        <w:rPr>
          <w:lang w:val="ru-RU"/>
        </w:rPr>
        <w:t>отрасли</w:t>
      </w:r>
      <w:r w:rsidRPr="00FF64FD">
        <w:rPr>
          <w:lang w:val="ru-RU"/>
        </w:rPr>
        <w:t xml:space="preserve"> </w:t>
      </w:r>
      <w:r>
        <w:rPr>
          <w:lang w:val="ru-RU"/>
        </w:rPr>
        <w:t>и</w:t>
      </w:r>
      <w:r w:rsidRPr="00FF64FD">
        <w:rPr>
          <w:lang w:val="ru-RU"/>
        </w:rPr>
        <w:t xml:space="preserve"> </w:t>
      </w:r>
      <w:r>
        <w:rPr>
          <w:lang w:val="ru-RU"/>
        </w:rPr>
        <w:t>увязки</w:t>
      </w:r>
      <w:r w:rsidRPr="00FF64FD">
        <w:rPr>
          <w:lang w:val="ru-RU"/>
        </w:rPr>
        <w:t xml:space="preserve"> </w:t>
      </w:r>
      <w:r>
        <w:rPr>
          <w:lang w:val="ru-RU"/>
        </w:rPr>
        <w:t>программ обучения с этими потребностями и приоритетами</w:t>
      </w:r>
      <w:r w:rsidR="005853BE" w:rsidRPr="00FF64FD">
        <w:rPr>
          <w:lang w:val="ru-RU"/>
        </w:rPr>
        <w:t xml:space="preserve">. </w:t>
      </w:r>
    </w:p>
    <w:p w:rsidR="005853BE" w:rsidRPr="00FF64FD" w:rsidRDefault="005853BE" w:rsidP="005853BE">
      <w:pPr>
        <w:rPr>
          <w:lang w:val="ru-RU"/>
        </w:rPr>
      </w:pPr>
    </w:p>
    <w:p w:rsidR="005853BE" w:rsidRPr="00835AC2" w:rsidRDefault="00FF64FD" w:rsidP="005853BE">
      <w:pPr>
        <w:pStyle w:val="NewPara"/>
        <w:jc w:val="both"/>
        <w:rPr>
          <w:lang w:val="ru-RU"/>
        </w:rPr>
      </w:pPr>
      <w:r>
        <w:rPr>
          <w:lang w:val="ru-RU"/>
        </w:rPr>
        <w:lastRenderedPageBreak/>
        <w:t>Вначале</w:t>
      </w:r>
      <w:r w:rsidRPr="00FF64FD">
        <w:rPr>
          <w:lang w:val="ru-RU"/>
        </w:rPr>
        <w:t xml:space="preserve"> </w:t>
      </w:r>
      <w:r>
        <w:rPr>
          <w:lang w:val="ru-RU"/>
        </w:rPr>
        <w:t>приоритеты</w:t>
      </w:r>
      <w:r w:rsidRPr="00FF64FD">
        <w:rPr>
          <w:lang w:val="ru-RU"/>
        </w:rPr>
        <w:t xml:space="preserve"> </w:t>
      </w:r>
      <w:r>
        <w:rPr>
          <w:lang w:val="ru-RU"/>
        </w:rPr>
        <w:t>были</w:t>
      </w:r>
      <w:r w:rsidRPr="00FF64FD">
        <w:rPr>
          <w:lang w:val="ru-RU"/>
        </w:rPr>
        <w:t xml:space="preserve"> </w:t>
      </w:r>
      <w:r>
        <w:rPr>
          <w:lang w:val="ru-RU"/>
        </w:rPr>
        <w:t>простыми</w:t>
      </w:r>
      <w:r w:rsidRPr="00FF64FD">
        <w:rPr>
          <w:lang w:val="ru-RU"/>
        </w:rPr>
        <w:t>:</w:t>
      </w:r>
      <w:r w:rsidR="005853BE" w:rsidRPr="00FF64FD">
        <w:rPr>
          <w:lang w:val="ru-RU"/>
        </w:rPr>
        <w:t xml:space="preserve"> </w:t>
      </w:r>
      <w:r>
        <w:rPr>
          <w:lang w:val="ru-RU"/>
        </w:rPr>
        <w:t>производить</w:t>
      </w:r>
      <w:r w:rsidRPr="00FF64FD">
        <w:rPr>
          <w:lang w:val="ru-RU"/>
        </w:rPr>
        <w:t xml:space="preserve"> </w:t>
      </w:r>
      <w:r>
        <w:rPr>
          <w:lang w:val="ru-RU"/>
        </w:rPr>
        <w:t>больше</w:t>
      </w:r>
      <w:r w:rsidRPr="00FF64FD">
        <w:rPr>
          <w:lang w:val="ru-RU"/>
        </w:rPr>
        <w:t xml:space="preserve"> </w:t>
      </w:r>
      <w:r>
        <w:rPr>
          <w:lang w:val="ru-RU"/>
        </w:rPr>
        <w:t>одомашненных</w:t>
      </w:r>
      <w:r w:rsidRPr="00FF64FD">
        <w:rPr>
          <w:lang w:val="ru-RU"/>
        </w:rPr>
        <w:t xml:space="preserve"> </w:t>
      </w:r>
      <w:r>
        <w:rPr>
          <w:lang w:val="ru-RU"/>
        </w:rPr>
        <w:t>видов и наращивать развитие аквакультуры</w:t>
      </w:r>
      <w:r w:rsidR="005853BE" w:rsidRPr="00FF64FD">
        <w:rPr>
          <w:lang w:val="ru-RU"/>
        </w:rPr>
        <w:t xml:space="preserve">. </w:t>
      </w:r>
      <w:r>
        <w:rPr>
          <w:lang w:val="ru-RU"/>
        </w:rPr>
        <w:t>Особое</w:t>
      </w:r>
      <w:r w:rsidRPr="00FF64FD">
        <w:rPr>
          <w:lang w:val="ru-RU"/>
        </w:rPr>
        <w:t xml:space="preserve"> </w:t>
      </w:r>
      <w:r>
        <w:rPr>
          <w:lang w:val="ru-RU"/>
        </w:rPr>
        <w:t>внимание</w:t>
      </w:r>
      <w:r w:rsidRPr="00FF64FD">
        <w:rPr>
          <w:lang w:val="ru-RU"/>
        </w:rPr>
        <w:t xml:space="preserve"> </w:t>
      </w:r>
      <w:r>
        <w:rPr>
          <w:lang w:val="ru-RU"/>
        </w:rPr>
        <w:t>уделялось</w:t>
      </w:r>
      <w:r w:rsidRPr="00FF64FD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FF64FD">
        <w:rPr>
          <w:lang w:val="ru-RU"/>
        </w:rPr>
        <w:t xml:space="preserve"> </w:t>
      </w:r>
      <w:r>
        <w:rPr>
          <w:lang w:val="ru-RU"/>
        </w:rPr>
        <w:t>видимых</w:t>
      </w:r>
      <w:r w:rsidRPr="00FF64FD">
        <w:rPr>
          <w:lang w:val="ru-RU"/>
        </w:rPr>
        <w:t xml:space="preserve"> </w:t>
      </w:r>
      <w:r>
        <w:rPr>
          <w:lang w:val="ru-RU"/>
        </w:rPr>
        <w:t>и</w:t>
      </w:r>
      <w:r w:rsidRPr="00FF64FD">
        <w:rPr>
          <w:lang w:val="ru-RU"/>
        </w:rPr>
        <w:t xml:space="preserve"> </w:t>
      </w:r>
      <w:r>
        <w:rPr>
          <w:lang w:val="ru-RU"/>
        </w:rPr>
        <w:t>измеряемых</w:t>
      </w:r>
      <w:r w:rsidRPr="00FF64FD">
        <w:rPr>
          <w:lang w:val="ru-RU"/>
        </w:rPr>
        <w:t xml:space="preserve"> </w:t>
      </w:r>
      <w:r>
        <w:rPr>
          <w:lang w:val="ru-RU"/>
        </w:rPr>
        <w:t>результатов. Например</w:t>
      </w:r>
      <w:r w:rsidRPr="00835AC2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835AC2">
        <w:rPr>
          <w:lang w:val="ru-RU"/>
        </w:rPr>
        <w:t xml:space="preserve"> </w:t>
      </w:r>
      <w:r>
        <w:rPr>
          <w:lang w:val="ru-RU"/>
        </w:rPr>
        <w:t>принятию</w:t>
      </w:r>
      <w:r w:rsidRPr="00835AC2">
        <w:rPr>
          <w:lang w:val="ru-RU"/>
        </w:rPr>
        <w:t xml:space="preserve"> </w:t>
      </w:r>
      <w:r>
        <w:rPr>
          <w:lang w:val="ru-RU"/>
        </w:rPr>
        <w:t>открытой</w:t>
      </w:r>
      <w:r w:rsidRPr="00835AC2">
        <w:rPr>
          <w:lang w:val="ru-RU"/>
        </w:rPr>
        <w:t xml:space="preserve"> </w:t>
      </w:r>
      <w:r>
        <w:rPr>
          <w:lang w:val="ru-RU"/>
        </w:rPr>
        <w:t>политики</w:t>
      </w:r>
      <w:r w:rsidRPr="00835AC2">
        <w:rPr>
          <w:lang w:val="ru-RU"/>
        </w:rPr>
        <w:t xml:space="preserve"> </w:t>
      </w:r>
      <w:r w:rsidR="00835AC2">
        <w:rPr>
          <w:lang w:val="ru-RU"/>
        </w:rPr>
        <w:t>научного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развития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производство</w:t>
      </w:r>
      <w:r w:rsidR="00835AC2" w:rsidRPr="00835AC2">
        <w:rPr>
          <w:lang w:val="ru-RU"/>
        </w:rPr>
        <w:t xml:space="preserve"> </w:t>
      </w:r>
      <w:proofErr w:type="spellStart"/>
      <w:r w:rsidR="00835AC2">
        <w:rPr>
          <w:lang w:val="ru-RU"/>
        </w:rPr>
        <w:t>аквакультуры</w:t>
      </w:r>
      <w:proofErr w:type="spellEnd"/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в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Китае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выросло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с</w:t>
      </w:r>
      <w:r w:rsidR="005853BE" w:rsidRPr="00835AC2">
        <w:rPr>
          <w:lang w:val="ru-RU"/>
        </w:rPr>
        <w:t xml:space="preserve"> 2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5</w:t>
      </w:r>
      <w:r w:rsidR="000475CD">
        <w:rPr>
          <w:lang w:val="ru-RU"/>
        </w:rPr>
        <w:t> </w:t>
      </w:r>
      <w:proofErr w:type="gramStart"/>
      <w:r w:rsidR="00835AC2">
        <w:rPr>
          <w:lang w:val="ru-RU"/>
        </w:rPr>
        <w:t>млн</w:t>
      </w:r>
      <w:proofErr w:type="gramEnd"/>
      <w:r w:rsidR="000475CD">
        <w:rPr>
          <w:lang w:val="ru-RU"/>
        </w:rPr>
        <w:t> </w:t>
      </w:r>
      <w:r w:rsidR="00835AC2">
        <w:rPr>
          <w:lang w:val="ru-RU"/>
        </w:rPr>
        <w:t>тонн в</w:t>
      </w:r>
      <w:r w:rsidR="005853BE" w:rsidRPr="00835AC2">
        <w:rPr>
          <w:lang w:val="ru-RU"/>
        </w:rPr>
        <w:t xml:space="preserve"> 1978</w:t>
      </w:r>
      <w:r w:rsidR="000475CD">
        <w:rPr>
          <w:lang w:val="ru-RU"/>
        </w:rPr>
        <w:t> </w:t>
      </w:r>
      <w:r w:rsidR="00835AC2">
        <w:rPr>
          <w:lang w:val="ru-RU"/>
        </w:rPr>
        <w:t xml:space="preserve">году до </w:t>
      </w:r>
      <w:r w:rsidR="005853BE" w:rsidRPr="00835AC2">
        <w:rPr>
          <w:lang w:val="ru-RU"/>
        </w:rPr>
        <w:t>22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2</w:t>
      </w:r>
      <w:r w:rsidR="000475CD">
        <w:rPr>
          <w:lang w:val="ru-RU"/>
        </w:rPr>
        <w:t> </w:t>
      </w:r>
      <w:r w:rsidR="00835AC2">
        <w:rPr>
          <w:lang w:val="ru-RU"/>
        </w:rPr>
        <w:t xml:space="preserve">млн тонн в </w:t>
      </w:r>
      <w:r w:rsidR="005853BE" w:rsidRPr="00835AC2">
        <w:rPr>
          <w:lang w:val="ru-RU"/>
        </w:rPr>
        <w:t>1996</w:t>
      </w:r>
      <w:r w:rsidR="001C5BD5">
        <w:rPr>
          <w:lang w:val="ru-RU"/>
        </w:rPr>
        <w:t> </w:t>
      </w:r>
      <w:r w:rsidR="00835AC2">
        <w:rPr>
          <w:lang w:val="ru-RU"/>
        </w:rPr>
        <w:t>году, а в 2013</w:t>
      </w:r>
      <w:r w:rsidR="001C5BD5">
        <w:rPr>
          <w:lang w:val="ru-RU"/>
        </w:rPr>
        <w:t> </w:t>
      </w:r>
      <w:r w:rsidR="00835AC2">
        <w:rPr>
          <w:lang w:val="ru-RU"/>
        </w:rPr>
        <w:t xml:space="preserve">году превысило </w:t>
      </w:r>
      <w:r w:rsidR="005853BE" w:rsidRPr="00835AC2">
        <w:rPr>
          <w:lang w:val="ru-RU"/>
        </w:rPr>
        <w:t>57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1</w:t>
      </w:r>
      <w:r w:rsidR="005853BE">
        <w:t> </w:t>
      </w:r>
      <w:r w:rsidR="00835AC2">
        <w:rPr>
          <w:lang w:val="ru-RU"/>
        </w:rPr>
        <w:t>млн</w:t>
      </w:r>
      <w:r w:rsidR="000475CD">
        <w:rPr>
          <w:lang w:val="ru-RU"/>
        </w:rPr>
        <w:t> </w:t>
      </w:r>
      <w:r w:rsidR="00835AC2">
        <w:rPr>
          <w:lang w:val="ru-RU"/>
        </w:rPr>
        <w:t>тонн</w:t>
      </w:r>
      <w:r w:rsidR="005853BE" w:rsidRPr="00835AC2">
        <w:rPr>
          <w:lang w:val="ru-RU"/>
        </w:rPr>
        <w:t xml:space="preserve">. </w:t>
      </w:r>
      <w:r w:rsidR="00835AC2">
        <w:rPr>
          <w:lang w:val="ru-RU"/>
        </w:rPr>
        <w:t>Доля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продукции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аквакультуры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в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общей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продукции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рыбного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хозяйства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увеличилась</w:t>
      </w:r>
      <w:r w:rsidR="00835AC2" w:rsidRPr="00835AC2">
        <w:rPr>
          <w:lang w:val="ru-RU"/>
        </w:rPr>
        <w:t xml:space="preserve"> </w:t>
      </w:r>
      <w:r w:rsidR="00835AC2">
        <w:rPr>
          <w:lang w:val="ru-RU"/>
        </w:rPr>
        <w:t>с</w:t>
      </w:r>
      <w:r w:rsidR="00835AC2" w:rsidRPr="00835AC2">
        <w:rPr>
          <w:lang w:val="ru-RU"/>
        </w:rPr>
        <w:t xml:space="preserve"> </w:t>
      </w:r>
      <w:r w:rsidR="005853BE" w:rsidRPr="00835AC2">
        <w:rPr>
          <w:lang w:val="ru-RU"/>
        </w:rPr>
        <w:t>42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4</w:t>
      </w:r>
      <w:r w:rsidR="00835AC2">
        <w:rPr>
          <w:lang w:val="ru-RU"/>
        </w:rPr>
        <w:t>% в</w:t>
      </w:r>
      <w:r w:rsidR="005853BE" w:rsidRPr="00835AC2">
        <w:rPr>
          <w:lang w:val="ru-RU"/>
        </w:rPr>
        <w:t xml:space="preserve"> 1978 </w:t>
      </w:r>
      <w:r w:rsidR="00835AC2">
        <w:rPr>
          <w:lang w:val="ru-RU"/>
        </w:rPr>
        <w:t xml:space="preserve">году до </w:t>
      </w:r>
      <w:r w:rsidR="005853BE" w:rsidRPr="00835AC2">
        <w:rPr>
          <w:lang w:val="ru-RU"/>
        </w:rPr>
        <w:t>60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8</w:t>
      </w:r>
      <w:r w:rsidR="00835AC2">
        <w:rPr>
          <w:lang w:val="ru-RU"/>
        </w:rPr>
        <w:t>% в</w:t>
      </w:r>
      <w:r w:rsidR="005853BE" w:rsidRPr="00835AC2">
        <w:rPr>
          <w:lang w:val="ru-RU"/>
        </w:rPr>
        <w:t xml:space="preserve"> 1996 </w:t>
      </w:r>
      <w:r w:rsidR="00835AC2">
        <w:rPr>
          <w:lang w:val="ru-RU"/>
        </w:rPr>
        <w:t xml:space="preserve">году и в 2013 году составила </w:t>
      </w:r>
      <w:r w:rsidR="005853BE" w:rsidRPr="00835AC2">
        <w:rPr>
          <w:lang w:val="ru-RU"/>
        </w:rPr>
        <w:t>77</w:t>
      </w:r>
      <w:r w:rsidR="00835AC2">
        <w:rPr>
          <w:lang w:val="ru-RU"/>
        </w:rPr>
        <w:t>,</w:t>
      </w:r>
      <w:r w:rsidR="005853BE" w:rsidRPr="00835AC2">
        <w:rPr>
          <w:lang w:val="ru-RU"/>
        </w:rPr>
        <w:t>5</w:t>
      </w:r>
      <w:r w:rsidR="00835AC2">
        <w:rPr>
          <w:lang w:val="ru-RU"/>
        </w:rPr>
        <w:t>%</w:t>
      </w:r>
      <w:r w:rsidR="005853BE" w:rsidRPr="00835AC2">
        <w:rPr>
          <w:lang w:val="ru-RU"/>
        </w:rPr>
        <w:t>.</w:t>
      </w:r>
    </w:p>
    <w:p w:rsidR="005853BE" w:rsidRPr="00835AC2" w:rsidRDefault="005853BE" w:rsidP="005853BE">
      <w:pPr>
        <w:rPr>
          <w:lang w:val="ru-RU"/>
        </w:rPr>
      </w:pPr>
    </w:p>
    <w:p w:rsidR="005853BE" w:rsidRPr="008374F3" w:rsidRDefault="00466415" w:rsidP="005853BE">
      <w:pPr>
        <w:pStyle w:val="NewPara"/>
        <w:jc w:val="both"/>
        <w:rPr>
          <w:lang w:val="ru-RU"/>
        </w:rPr>
      </w:pPr>
      <w:r>
        <w:rPr>
          <w:lang w:val="ru-RU"/>
        </w:rPr>
        <w:t>Сотрудничество</w:t>
      </w:r>
      <w:r w:rsidRPr="00466415">
        <w:rPr>
          <w:lang w:val="ru-RU"/>
        </w:rPr>
        <w:t xml:space="preserve"> </w:t>
      </w:r>
      <w:r>
        <w:rPr>
          <w:lang w:val="ru-RU"/>
        </w:rPr>
        <w:t>правительственных</w:t>
      </w:r>
      <w:r w:rsidRPr="00466415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466415">
        <w:rPr>
          <w:lang w:val="ru-RU"/>
        </w:rPr>
        <w:t xml:space="preserve"> </w:t>
      </w:r>
      <w:r>
        <w:rPr>
          <w:lang w:val="ru-RU"/>
        </w:rPr>
        <w:t>обеспечило</w:t>
      </w:r>
      <w:r w:rsidRPr="00466415">
        <w:rPr>
          <w:lang w:val="ru-RU"/>
        </w:rPr>
        <w:t xml:space="preserve"> </w:t>
      </w:r>
      <w:r>
        <w:rPr>
          <w:lang w:val="ru-RU"/>
        </w:rPr>
        <w:t>регулярную</w:t>
      </w:r>
      <w:r w:rsidRPr="00466415">
        <w:rPr>
          <w:lang w:val="ru-RU"/>
        </w:rPr>
        <w:t xml:space="preserve"> </w:t>
      </w:r>
      <w:r>
        <w:rPr>
          <w:lang w:val="ru-RU"/>
        </w:rPr>
        <w:t>передачу</w:t>
      </w:r>
      <w:r w:rsidRPr="00466415">
        <w:rPr>
          <w:lang w:val="ru-RU"/>
        </w:rPr>
        <w:t xml:space="preserve"> </w:t>
      </w:r>
      <w:r>
        <w:rPr>
          <w:lang w:val="ru-RU"/>
        </w:rPr>
        <w:t>технических</w:t>
      </w:r>
      <w:r w:rsidRPr="00466415">
        <w:rPr>
          <w:lang w:val="ru-RU"/>
        </w:rPr>
        <w:t xml:space="preserve"> </w:t>
      </w:r>
      <w:r>
        <w:rPr>
          <w:lang w:val="ru-RU"/>
        </w:rPr>
        <w:t>и</w:t>
      </w:r>
      <w:r w:rsidRPr="00466415">
        <w:rPr>
          <w:lang w:val="ru-RU"/>
        </w:rPr>
        <w:t xml:space="preserve"> </w:t>
      </w:r>
      <w:r>
        <w:rPr>
          <w:lang w:val="ru-RU"/>
        </w:rPr>
        <w:t>управленческих</w:t>
      </w:r>
      <w:r w:rsidRPr="00466415">
        <w:rPr>
          <w:lang w:val="ru-RU"/>
        </w:rPr>
        <w:t xml:space="preserve"> </w:t>
      </w:r>
      <w:r>
        <w:rPr>
          <w:lang w:val="ru-RU"/>
        </w:rPr>
        <w:t>подробностей</w:t>
      </w:r>
      <w:r w:rsidRPr="00466415">
        <w:rPr>
          <w:lang w:val="ru-RU"/>
        </w:rPr>
        <w:t xml:space="preserve"> </w:t>
      </w:r>
      <w:r>
        <w:rPr>
          <w:lang w:val="ru-RU"/>
        </w:rPr>
        <w:t>доказавших свою эффективность методов производства посредством курсов производственного обучения, семинаров, практикумов, обмена специалистами и информацией</w:t>
      </w:r>
      <w:r w:rsidR="005853BE" w:rsidRPr="00466415">
        <w:rPr>
          <w:lang w:val="ru-RU"/>
        </w:rPr>
        <w:t xml:space="preserve">. </w:t>
      </w:r>
      <w:r>
        <w:rPr>
          <w:lang w:val="ru-RU"/>
        </w:rPr>
        <w:t>Профессиональная</w:t>
      </w:r>
      <w:r w:rsidRPr="008374F3">
        <w:rPr>
          <w:lang w:val="ru-RU"/>
        </w:rPr>
        <w:t xml:space="preserve"> </w:t>
      </w:r>
      <w:r>
        <w:rPr>
          <w:lang w:val="ru-RU"/>
        </w:rPr>
        <w:t>подготовка</w:t>
      </w:r>
      <w:r w:rsidRPr="008374F3">
        <w:rPr>
          <w:lang w:val="ru-RU"/>
        </w:rPr>
        <w:t xml:space="preserve"> </w:t>
      </w:r>
      <w:r w:rsidR="008374F3">
        <w:rPr>
          <w:lang w:val="ru-RU"/>
        </w:rPr>
        <w:t>национальных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кадров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и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модернизация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оборудования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создали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мультиплицирующий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эффект</w:t>
      </w:r>
      <w:r w:rsidR="008374F3" w:rsidRPr="008374F3">
        <w:rPr>
          <w:lang w:val="ru-RU"/>
        </w:rPr>
        <w:t xml:space="preserve">, </w:t>
      </w:r>
      <w:r w:rsidR="008374F3">
        <w:rPr>
          <w:lang w:val="ru-RU"/>
        </w:rPr>
        <w:t>позволивший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последующие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инвестиции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в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НИОКР</w:t>
      </w:r>
      <w:r w:rsidR="005853BE" w:rsidRPr="008374F3">
        <w:rPr>
          <w:lang w:val="ru-RU"/>
        </w:rPr>
        <w:t xml:space="preserve">. </w:t>
      </w:r>
      <w:r w:rsidR="008374F3">
        <w:rPr>
          <w:lang w:val="ru-RU"/>
        </w:rPr>
        <w:t>Укрепление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национального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и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регионального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потенциала</w:t>
      </w:r>
      <w:r w:rsidR="008374F3" w:rsidRPr="008374F3">
        <w:rPr>
          <w:lang w:val="ru-RU"/>
        </w:rPr>
        <w:t xml:space="preserve"> (</w:t>
      </w:r>
      <w:r w:rsidR="008374F3">
        <w:rPr>
          <w:lang w:val="ru-RU"/>
        </w:rPr>
        <w:t>включающего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подготовленные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кадры</w:t>
      </w:r>
      <w:r w:rsidR="008374F3" w:rsidRPr="008374F3">
        <w:rPr>
          <w:lang w:val="ru-RU"/>
        </w:rPr>
        <w:t xml:space="preserve">, </w:t>
      </w:r>
      <w:r w:rsidR="008374F3">
        <w:rPr>
          <w:lang w:val="ru-RU"/>
        </w:rPr>
        <w:t>модернизированное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оборудование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и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более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эффективные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операционные системы и системы управления</w:t>
      </w:r>
      <w:r w:rsidR="005853BE" w:rsidRPr="008374F3">
        <w:rPr>
          <w:lang w:val="ru-RU"/>
        </w:rPr>
        <w:t xml:space="preserve">) </w:t>
      </w:r>
      <w:r w:rsidR="008374F3">
        <w:rPr>
          <w:lang w:val="ru-RU"/>
        </w:rPr>
        <w:t xml:space="preserve">позволило </w:t>
      </w:r>
      <w:r w:rsidR="00B07D80">
        <w:rPr>
          <w:lang w:val="ru-RU"/>
        </w:rPr>
        <w:t>осуществлять последующие исследовательские и образовательные программы с меньшими затратами</w:t>
      </w:r>
      <w:r w:rsidR="005853BE" w:rsidRPr="008374F3">
        <w:rPr>
          <w:lang w:val="ru-RU"/>
        </w:rPr>
        <w:t xml:space="preserve">. </w:t>
      </w:r>
    </w:p>
    <w:p w:rsidR="005853BE" w:rsidRPr="008374F3" w:rsidRDefault="005853BE" w:rsidP="005853BE">
      <w:pPr>
        <w:rPr>
          <w:lang w:val="ru-RU"/>
        </w:rPr>
      </w:pPr>
    </w:p>
    <w:p w:rsidR="005853BE" w:rsidRPr="00B70C6C" w:rsidRDefault="00B07D80" w:rsidP="005853BE">
      <w:pPr>
        <w:pStyle w:val="NewPara"/>
        <w:jc w:val="both"/>
        <w:rPr>
          <w:lang w:val="ru-RU"/>
        </w:rPr>
      </w:pPr>
      <w:r>
        <w:rPr>
          <w:lang w:val="ru-RU"/>
        </w:rPr>
        <w:t>Стратегия</w:t>
      </w:r>
      <w:r w:rsidRPr="00B07D80">
        <w:rPr>
          <w:lang w:val="ru-RU"/>
        </w:rPr>
        <w:t xml:space="preserve"> </w:t>
      </w:r>
      <w:r>
        <w:rPr>
          <w:lang w:val="ru-RU"/>
        </w:rPr>
        <w:t>принесла хорошие результаты. Производство аквакультуры демонстрировало стабильный рост</w:t>
      </w:r>
      <w:r w:rsidR="005853BE" w:rsidRPr="00B07D80">
        <w:rPr>
          <w:lang w:val="ru-RU"/>
        </w:rPr>
        <w:t xml:space="preserve">. </w:t>
      </w:r>
      <w:r>
        <w:rPr>
          <w:lang w:val="ru-RU"/>
        </w:rPr>
        <w:t>Начиная</w:t>
      </w:r>
      <w:r w:rsidRPr="00B07D80">
        <w:rPr>
          <w:lang w:val="ru-RU"/>
        </w:rPr>
        <w:t xml:space="preserve"> </w:t>
      </w:r>
      <w:r>
        <w:rPr>
          <w:lang w:val="ru-RU"/>
        </w:rPr>
        <w:t>с</w:t>
      </w:r>
      <w:r w:rsidRPr="00B07D80">
        <w:rPr>
          <w:lang w:val="ru-RU"/>
        </w:rPr>
        <w:t xml:space="preserve"> </w:t>
      </w:r>
      <w:r>
        <w:rPr>
          <w:lang w:val="ru-RU"/>
        </w:rPr>
        <w:t>расчетного</w:t>
      </w:r>
      <w:r w:rsidRPr="00B07D80">
        <w:rPr>
          <w:lang w:val="ru-RU"/>
        </w:rPr>
        <w:t xml:space="preserve"> </w:t>
      </w:r>
      <w:r>
        <w:rPr>
          <w:lang w:val="ru-RU"/>
        </w:rPr>
        <w:t>объема</w:t>
      </w:r>
      <w:r w:rsidRPr="00B07D80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B07D80">
        <w:rPr>
          <w:lang w:val="ru-RU"/>
        </w:rPr>
        <w:t xml:space="preserve"> </w:t>
      </w:r>
      <w:r>
        <w:rPr>
          <w:lang w:val="ru-RU"/>
        </w:rPr>
        <w:t>в</w:t>
      </w:r>
      <w:r w:rsidRPr="00B07D80">
        <w:rPr>
          <w:lang w:val="ru-RU"/>
        </w:rPr>
        <w:t xml:space="preserve"> 5,4 </w:t>
      </w:r>
      <w:proofErr w:type="gramStart"/>
      <w:r>
        <w:rPr>
          <w:lang w:val="ru-RU"/>
        </w:rPr>
        <w:t>млн</w:t>
      </w:r>
      <w:proofErr w:type="gramEnd"/>
      <w:r w:rsidR="000475CD">
        <w:rPr>
          <w:lang w:val="ru-RU"/>
        </w:rPr>
        <w:t> </w:t>
      </w:r>
      <w:r>
        <w:rPr>
          <w:lang w:val="ru-RU"/>
        </w:rPr>
        <w:t>тонн</w:t>
      </w:r>
      <w:r w:rsidRPr="00B07D80">
        <w:rPr>
          <w:lang w:val="ru-RU"/>
        </w:rPr>
        <w:t xml:space="preserve"> </w:t>
      </w:r>
      <w:r>
        <w:rPr>
          <w:lang w:val="ru-RU"/>
        </w:rPr>
        <w:t>в</w:t>
      </w:r>
      <w:r w:rsidRPr="00B07D80">
        <w:rPr>
          <w:lang w:val="ru-RU"/>
        </w:rPr>
        <w:t xml:space="preserve"> </w:t>
      </w:r>
      <w:r>
        <w:rPr>
          <w:lang w:val="ru-RU"/>
        </w:rPr>
        <w:t>год</w:t>
      </w:r>
      <w:r w:rsidRPr="00B07D80">
        <w:rPr>
          <w:lang w:val="ru-RU"/>
        </w:rPr>
        <w:t xml:space="preserve"> </w:t>
      </w:r>
      <w:r>
        <w:rPr>
          <w:lang w:val="ru-RU"/>
        </w:rPr>
        <w:t>в</w:t>
      </w:r>
      <w:r w:rsidRPr="00B07D80">
        <w:rPr>
          <w:lang w:val="ru-RU"/>
        </w:rPr>
        <w:t xml:space="preserve"> </w:t>
      </w:r>
      <w:r w:rsidR="005853BE" w:rsidRPr="00B07D80">
        <w:rPr>
          <w:lang w:val="ru-RU"/>
        </w:rPr>
        <w:t>1976</w:t>
      </w:r>
      <w:r w:rsidR="000475CD">
        <w:rPr>
          <w:lang w:val="ru-RU"/>
        </w:rPr>
        <w:t> </w:t>
      </w:r>
      <w:r>
        <w:rPr>
          <w:lang w:val="ru-RU"/>
        </w:rPr>
        <w:t>году</w:t>
      </w:r>
      <w:r w:rsidR="005853BE" w:rsidRPr="00B07D80">
        <w:rPr>
          <w:lang w:val="ru-RU"/>
        </w:rPr>
        <w:t xml:space="preserve">, </w:t>
      </w:r>
      <w:r>
        <w:rPr>
          <w:lang w:val="ru-RU"/>
        </w:rPr>
        <w:t>оно</w:t>
      </w:r>
      <w:r w:rsidRPr="00B07D80">
        <w:rPr>
          <w:lang w:val="ru-RU"/>
        </w:rPr>
        <w:t xml:space="preserve"> </w:t>
      </w:r>
      <w:r>
        <w:rPr>
          <w:lang w:val="ru-RU"/>
        </w:rPr>
        <w:t>показывало</w:t>
      </w:r>
      <w:r w:rsidRPr="00B07D80">
        <w:rPr>
          <w:lang w:val="ru-RU"/>
        </w:rPr>
        <w:t xml:space="preserve"> </w:t>
      </w:r>
      <w:r>
        <w:rPr>
          <w:lang w:val="ru-RU"/>
        </w:rPr>
        <w:t>устойчивый рост в 10% и более и к 1996</w:t>
      </w:r>
      <w:r w:rsidR="000475CD">
        <w:rPr>
          <w:lang w:val="ru-RU"/>
        </w:rPr>
        <w:t> </w:t>
      </w:r>
      <w:r>
        <w:rPr>
          <w:lang w:val="ru-RU"/>
        </w:rPr>
        <w:t xml:space="preserve">году достигло </w:t>
      </w:r>
      <w:r w:rsidR="005853BE" w:rsidRPr="00B07D80">
        <w:rPr>
          <w:lang w:val="ru-RU"/>
        </w:rPr>
        <w:t>33</w:t>
      </w:r>
      <w:r>
        <w:rPr>
          <w:lang w:val="ru-RU"/>
        </w:rPr>
        <w:t>,</w:t>
      </w:r>
      <w:r w:rsidR="005853BE" w:rsidRPr="00B07D80">
        <w:rPr>
          <w:lang w:val="ru-RU"/>
        </w:rPr>
        <w:t>8</w:t>
      </w:r>
      <w:r w:rsidR="000475CD">
        <w:rPr>
          <w:lang w:val="ru-RU"/>
        </w:rPr>
        <w:t> </w:t>
      </w:r>
      <w:r>
        <w:rPr>
          <w:lang w:val="ru-RU"/>
        </w:rPr>
        <w:t>млн</w:t>
      </w:r>
      <w:r w:rsidR="000475CD">
        <w:rPr>
          <w:lang w:val="ru-RU"/>
        </w:rPr>
        <w:t> </w:t>
      </w:r>
      <w:r>
        <w:rPr>
          <w:lang w:val="ru-RU"/>
        </w:rPr>
        <w:t>тонн. В 2013</w:t>
      </w:r>
      <w:r w:rsidR="000475CD">
        <w:rPr>
          <w:lang w:val="ru-RU"/>
        </w:rPr>
        <w:t> </w:t>
      </w:r>
      <w:r>
        <w:rPr>
          <w:lang w:val="ru-RU"/>
        </w:rPr>
        <w:t xml:space="preserve">году объем производства </w:t>
      </w:r>
      <w:proofErr w:type="spellStart"/>
      <w:r>
        <w:rPr>
          <w:lang w:val="ru-RU"/>
        </w:rPr>
        <w:t>аквакультуры</w:t>
      </w:r>
      <w:proofErr w:type="spellEnd"/>
      <w:r>
        <w:rPr>
          <w:lang w:val="ru-RU"/>
        </w:rPr>
        <w:t xml:space="preserve"> превысил 97</w:t>
      </w:r>
      <w:r w:rsidR="000475CD">
        <w:rPr>
          <w:lang w:val="ru-RU"/>
        </w:rPr>
        <w:t> </w:t>
      </w:r>
      <w:proofErr w:type="gramStart"/>
      <w:r>
        <w:rPr>
          <w:lang w:val="ru-RU"/>
        </w:rPr>
        <w:t>млн</w:t>
      </w:r>
      <w:proofErr w:type="gramEnd"/>
      <w:r w:rsidR="000475CD">
        <w:rPr>
          <w:lang w:val="ru-RU"/>
        </w:rPr>
        <w:t> </w:t>
      </w:r>
      <w:r>
        <w:rPr>
          <w:lang w:val="ru-RU"/>
        </w:rPr>
        <w:t>тонн, при этом в ряде стран сегодня в секторе аквакультуры производится больше рыбы, чем дает рыболовный промыс</w:t>
      </w:r>
      <w:r w:rsidR="000475CD">
        <w:rPr>
          <w:lang w:val="ru-RU"/>
        </w:rPr>
        <w:t>е</w:t>
      </w:r>
      <w:r>
        <w:rPr>
          <w:lang w:val="ru-RU"/>
        </w:rPr>
        <w:t>л</w:t>
      </w:r>
      <w:r w:rsidR="005853BE" w:rsidRPr="00B70C6C">
        <w:rPr>
          <w:lang w:val="ru-RU"/>
        </w:rPr>
        <w:t>.</w:t>
      </w:r>
    </w:p>
    <w:p w:rsidR="005853BE" w:rsidRPr="00B70C6C" w:rsidRDefault="005853BE" w:rsidP="005853BE">
      <w:pPr>
        <w:rPr>
          <w:lang w:val="ru-RU"/>
        </w:rPr>
      </w:pPr>
    </w:p>
    <w:p w:rsidR="005853BE" w:rsidRPr="00B65BD6" w:rsidRDefault="000B22FA" w:rsidP="005853BE">
      <w:pPr>
        <w:pStyle w:val="NewPara"/>
        <w:jc w:val="both"/>
        <w:rPr>
          <w:lang w:val="ru-RU"/>
        </w:rPr>
      </w:pPr>
      <w:r>
        <w:rPr>
          <w:lang w:val="ru-RU"/>
        </w:rPr>
        <w:t xml:space="preserve">Производить больше при меньшем количестве ресурсов – </w:t>
      </w:r>
      <w:r w:rsidR="000475CD">
        <w:rPr>
          <w:lang w:val="ru-RU"/>
        </w:rPr>
        <w:t>"</w:t>
      </w:r>
      <w:r>
        <w:rPr>
          <w:lang w:val="ru-RU"/>
        </w:rPr>
        <w:t>делать больше с меньшими затратами</w:t>
      </w:r>
      <w:r w:rsidR="000475CD">
        <w:rPr>
          <w:lang w:val="ru-RU"/>
        </w:rPr>
        <w:t xml:space="preserve">" </w:t>
      </w:r>
      <w:r>
        <w:rPr>
          <w:lang w:val="ru-RU"/>
        </w:rPr>
        <w:t>– стало</w:t>
      </w:r>
      <w:r w:rsidR="005853BE" w:rsidRPr="00FD66FA">
        <w:rPr>
          <w:lang w:val="ru-RU"/>
        </w:rPr>
        <w:t xml:space="preserve"> </w:t>
      </w:r>
      <w:r w:rsidR="00FD66FA">
        <w:rPr>
          <w:lang w:val="ru-RU"/>
        </w:rPr>
        <w:t>центральной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темой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глобального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обзора</w:t>
      </w:r>
      <w:r w:rsidR="00FD66FA" w:rsidRPr="00FD66FA">
        <w:rPr>
          <w:lang w:val="ru-RU"/>
        </w:rPr>
        <w:t xml:space="preserve"> </w:t>
      </w:r>
      <w:r w:rsidR="00FD66FA">
        <w:rPr>
          <w:lang w:val="ru-RU"/>
        </w:rPr>
        <w:t>аквакультуры,</w:t>
      </w:r>
      <w:r w:rsidR="005853BE" w:rsidRPr="00FD66FA">
        <w:rPr>
          <w:lang w:val="ru-RU"/>
        </w:rPr>
        <w:t xml:space="preserve"> </w:t>
      </w:r>
      <w:r w:rsidR="00B70C6C">
        <w:rPr>
          <w:lang w:val="ru-RU"/>
        </w:rPr>
        <w:t>организованно</w:t>
      </w:r>
      <w:r>
        <w:rPr>
          <w:lang w:val="ru-RU"/>
        </w:rPr>
        <w:t>го</w:t>
      </w:r>
      <w:r w:rsidR="00B70C6C" w:rsidRPr="00FD66FA">
        <w:rPr>
          <w:lang w:val="ru-RU"/>
        </w:rPr>
        <w:t xml:space="preserve"> </w:t>
      </w:r>
      <w:r w:rsidR="00B70C6C">
        <w:rPr>
          <w:lang w:val="ru-RU"/>
        </w:rPr>
        <w:t>ФАО</w:t>
      </w:r>
      <w:r w:rsidR="00B70C6C" w:rsidRPr="00FD66FA">
        <w:rPr>
          <w:lang w:val="ru-RU"/>
        </w:rPr>
        <w:t xml:space="preserve"> </w:t>
      </w:r>
      <w:r w:rsidR="00B70C6C">
        <w:rPr>
          <w:lang w:val="ru-RU"/>
        </w:rPr>
        <w:t>в</w:t>
      </w:r>
      <w:r w:rsidR="00B70C6C" w:rsidRPr="00FD66FA">
        <w:rPr>
          <w:lang w:val="ru-RU"/>
        </w:rPr>
        <w:t xml:space="preserve"> </w:t>
      </w:r>
      <w:r w:rsidR="00B70C6C">
        <w:rPr>
          <w:lang w:val="ru-RU"/>
        </w:rPr>
        <w:t>Гуанчжоу</w:t>
      </w:r>
      <w:r w:rsidR="00B70C6C" w:rsidRPr="00FD66FA">
        <w:rPr>
          <w:lang w:val="ru-RU"/>
        </w:rPr>
        <w:t xml:space="preserve"> </w:t>
      </w:r>
      <w:r w:rsidR="00B70C6C">
        <w:rPr>
          <w:lang w:val="ru-RU"/>
        </w:rPr>
        <w:t>в</w:t>
      </w:r>
      <w:r w:rsidR="00B70C6C" w:rsidRPr="00FD66FA">
        <w:rPr>
          <w:lang w:val="ru-RU"/>
        </w:rPr>
        <w:t xml:space="preserve"> 2</w:t>
      </w:r>
      <w:r w:rsidR="005853BE" w:rsidRPr="00FD66FA">
        <w:rPr>
          <w:lang w:val="ru-RU"/>
        </w:rPr>
        <w:t>006</w:t>
      </w:r>
      <w:r w:rsidR="000475CD">
        <w:rPr>
          <w:lang w:val="ru-RU"/>
        </w:rPr>
        <w:t> </w:t>
      </w:r>
      <w:r w:rsidR="00B70C6C">
        <w:rPr>
          <w:lang w:val="ru-RU"/>
        </w:rPr>
        <w:t>году</w:t>
      </w:r>
      <w:r w:rsidR="005853BE" w:rsidRPr="00C5044F">
        <w:rPr>
          <w:vertAlign w:val="superscript"/>
        </w:rPr>
        <w:footnoteReference w:id="10"/>
      </w:r>
      <w:r w:rsidR="00B70C6C" w:rsidRPr="00FD66FA">
        <w:rPr>
          <w:lang w:val="ru-RU"/>
        </w:rPr>
        <w:t>.</w:t>
      </w:r>
      <w:r w:rsidR="005853BE" w:rsidRPr="00FD66FA">
        <w:rPr>
          <w:lang w:val="ru-RU"/>
        </w:rPr>
        <w:t xml:space="preserve"> </w:t>
      </w:r>
      <w:r w:rsidR="00B70C6C">
        <w:rPr>
          <w:lang w:val="ru-RU"/>
        </w:rPr>
        <w:t>В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то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время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как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технологии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совершенствуются</w:t>
      </w:r>
      <w:r w:rsidR="00B70C6C" w:rsidRPr="00995A85">
        <w:rPr>
          <w:lang w:val="ru-RU"/>
        </w:rPr>
        <w:t xml:space="preserve">, </w:t>
      </w:r>
      <w:r w:rsidR="00995A85">
        <w:rPr>
          <w:lang w:val="ru-RU"/>
        </w:rPr>
        <w:t>ресурсов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становится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все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меньше</w:t>
      </w:r>
      <w:r w:rsidR="00995A85" w:rsidRPr="00995A85">
        <w:rPr>
          <w:lang w:val="ru-RU"/>
        </w:rPr>
        <w:t xml:space="preserve">, </w:t>
      </w:r>
      <w:r w:rsidR="00995A85">
        <w:rPr>
          <w:lang w:val="ru-RU"/>
        </w:rPr>
        <w:t>а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население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растет</w:t>
      </w:r>
      <w:r w:rsidR="005853BE" w:rsidRPr="00995A85">
        <w:rPr>
          <w:lang w:val="ru-RU"/>
        </w:rPr>
        <w:t xml:space="preserve">. </w:t>
      </w:r>
      <w:r w:rsidR="00995A85">
        <w:rPr>
          <w:lang w:val="ru-RU"/>
        </w:rPr>
        <w:t>Глобальная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конференция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по</w:t>
      </w:r>
      <w:r w:rsidR="00995A85" w:rsidRPr="00995A85">
        <w:rPr>
          <w:lang w:val="ru-RU"/>
        </w:rPr>
        <w:t xml:space="preserve"> </w:t>
      </w:r>
      <w:proofErr w:type="spellStart"/>
      <w:r w:rsidR="00995A85">
        <w:rPr>
          <w:lang w:val="ru-RU"/>
        </w:rPr>
        <w:t>аквакультуре</w:t>
      </w:r>
      <w:proofErr w:type="spellEnd"/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в</w:t>
      </w:r>
      <w:r w:rsidR="00995A85" w:rsidRPr="00995A85">
        <w:rPr>
          <w:lang w:val="ru-RU"/>
        </w:rPr>
        <w:t xml:space="preserve"> </w:t>
      </w:r>
      <w:r w:rsidR="005853BE" w:rsidRPr="00995A85">
        <w:rPr>
          <w:lang w:val="ru-RU"/>
        </w:rPr>
        <w:t>2010</w:t>
      </w:r>
      <w:r w:rsidR="000475CD">
        <w:rPr>
          <w:lang w:val="ru-RU"/>
        </w:rPr>
        <w:t> </w:t>
      </w:r>
      <w:r w:rsidR="00995A85">
        <w:rPr>
          <w:lang w:val="ru-RU"/>
        </w:rPr>
        <w:t xml:space="preserve">году </w:t>
      </w:r>
      <w:r w:rsidR="000475CD">
        <w:rPr>
          <w:lang w:val="ru-RU"/>
        </w:rPr>
        <w:t xml:space="preserve">подтвердила </w:t>
      </w:r>
      <w:r>
        <w:rPr>
          <w:lang w:val="ru-RU"/>
        </w:rPr>
        <w:t>это положение</w:t>
      </w:r>
      <w:r w:rsidR="005853BE" w:rsidRPr="003779A2">
        <w:rPr>
          <w:rStyle w:val="FootnoteReference"/>
          <w:rFonts w:ascii="Times New Roman" w:hAnsi="Times New Roman" w:cs="Times New Roman"/>
          <w:sz w:val="22"/>
          <w:szCs w:val="22"/>
        </w:rPr>
        <w:footnoteReference w:id="11"/>
      </w:r>
      <w:r w:rsidR="005853BE" w:rsidRPr="00995A85">
        <w:rPr>
          <w:lang w:val="ru-RU"/>
        </w:rPr>
        <w:t xml:space="preserve">. </w:t>
      </w:r>
      <w:r w:rsidR="00995A85">
        <w:rPr>
          <w:lang w:val="ru-RU"/>
        </w:rPr>
        <w:t>Безусловно</w:t>
      </w:r>
      <w:r w:rsidR="00995A85" w:rsidRPr="00995A85">
        <w:rPr>
          <w:lang w:val="ru-RU"/>
        </w:rPr>
        <w:t xml:space="preserve">, </w:t>
      </w:r>
      <w:r w:rsidR="00995A85">
        <w:rPr>
          <w:lang w:val="ru-RU"/>
        </w:rPr>
        <w:t>это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всеобщая</w:t>
      </w:r>
      <w:r w:rsidR="00995A85" w:rsidRPr="00995A85">
        <w:rPr>
          <w:lang w:val="ru-RU"/>
        </w:rPr>
        <w:t xml:space="preserve"> </w:t>
      </w:r>
      <w:r w:rsidR="00995A85">
        <w:rPr>
          <w:lang w:val="ru-RU"/>
        </w:rPr>
        <w:t>проблема, которую другие отрасли ощутили и признали</w:t>
      </w:r>
      <w:r w:rsidR="005853BE" w:rsidRPr="00995A85">
        <w:rPr>
          <w:lang w:val="ru-RU"/>
        </w:rPr>
        <w:t xml:space="preserve"> </w:t>
      </w:r>
      <w:r w:rsidR="00B70C6C">
        <w:rPr>
          <w:lang w:val="ru-RU"/>
        </w:rPr>
        <w:t>задолго</w:t>
      </w:r>
      <w:r w:rsidR="00B70C6C" w:rsidRPr="00995A85">
        <w:rPr>
          <w:lang w:val="ru-RU"/>
        </w:rPr>
        <w:t xml:space="preserve"> </w:t>
      </w:r>
      <w:r w:rsidR="00B70C6C">
        <w:rPr>
          <w:lang w:val="ru-RU"/>
        </w:rPr>
        <w:t>до</w:t>
      </w:r>
      <w:r w:rsidR="00B70C6C" w:rsidRPr="00995A85">
        <w:rPr>
          <w:lang w:val="ru-RU"/>
        </w:rPr>
        <w:t xml:space="preserve"> 2006 </w:t>
      </w:r>
      <w:r w:rsidR="00B70C6C">
        <w:rPr>
          <w:lang w:val="ru-RU"/>
        </w:rPr>
        <w:t>года</w:t>
      </w:r>
      <w:r w:rsidR="005853BE" w:rsidRPr="00995A85">
        <w:rPr>
          <w:lang w:val="ru-RU"/>
        </w:rPr>
        <w:t xml:space="preserve">. </w:t>
      </w:r>
      <w:r>
        <w:rPr>
          <w:lang w:val="ru-RU"/>
        </w:rPr>
        <w:t>Сложившаяся ситуация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заставил</w:t>
      </w:r>
      <w:r>
        <w:rPr>
          <w:lang w:val="ru-RU"/>
        </w:rPr>
        <w:t>а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научные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сообщества</w:t>
      </w:r>
      <w:r w:rsidR="00795C36" w:rsidRPr="00795C36">
        <w:rPr>
          <w:lang w:val="ru-RU"/>
        </w:rPr>
        <w:t xml:space="preserve">, </w:t>
      </w:r>
      <w:r w:rsidR="00795C36">
        <w:rPr>
          <w:lang w:val="ru-RU"/>
        </w:rPr>
        <w:t>академические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круги</w:t>
      </w:r>
      <w:r w:rsidR="00795C36" w:rsidRPr="00795C36">
        <w:rPr>
          <w:lang w:val="ru-RU"/>
        </w:rPr>
        <w:t xml:space="preserve">, </w:t>
      </w:r>
      <w:r w:rsidR="00795C36">
        <w:rPr>
          <w:lang w:val="ru-RU"/>
        </w:rPr>
        <w:t>промышленность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и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правительства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искать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способы производить больше товаров и оказывать больше услуг, используя меньше ресурсов и энергии</w:t>
      </w:r>
      <w:r w:rsidR="005853BE" w:rsidRPr="00795C36">
        <w:rPr>
          <w:lang w:val="ru-RU"/>
        </w:rPr>
        <w:t xml:space="preserve">, </w:t>
      </w:r>
      <w:r w:rsidR="00B70C6C">
        <w:rPr>
          <w:lang w:val="ru-RU"/>
        </w:rPr>
        <w:t>превращать</w:t>
      </w:r>
      <w:r w:rsidR="00B70C6C" w:rsidRPr="00795C36">
        <w:rPr>
          <w:lang w:val="ru-RU"/>
        </w:rPr>
        <w:t xml:space="preserve"> </w:t>
      </w:r>
      <w:r w:rsidR="00B70C6C">
        <w:rPr>
          <w:lang w:val="ru-RU"/>
        </w:rPr>
        <w:t>отходы</w:t>
      </w:r>
      <w:r w:rsidR="00B70C6C" w:rsidRPr="00795C36">
        <w:rPr>
          <w:lang w:val="ru-RU"/>
        </w:rPr>
        <w:t xml:space="preserve"> </w:t>
      </w:r>
      <w:r w:rsidR="00B70C6C">
        <w:rPr>
          <w:lang w:val="ru-RU"/>
        </w:rPr>
        <w:t>в</w:t>
      </w:r>
      <w:r w:rsidR="00B70C6C" w:rsidRPr="00795C36">
        <w:rPr>
          <w:lang w:val="ru-RU"/>
        </w:rPr>
        <w:t xml:space="preserve"> </w:t>
      </w:r>
      <w:r w:rsidR="00B70C6C">
        <w:rPr>
          <w:lang w:val="ru-RU"/>
        </w:rPr>
        <w:t>полезные</w:t>
      </w:r>
      <w:r w:rsidR="00B70C6C" w:rsidRPr="00795C36">
        <w:rPr>
          <w:lang w:val="ru-RU"/>
        </w:rPr>
        <w:t xml:space="preserve"> </w:t>
      </w:r>
      <w:r w:rsidR="00B70C6C">
        <w:rPr>
          <w:lang w:val="ru-RU"/>
        </w:rPr>
        <w:t>продукты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и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сократить</w:t>
      </w:r>
      <w:r w:rsidR="00795C36" w:rsidRPr="00795C36">
        <w:rPr>
          <w:lang w:val="ru-RU"/>
        </w:rPr>
        <w:t xml:space="preserve"> </w:t>
      </w:r>
      <w:r w:rsidR="00795C36">
        <w:rPr>
          <w:lang w:val="ru-RU"/>
        </w:rPr>
        <w:t>выброс парниковых газов – руководствуясь принципом равного распределения выгод</w:t>
      </w:r>
      <w:r w:rsidR="005853BE" w:rsidRPr="00795C36">
        <w:rPr>
          <w:lang w:val="ru-RU"/>
        </w:rPr>
        <w:t>.</w:t>
      </w:r>
      <w:r w:rsidR="00795C36">
        <w:rPr>
          <w:lang w:val="ru-RU"/>
        </w:rPr>
        <w:t xml:space="preserve"> Так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в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общем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виде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выглядит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основанная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на</w:t>
      </w:r>
      <w:r w:rsidR="00795C36" w:rsidRPr="00B65BD6">
        <w:rPr>
          <w:lang w:val="ru-RU"/>
        </w:rPr>
        <w:t xml:space="preserve"> </w:t>
      </w:r>
      <w:r w:rsidR="00795C36">
        <w:rPr>
          <w:lang w:val="ru-RU"/>
        </w:rPr>
        <w:t>знаниях</w:t>
      </w:r>
      <w:r w:rsidR="00795C36" w:rsidRPr="00B65BD6">
        <w:rPr>
          <w:lang w:val="ru-RU"/>
        </w:rPr>
        <w:t xml:space="preserve"> </w:t>
      </w:r>
      <w:r w:rsidR="00B65BD6">
        <w:rPr>
          <w:lang w:val="ru-RU"/>
        </w:rPr>
        <w:t>социально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ответственная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экономика</w:t>
      </w:r>
      <w:r w:rsidR="00B65BD6" w:rsidRPr="00B65BD6">
        <w:rPr>
          <w:lang w:val="ru-RU"/>
        </w:rPr>
        <w:t xml:space="preserve">, </w:t>
      </w:r>
      <w:r w:rsidR="00B65BD6">
        <w:rPr>
          <w:lang w:val="ru-RU"/>
        </w:rPr>
        <w:t>и, на чем настаивают авторы статьи, отрасль аквакультуры</w:t>
      </w:r>
      <w:r w:rsidR="005853BE" w:rsidRPr="00B65BD6">
        <w:rPr>
          <w:lang w:val="ru-RU"/>
        </w:rPr>
        <w:t xml:space="preserve"> </w:t>
      </w:r>
      <w:r w:rsidR="00B65BD6">
        <w:rPr>
          <w:lang w:val="ru-RU"/>
        </w:rPr>
        <w:t xml:space="preserve">должна </w:t>
      </w:r>
      <w:r>
        <w:rPr>
          <w:lang w:val="ru-RU"/>
        </w:rPr>
        <w:t>в</w:t>
      </w:r>
      <w:r w:rsidR="00B65BD6">
        <w:rPr>
          <w:lang w:val="ru-RU"/>
        </w:rPr>
        <w:t xml:space="preserve"> кратчайшие сроки последовать этим курсом</w:t>
      </w:r>
      <w:r w:rsidR="005853BE" w:rsidRPr="00B65BD6">
        <w:rPr>
          <w:lang w:val="ru-RU"/>
        </w:rPr>
        <w:t xml:space="preserve">. </w:t>
      </w:r>
    </w:p>
    <w:p w:rsidR="005853BE" w:rsidRPr="00B65BD6" w:rsidRDefault="005853BE" w:rsidP="005853BE">
      <w:pPr>
        <w:rPr>
          <w:lang w:val="ru-RU"/>
        </w:rPr>
      </w:pPr>
    </w:p>
    <w:p w:rsidR="005853BE" w:rsidRPr="00B65BD6" w:rsidRDefault="00B70C6C" w:rsidP="003779A2">
      <w:pPr>
        <w:pStyle w:val="NewPara"/>
        <w:jc w:val="both"/>
        <w:rPr>
          <w:lang w:val="ru-RU"/>
        </w:rPr>
      </w:pPr>
      <w:r>
        <w:rPr>
          <w:lang w:val="ru-RU"/>
        </w:rPr>
        <w:t>Знание</w:t>
      </w:r>
      <w:r w:rsidRPr="00A75C43">
        <w:rPr>
          <w:lang w:val="ru-RU"/>
        </w:rPr>
        <w:t xml:space="preserve"> – </w:t>
      </w:r>
      <w:r>
        <w:rPr>
          <w:lang w:val="ru-RU"/>
        </w:rPr>
        <w:t>его</w:t>
      </w:r>
      <w:r w:rsidRPr="00A75C43">
        <w:rPr>
          <w:lang w:val="ru-RU"/>
        </w:rPr>
        <w:t xml:space="preserve"> </w:t>
      </w:r>
      <w:r>
        <w:rPr>
          <w:lang w:val="ru-RU"/>
        </w:rPr>
        <w:t>производство</w:t>
      </w:r>
      <w:r w:rsidRPr="00A75C43">
        <w:rPr>
          <w:lang w:val="ru-RU"/>
        </w:rPr>
        <w:t xml:space="preserve">, </w:t>
      </w:r>
      <w:r>
        <w:rPr>
          <w:lang w:val="ru-RU"/>
        </w:rPr>
        <w:t>передача</w:t>
      </w:r>
      <w:r w:rsidRPr="00A75C43">
        <w:rPr>
          <w:lang w:val="ru-RU"/>
        </w:rPr>
        <w:t xml:space="preserve"> </w:t>
      </w:r>
      <w:r>
        <w:rPr>
          <w:lang w:val="ru-RU"/>
        </w:rPr>
        <w:t>и</w:t>
      </w:r>
      <w:r w:rsidRPr="00A75C43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A75C43">
        <w:rPr>
          <w:lang w:val="ru-RU"/>
        </w:rPr>
        <w:t xml:space="preserve"> – </w:t>
      </w:r>
      <w:r>
        <w:rPr>
          <w:lang w:val="ru-RU"/>
        </w:rPr>
        <w:t>всегда</w:t>
      </w:r>
      <w:r w:rsidRPr="00A75C43">
        <w:rPr>
          <w:lang w:val="ru-RU"/>
        </w:rPr>
        <w:t xml:space="preserve"> </w:t>
      </w:r>
      <w:r w:rsidR="00A75C43">
        <w:rPr>
          <w:lang w:val="ru-RU"/>
        </w:rPr>
        <w:t>имело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исключительно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важное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значение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для развития аквакультуры</w:t>
      </w:r>
      <w:r w:rsidR="005853BE" w:rsidRPr="00A75C43">
        <w:rPr>
          <w:vertAlign w:val="superscript"/>
          <w:lang w:val="ru-RU"/>
        </w:rPr>
        <w:t>11</w:t>
      </w:r>
      <w:r w:rsidR="005853BE" w:rsidRPr="00A75C43">
        <w:rPr>
          <w:lang w:val="ru-RU"/>
        </w:rPr>
        <w:t xml:space="preserve">. </w:t>
      </w:r>
      <w:r w:rsidR="003779A2">
        <w:rPr>
          <w:lang w:val="ru-RU"/>
        </w:rPr>
        <w:t>В целях более эффективного распространения и внедрения знаний д</w:t>
      </w:r>
      <w:r w:rsidR="00A75C43">
        <w:rPr>
          <w:lang w:val="ru-RU"/>
        </w:rPr>
        <w:t>ирективным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органам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и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заинтересованным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сторонам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необходимо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лучше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понимать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такие</w:t>
      </w:r>
      <w:r w:rsidR="00A75C43" w:rsidRPr="00A75C43">
        <w:rPr>
          <w:lang w:val="ru-RU"/>
        </w:rPr>
        <w:t xml:space="preserve"> </w:t>
      </w:r>
      <w:r w:rsidR="003779A2">
        <w:rPr>
          <w:lang w:val="ru-RU"/>
        </w:rPr>
        <w:t xml:space="preserve">связанные со знаниями </w:t>
      </w:r>
      <w:r w:rsidR="00A75C43">
        <w:rPr>
          <w:lang w:val="ru-RU"/>
        </w:rPr>
        <w:t>процессы</w:t>
      </w:r>
      <w:r w:rsidR="00A75C43" w:rsidRPr="00A75C43">
        <w:rPr>
          <w:lang w:val="ru-RU"/>
        </w:rPr>
        <w:t xml:space="preserve">, </w:t>
      </w:r>
      <w:r w:rsidR="00A75C43">
        <w:rPr>
          <w:lang w:val="ru-RU"/>
        </w:rPr>
        <w:t>как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преобразование знаний</w:t>
      </w:r>
      <w:r w:rsidR="005853BE" w:rsidRPr="00A75C43">
        <w:rPr>
          <w:lang w:val="ru-RU"/>
        </w:rPr>
        <w:t xml:space="preserve"> (</w:t>
      </w:r>
      <w:r w:rsidR="00A75C43">
        <w:rPr>
          <w:lang w:val="ru-RU"/>
        </w:rPr>
        <w:t>реализация</w:t>
      </w:r>
      <w:r w:rsidR="005853BE" w:rsidRPr="00A75C43">
        <w:rPr>
          <w:lang w:val="ru-RU"/>
        </w:rPr>
        <w:t xml:space="preserve">), </w:t>
      </w:r>
      <w:r w:rsidR="00A75C43">
        <w:rPr>
          <w:lang w:val="ru-RU"/>
        </w:rPr>
        <w:lastRenderedPageBreak/>
        <w:t>сети</w:t>
      </w:r>
      <w:r w:rsidR="00A75C43" w:rsidRPr="00A75C43">
        <w:rPr>
          <w:lang w:val="ru-RU"/>
        </w:rPr>
        <w:t xml:space="preserve"> </w:t>
      </w:r>
      <w:r w:rsidR="00A75C43">
        <w:rPr>
          <w:lang w:val="ru-RU"/>
        </w:rPr>
        <w:t>знаний</w:t>
      </w:r>
      <w:r w:rsidR="005853BE" w:rsidRPr="00A75C43">
        <w:rPr>
          <w:lang w:val="ru-RU"/>
        </w:rPr>
        <w:t xml:space="preserve"> (</w:t>
      </w:r>
      <w:r>
        <w:rPr>
          <w:lang w:val="ru-RU"/>
        </w:rPr>
        <w:t>например</w:t>
      </w:r>
      <w:r w:rsidR="00FA27DB">
        <w:rPr>
          <w:lang w:val="ru-RU"/>
        </w:rPr>
        <w:t>,</w:t>
      </w:r>
      <w:r w:rsidRPr="00A75C43">
        <w:rPr>
          <w:lang w:val="ru-RU"/>
        </w:rPr>
        <w:t xml:space="preserve"> </w:t>
      </w:r>
      <w:r>
        <w:rPr>
          <w:lang w:val="ru-RU"/>
        </w:rPr>
        <w:t>роль</w:t>
      </w:r>
      <w:r w:rsidRPr="00A75C43">
        <w:rPr>
          <w:lang w:val="ru-RU"/>
        </w:rPr>
        <w:t xml:space="preserve"> </w:t>
      </w:r>
      <w:r>
        <w:rPr>
          <w:lang w:val="ru-RU"/>
        </w:rPr>
        <w:t>ассоциаций</w:t>
      </w:r>
      <w:r w:rsidRPr="00A75C43">
        <w:rPr>
          <w:lang w:val="ru-RU"/>
        </w:rPr>
        <w:t xml:space="preserve"> </w:t>
      </w:r>
      <w:r>
        <w:rPr>
          <w:lang w:val="ru-RU"/>
        </w:rPr>
        <w:t>фермеров</w:t>
      </w:r>
      <w:r w:rsidR="005853BE" w:rsidRPr="00A75C43">
        <w:rPr>
          <w:lang w:val="ru-RU"/>
        </w:rPr>
        <w:t xml:space="preserve">) </w:t>
      </w:r>
      <w:r w:rsidR="00A75C43">
        <w:rPr>
          <w:lang w:val="ru-RU"/>
        </w:rPr>
        <w:t>и использование</w:t>
      </w:r>
      <w:r w:rsidR="005853BE" w:rsidRPr="00A75C43">
        <w:rPr>
          <w:lang w:val="ru-RU"/>
        </w:rPr>
        <w:t xml:space="preserve"> </w:t>
      </w:r>
      <w:r w:rsidR="00A75C43">
        <w:rPr>
          <w:lang w:val="ru-RU"/>
        </w:rPr>
        <w:t>платформ для обмена знаниями и</w:t>
      </w:r>
      <w:r w:rsidR="005853BE" w:rsidRPr="00A75C43">
        <w:rPr>
          <w:lang w:val="ru-RU"/>
        </w:rPr>
        <w:t xml:space="preserve"> </w:t>
      </w:r>
      <w:r w:rsidR="00A75C43">
        <w:rPr>
          <w:lang w:val="ru-RU"/>
        </w:rPr>
        <w:t>посредников</w:t>
      </w:r>
      <w:r w:rsidR="005853BE" w:rsidRPr="00A75C43">
        <w:rPr>
          <w:lang w:val="ru-RU"/>
        </w:rPr>
        <w:t xml:space="preserve">. </w:t>
      </w:r>
      <w:r w:rsidR="00995A85">
        <w:rPr>
          <w:lang w:val="ru-RU"/>
        </w:rPr>
        <w:t>Управление</w:t>
      </w:r>
      <w:r w:rsidR="00995A85" w:rsidRPr="00B65BD6">
        <w:rPr>
          <w:lang w:val="ru-RU"/>
        </w:rPr>
        <w:t xml:space="preserve"> </w:t>
      </w:r>
      <w:r w:rsidR="00B65BD6">
        <w:rPr>
          <w:lang w:val="ru-RU"/>
        </w:rPr>
        <w:t>знаниями</w:t>
      </w:r>
      <w:r w:rsidR="00B65BD6" w:rsidRPr="00B65BD6">
        <w:rPr>
          <w:lang w:val="ru-RU"/>
        </w:rPr>
        <w:t xml:space="preserve">, </w:t>
      </w:r>
      <w:r w:rsidR="00B65BD6">
        <w:rPr>
          <w:lang w:val="ru-RU"/>
        </w:rPr>
        <w:t>взятое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большинством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заинтересованных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сторон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на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вооружение</w:t>
      </w:r>
      <w:r w:rsidR="00B65BD6" w:rsidRPr="00B65BD6">
        <w:rPr>
          <w:lang w:val="ru-RU"/>
        </w:rPr>
        <w:t xml:space="preserve">, </w:t>
      </w:r>
      <w:r w:rsidR="00B65BD6">
        <w:rPr>
          <w:lang w:val="ru-RU"/>
        </w:rPr>
        <w:t>будет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играть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все</w:t>
      </w:r>
      <w:r w:rsidR="00B65BD6" w:rsidRPr="00B65BD6">
        <w:rPr>
          <w:lang w:val="ru-RU"/>
        </w:rPr>
        <w:t xml:space="preserve"> </w:t>
      </w:r>
      <w:proofErr w:type="gramStart"/>
      <w:r w:rsidR="00B65BD6">
        <w:rPr>
          <w:lang w:val="ru-RU"/>
        </w:rPr>
        <w:t>более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решающую</w:t>
      </w:r>
      <w:proofErr w:type="gramEnd"/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роль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для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устойчивого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развития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аквакультуры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и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достижения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целей</w:t>
      </w:r>
      <w:r w:rsidR="00B65BD6" w:rsidRPr="00B65BD6">
        <w:rPr>
          <w:lang w:val="ru-RU"/>
        </w:rPr>
        <w:t xml:space="preserve">, </w:t>
      </w:r>
      <w:r w:rsidR="00B65BD6">
        <w:rPr>
          <w:lang w:val="ru-RU"/>
        </w:rPr>
        <w:t>поставленных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на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 xml:space="preserve">Киотской конференции по </w:t>
      </w:r>
      <w:proofErr w:type="spellStart"/>
      <w:r w:rsidR="00B65BD6">
        <w:rPr>
          <w:lang w:val="ru-RU"/>
        </w:rPr>
        <w:t>аквакультуре</w:t>
      </w:r>
      <w:proofErr w:type="spellEnd"/>
      <w:r w:rsidR="00B65BD6">
        <w:rPr>
          <w:lang w:val="ru-RU"/>
        </w:rPr>
        <w:t xml:space="preserve"> в </w:t>
      </w:r>
      <w:r w:rsidR="005853BE" w:rsidRPr="00B65BD6">
        <w:rPr>
          <w:lang w:val="ru-RU"/>
        </w:rPr>
        <w:t>1976</w:t>
      </w:r>
      <w:r w:rsidR="000475CD">
        <w:rPr>
          <w:lang w:val="ru-RU"/>
        </w:rPr>
        <w:t> </w:t>
      </w:r>
      <w:r w:rsidR="00B65BD6">
        <w:rPr>
          <w:lang w:val="ru-RU"/>
        </w:rPr>
        <w:t xml:space="preserve">году и подкрепленных </w:t>
      </w:r>
      <w:proofErr w:type="spellStart"/>
      <w:r w:rsidR="00B65BD6">
        <w:rPr>
          <w:lang w:val="ru-RU"/>
        </w:rPr>
        <w:t>Бангкокской</w:t>
      </w:r>
      <w:proofErr w:type="spellEnd"/>
      <w:r w:rsidR="00B65BD6">
        <w:rPr>
          <w:lang w:val="ru-RU"/>
        </w:rPr>
        <w:t xml:space="preserve"> декларацией в </w:t>
      </w:r>
      <w:r w:rsidR="005853BE" w:rsidRPr="00B65BD6">
        <w:rPr>
          <w:lang w:val="ru-RU"/>
        </w:rPr>
        <w:t xml:space="preserve"> 2000</w:t>
      </w:r>
      <w:r w:rsidR="000475CD">
        <w:rPr>
          <w:lang w:val="ru-RU"/>
        </w:rPr>
        <w:t> </w:t>
      </w:r>
      <w:r w:rsidR="00B65BD6">
        <w:rPr>
          <w:lang w:val="ru-RU"/>
        </w:rPr>
        <w:t>году</w:t>
      </w:r>
      <w:r w:rsidR="005853BE" w:rsidRPr="003779A2">
        <w:rPr>
          <w:rStyle w:val="FootnoteReference"/>
          <w:rFonts w:ascii="Times New Roman" w:hAnsi="Times New Roman" w:cs="Times New Roman"/>
          <w:sz w:val="22"/>
          <w:szCs w:val="22"/>
        </w:rPr>
        <w:footnoteReference w:id="12"/>
      </w:r>
      <w:r w:rsidR="005853BE" w:rsidRPr="00B65BD6">
        <w:rPr>
          <w:lang w:val="ru-RU"/>
        </w:rPr>
        <w:t>.</w:t>
      </w:r>
    </w:p>
    <w:p w:rsidR="005853BE" w:rsidRPr="00B65BD6" w:rsidRDefault="005853BE" w:rsidP="005853BE">
      <w:pPr>
        <w:rPr>
          <w:lang w:val="ru-RU"/>
        </w:rPr>
      </w:pPr>
    </w:p>
    <w:p w:rsidR="005853BE" w:rsidRPr="00E87184" w:rsidRDefault="00B65BD6" w:rsidP="005853BE">
      <w:pPr>
        <w:pStyle w:val="NewPara"/>
        <w:jc w:val="both"/>
        <w:rPr>
          <w:lang w:val="ru-RU"/>
        </w:rPr>
      </w:pPr>
      <w:r>
        <w:rPr>
          <w:lang w:val="ru-RU"/>
        </w:rPr>
        <w:t>Имеются</w:t>
      </w:r>
      <w:r w:rsidRPr="000B22FA">
        <w:rPr>
          <w:lang w:val="ru-RU"/>
        </w:rPr>
        <w:t xml:space="preserve"> </w:t>
      </w:r>
      <w:r>
        <w:rPr>
          <w:lang w:val="ru-RU"/>
        </w:rPr>
        <w:t>хорошие</w:t>
      </w:r>
      <w:r w:rsidRPr="000B22FA">
        <w:rPr>
          <w:lang w:val="ru-RU"/>
        </w:rPr>
        <w:t xml:space="preserve"> </w:t>
      </w:r>
      <w:r>
        <w:rPr>
          <w:lang w:val="ru-RU"/>
        </w:rPr>
        <w:t>примеры</w:t>
      </w:r>
      <w:r w:rsidR="000B22FA">
        <w:rPr>
          <w:lang w:val="ru-RU"/>
        </w:rPr>
        <w:t xml:space="preserve"> того, как можно производить больше при меньших затратах</w:t>
      </w:r>
      <w:r w:rsidR="005853BE" w:rsidRPr="000B22FA">
        <w:rPr>
          <w:lang w:val="ru-RU"/>
        </w:rPr>
        <w:t xml:space="preserve"> </w:t>
      </w:r>
      <w:r w:rsidR="000B22FA">
        <w:rPr>
          <w:lang w:val="ru-RU"/>
        </w:rPr>
        <w:t>в</w:t>
      </w:r>
      <w:r w:rsidR="005853BE" w:rsidRPr="000B22FA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0B22FA">
        <w:rPr>
          <w:lang w:val="ru-RU"/>
        </w:rPr>
        <w:t xml:space="preserve"> </w:t>
      </w:r>
      <w:r>
        <w:rPr>
          <w:lang w:val="ru-RU"/>
        </w:rPr>
        <w:t>новых</w:t>
      </w:r>
      <w:r w:rsidRPr="000B22FA">
        <w:rPr>
          <w:lang w:val="ru-RU"/>
        </w:rPr>
        <w:t xml:space="preserve"> </w:t>
      </w:r>
      <w:r>
        <w:rPr>
          <w:lang w:val="ru-RU"/>
        </w:rPr>
        <w:t>знаний</w:t>
      </w:r>
      <w:r w:rsidRPr="000B22FA">
        <w:rPr>
          <w:lang w:val="ru-RU"/>
        </w:rPr>
        <w:t xml:space="preserve">. </w:t>
      </w:r>
      <w:proofErr w:type="gramStart"/>
      <w:r>
        <w:rPr>
          <w:lang w:val="ru-RU"/>
        </w:rPr>
        <w:t>Хозяйства, выращивающие атлантического лосося,</w:t>
      </w:r>
      <w:r w:rsidR="005853BE" w:rsidRPr="00A72DDC">
        <w:rPr>
          <w:lang w:val="ru-RU"/>
        </w:rPr>
        <w:t xml:space="preserve"> </w:t>
      </w:r>
      <w:r w:rsidR="00A72DDC">
        <w:rPr>
          <w:lang w:val="ru-RU"/>
        </w:rPr>
        <w:t>за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последние</w:t>
      </w:r>
      <w:r w:rsidR="00A72DDC" w:rsidRPr="00A72DDC">
        <w:rPr>
          <w:lang w:val="ru-RU"/>
        </w:rPr>
        <w:t xml:space="preserve"> </w:t>
      </w:r>
      <w:r w:rsidR="000475CD">
        <w:rPr>
          <w:lang w:val="ru-RU"/>
        </w:rPr>
        <w:t>30 </w:t>
      </w:r>
      <w:r w:rsidR="00A72DDC">
        <w:rPr>
          <w:lang w:val="ru-RU"/>
        </w:rPr>
        <w:t>лет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добились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значительного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роста</w:t>
      </w:r>
      <w:r w:rsidR="005853BE" w:rsidRPr="00A72DDC">
        <w:rPr>
          <w:lang w:val="ru-RU"/>
        </w:rPr>
        <w:t xml:space="preserve"> </w:t>
      </w:r>
      <w:r w:rsidR="00A72DDC">
        <w:rPr>
          <w:lang w:val="ru-RU"/>
        </w:rPr>
        <w:t>эффективности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использования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кормов</w:t>
      </w:r>
      <w:r w:rsidR="005853BE" w:rsidRPr="00A72DDC">
        <w:rPr>
          <w:lang w:val="ru-RU"/>
        </w:rPr>
        <w:t xml:space="preserve"> (</w:t>
      </w:r>
      <w:r w:rsidR="00A72DDC">
        <w:rPr>
          <w:lang w:val="ru-RU"/>
        </w:rPr>
        <w:t>кг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живого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привеса</w:t>
      </w:r>
      <w:r w:rsidR="00A72DDC" w:rsidRPr="00A72DDC">
        <w:rPr>
          <w:lang w:val="ru-RU"/>
        </w:rPr>
        <w:t>/</w:t>
      </w:r>
      <w:r w:rsidR="00A72DDC">
        <w:rPr>
          <w:lang w:val="ru-RU"/>
        </w:rPr>
        <w:t>кг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сухих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кормов</w:t>
      </w:r>
      <w:r w:rsidR="005853BE" w:rsidRPr="00A72DDC">
        <w:rPr>
          <w:lang w:val="ru-RU"/>
        </w:rPr>
        <w:t xml:space="preserve">) </w:t>
      </w:r>
      <w:r w:rsidR="000B22FA">
        <w:rPr>
          <w:lang w:val="ru-RU"/>
        </w:rPr>
        <w:t xml:space="preserve">– с </w:t>
      </w:r>
      <w:r>
        <w:rPr>
          <w:lang w:val="ru-RU"/>
        </w:rPr>
        <w:t xml:space="preserve">коэффициента </w:t>
      </w:r>
      <w:r w:rsidR="00A72DDC">
        <w:rPr>
          <w:lang w:val="ru-RU"/>
        </w:rPr>
        <w:t>менее</w:t>
      </w:r>
      <w:r w:rsidR="00A72DDC" w:rsidRPr="00A72DDC">
        <w:rPr>
          <w:lang w:val="ru-RU"/>
        </w:rPr>
        <w:t xml:space="preserve"> 0,3 </w:t>
      </w:r>
      <w:r w:rsidR="00A72DDC">
        <w:rPr>
          <w:lang w:val="ru-RU"/>
        </w:rPr>
        <w:t>в</w:t>
      </w:r>
      <w:r w:rsidR="00A72DDC" w:rsidRPr="00A72DDC">
        <w:rPr>
          <w:lang w:val="ru-RU"/>
        </w:rPr>
        <w:t xml:space="preserve"> </w:t>
      </w:r>
      <w:r w:rsidR="005853BE" w:rsidRPr="00A72DDC">
        <w:rPr>
          <w:lang w:val="ru-RU"/>
        </w:rPr>
        <w:t>1975</w:t>
      </w:r>
      <w:r w:rsidR="000475CD">
        <w:rPr>
          <w:lang w:val="ru-RU"/>
        </w:rPr>
        <w:t> </w:t>
      </w:r>
      <w:r w:rsidR="00A72DDC">
        <w:rPr>
          <w:lang w:val="ru-RU"/>
        </w:rPr>
        <w:t>году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до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приблизительно</w:t>
      </w:r>
      <w:r w:rsidR="00A72DDC" w:rsidRPr="00A72DDC">
        <w:rPr>
          <w:lang w:val="ru-RU"/>
        </w:rPr>
        <w:t xml:space="preserve"> </w:t>
      </w:r>
      <w:r w:rsidR="005853BE" w:rsidRPr="00A72DDC">
        <w:rPr>
          <w:lang w:val="ru-RU"/>
        </w:rPr>
        <w:t>0</w:t>
      </w:r>
      <w:r w:rsidR="00A72DDC" w:rsidRPr="00A72DDC">
        <w:rPr>
          <w:lang w:val="ru-RU"/>
        </w:rPr>
        <w:t>,</w:t>
      </w:r>
      <w:r w:rsidR="005853BE" w:rsidRPr="00A72DDC">
        <w:rPr>
          <w:lang w:val="ru-RU"/>
        </w:rPr>
        <w:t xml:space="preserve">85 </w:t>
      </w:r>
      <w:r w:rsidR="00A72DDC">
        <w:rPr>
          <w:lang w:val="ru-RU"/>
        </w:rPr>
        <w:t>в</w:t>
      </w:r>
      <w:r w:rsidR="005853BE" w:rsidRPr="00A72DDC">
        <w:rPr>
          <w:lang w:val="ru-RU"/>
        </w:rPr>
        <w:t xml:space="preserve"> 2010</w:t>
      </w:r>
      <w:r w:rsidR="00A72DDC" w:rsidRPr="00A72DDC">
        <w:rPr>
          <w:lang w:val="ru-RU"/>
        </w:rPr>
        <w:t xml:space="preserve"> </w:t>
      </w:r>
      <w:r w:rsidR="00A72DDC">
        <w:rPr>
          <w:lang w:val="ru-RU"/>
        </w:rPr>
        <w:t>году</w:t>
      </w:r>
      <w:r w:rsidR="005853BE" w:rsidRPr="00454044">
        <w:rPr>
          <w:vertAlign w:val="superscript"/>
        </w:rPr>
        <w:footnoteReference w:id="13"/>
      </w:r>
      <w:r w:rsidR="005853BE" w:rsidRPr="00A72DDC">
        <w:rPr>
          <w:lang w:val="ru-RU"/>
        </w:rPr>
        <w:t>.</w:t>
      </w:r>
      <w:r w:rsidR="00A72DDC">
        <w:rPr>
          <w:lang w:val="ru-RU"/>
        </w:rPr>
        <w:t xml:space="preserve"> Аналогично</w:t>
      </w:r>
      <w:r w:rsidR="00A72DDC" w:rsidRPr="00E87184">
        <w:rPr>
          <w:lang w:val="ru-RU"/>
        </w:rPr>
        <w:t xml:space="preserve">, </w:t>
      </w:r>
      <w:r w:rsidR="00387A4E">
        <w:rPr>
          <w:lang w:val="ru-RU"/>
        </w:rPr>
        <w:t>стоимость</w:t>
      </w:r>
      <w:r w:rsidR="00387A4E" w:rsidRPr="00E87184">
        <w:rPr>
          <w:lang w:val="ru-RU"/>
        </w:rPr>
        <w:t xml:space="preserve"> </w:t>
      </w:r>
      <w:r>
        <w:rPr>
          <w:lang w:val="ru-RU"/>
        </w:rPr>
        <w:t>кормов на килограмм атлантического лосося,</w:t>
      </w:r>
      <w:r w:rsidR="005853BE" w:rsidRPr="00E87184">
        <w:rPr>
          <w:lang w:val="ru-RU"/>
        </w:rPr>
        <w:t xml:space="preserve"> </w:t>
      </w:r>
      <w:r w:rsidR="00E87184">
        <w:rPr>
          <w:lang w:val="ru-RU"/>
        </w:rPr>
        <w:t>выращенного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 xml:space="preserve">в Норвегии, снизилась с </w:t>
      </w:r>
      <w:r w:rsidR="005853BE" w:rsidRPr="00E87184">
        <w:rPr>
          <w:lang w:val="ru-RU"/>
        </w:rPr>
        <w:t>3</w:t>
      </w:r>
      <w:r w:rsidR="00E87184">
        <w:rPr>
          <w:lang w:val="ru-RU"/>
        </w:rPr>
        <w:t>,</w:t>
      </w:r>
      <w:r w:rsidR="005853BE" w:rsidRPr="00E87184">
        <w:rPr>
          <w:lang w:val="ru-RU"/>
        </w:rPr>
        <w:t>5</w:t>
      </w:r>
      <w:r w:rsidR="000475CD">
        <w:rPr>
          <w:lang w:val="ru-RU"/>
        </w:rPr>
        <w:t> </w:t>
      </w:r>
      <w:r w:rsidR="00FA27DB">
        <w:rPr>
          <w:lang w:val="ru-RU"/>
        </w:rPr>
        <w:t>долл. США в</w:t>
      </w:r>
      <w:r w:rsidR="005853BE" w:rsidRPr="00E87184">
        <w:rPr>
          <w:lang w:val="ru-RU"/>
        </w:rPr>
        <w:t xml:space="preserve"> 1985</w:t>
      </w:r>
      <w:r w:rsidR="000475CD">
        <w:rPr>
          <w:lang w:val="ru-RU"/>
        </w:rPr>
        <w:t> </w:t>
      </w:r>
      <w:r w:rsidR="00FA27DB">
        <w:rPr>
          <w:lang w:val="ru-RU"/>
        </w:rPr>
        <w:t xml:space="preserve">году до </w:t>
      </w:r>
      <w:r w:rsidR="005853BE" w:rsidRPr="00E87184">
        <w:rPr>
          <w:lang w:val="ru-RU"/>
        </w:rPr>
        <w:t>1</w:t>
      </w:r>
      <w:r w:rsidR="00FA27DB">
        <w:rPr>
          <w:lang w:val="ru-RU"/>
        </w:rPr>
        <w:t>,</w:t>
      </w:r>
      <w:r w:rsidR="005853BE" w:rsidRPr="00E87184">
        <w:rPr>
          <w:lang w:val="ru-RU"/>
        </w:rPr>
        <w:t>5</w:t>
      </w:r>
      <w:r w:rsidR="000475CD">
        <w:rPr>
          <w:lang w:val="ru-RU"/>
        </w:rPr>
        <w:t> </w:t>
      </w:r>
      <w:r w:rsidR="00FA27DB">
        <w:rPr>
          <w:lang w:val="ru-RU"/>
        </w:rPr>
        <w:t>долл. США в 2006</w:t>
      </w:r>
      <w:r w:rsidR="000475CD">
        <w:rPr>
          <w:lang w:val="ru-RU"/>
        </w:rPr>
        <w:t> </w:t>
      </w:r>
      <w:r w:rsidR="00FA27DB">
        <w:rPr>
          <w:lang w:val="ru-RU"/>
        </w:rPr>
        <w:t>году</w:t>
      </w:r>
      <w:r w:rsidR="005853BE" w:rsidRPr="00E87184">
        <w:rPr>
          <w:lang w:val="ru-RU"/>
        </w:rPr>
        <w:t xml:space="preserve"> 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в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результате</w:t>
      </w:r>
      <w:proofErr w:type="gramEnd"/>
      <w:r w:rsidR="00387A4E" w:rsidRPr="00E87184">
        <w:rPr>
          <w:lang w:val="ru-RU"/>
        </w:rPr>
        <w:t xml:space="preserve"> </w:t>
      </w:r>
      <w:proofErr w:type="gramStart"/>
      <w:r w:rsidR="00387A4E">
        <w:rPr>
          <w:lang w:val="ru-RU"/>
        </w:rPr>
        <w:t>улучшения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качества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кормов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и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управления</w:t>
      </w:r>
      <w:r w:rsidR="00387A4E" w:rsidRPr="00E87184">
        <w:rPr>
          <w:lang w:val="ru-RU"/>
        </w:rPr>
        <w:t xml:space="preserve"> </w:t>
      </w:r>
      <w:r w:rsidR="00387A4E">
        <w:rPr>
          <w:lang w:val="ru-RU"/>
        </w:rPr>
        <w:t>кормами</w:t>
      </w:r>
      <w:r w:rsidR="005853BE" w:rsidRPr="00454044">
        <w:rPr>
          <w:vertAlign w:val="superscript"/>
        </w:rPr>
        <w:footnoteReference w:id="14"/>
      </w:r>
      <w:r w:rsidR="005853BE" w:rsidRPr="00E87184">
        <w:rPr>
          <w:lang w:val="ru-RU"/>
        </w:rPr>
        <w:t xml:space="preserve">. </w:t>
      </w:r>
      <w:r w:rsidR="00387A4E">
        <w:rPr>
          <w:lang w:val="ru-RU"/>
        </w:rPr>
        <w:t>Культивируемый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лосось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производит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меньше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выбросов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парниковых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газов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на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килограмм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веса</w:t>
      </w:r>
      <w:r w:rsidR="00387A4E" w:rsidRPr="00387A4E">
        <w:rPr>
          <w:lang w:val="ru-RU"/>
        </w:rPr>
        <w:t xml:space="preserve">, </w:t>
      </w:r>
      <w:r w:rsidR="00387A4E">
        <w:rPr>
          <w:lang w:val="ru-RU"/>
        </w:rPr>
        <w:t>чем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большинство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других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видов вск</w:t>
      </w:r>
      <w:r>
        <w:rPr>
          <w:lang w:val="ru-RU"/>
        </w:rPr>
        <w:t>ар</w:t>
      </w:r>
      <w:r w:rsidR="00387A4E">
        <w:rPr>
          <w:lang w:val="ru-RU"/>
        </w:rPr>
        <w:t>мливаемой рыб</w:t>
      </w:r>
      <w:r>
        <w:rPr>
          <w:lang w:val="ru-RU"/>
        </w:rPr>
        <w:t>ы</w:t>
      </w:r>
      <w:r w:rsidR="00387A4E">
        <w:rPr>
          <w:lang w:val="ru-RU"/>
        </w:rPr>
        <w:t xml:space="preserve"> и креветок</w:t>
      </w:r>
      <w:r w:rsidR="005853BE" w:rsidRPr="00454044">
        <w:rPr>
          <w:vertAlign w:val="superscript"/>
        </w:rPr>
        <w:footnoteReference w:id="15"/>
      </w:r>
      <w:r w:rsidR="005853BE" w:rsidRPr="00387A4E">
        <w:rPr>
          <w:lang w:val="ru-RU"/>
        </w:rPr>
        <w:t xml:space="preserve">. </w:t>
      </w:r>
      <w:r w:rsidR="00387A4E">
        <w:rPr>
          <w:lang w:val="ru-RU"/>
        </w:rPr>
        <w:t>Другие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примеры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включают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резк</w:t>
      </w:r>
      <w:r w:rsidR="000B22FA">
        <w:rPr>
          <w:lang w:val="ru-RU"/>
        </w:rPr>
        <w:t>ое снижение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использовани</w:t>
      </w:r>
      <w:r w:rsidR="000B22FA">
        <w:rPr>
          <w:lang w:val="ru-RU"/>
        </w:rPr>
        <w:t>я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рыбной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муки</w:t>
      </w:r>
      <w:r w:rsidR="00387A4E" w:rsidRPr="00387A4E">
        <w:rPr>
          <w:lang w:val="ru-RU"/>
        </w:rPr>
        <w:t xml:space="preserve"> </w:t>
      </w:r>
      <w:r w:rsidR="005853BE" w:rsidRPr="00387A4E">
        <w:rPr>
          <w:lang w:val="ru-RU"/>
        </w:rPr>
        <w:t>(</w:t>
      </w:r>
      <w:r w:rsidR="00387A4E">
        <w:rPr>
          <w:lang w:val="ru-RU"/>
        </w:rPr>
        <w:t>с</w:t>
      </w:r>
      <w:r w:rsidR="00387A4E" w:rsidRPr="00387A4E">
        <w:rPr>
          <w:lang w:val="ru-RU"/>
        </w:rPr>
        <w:t xml:space="preserve"> </w:t>
      </w:r>
      <w:r w:rsidR="005853BE" w:rsidRPr="00387A4E">
        <w:rPr>
          <w:lang w:val="ru-RU"/>
        </w:rPr>
        <w:t>45</w:t>
      </w:r>
      <w:r w:rsidR="00387A4E" w:rsidRPr="00387A4E">
        <w:rPr>
          <w:lang w:val="ru-RU"/>
        </w:rPr>
        <w:t xml:space="preserve">% </w:t>
      </w:r>
      <w:r w:rsidR="00387A4E">
        <w:rPr>
          <w:lang w:val="ru-RU"/>
        </w:rPr>
        <w:t>в</w:t>
      </w:r>
      <w:r w:rsidR="005853BE" w:rsidRPr="00387A4E">
        <w:rPr>
          <w:lang w:val="ru-RU"/>
        </w:rPr>
        <w:t xml:space="preserve"> 1995</w:t>
      </w:r>
      <w:r w:rsidR="000475CD">
        <w:rPr>
          <w:lang w:val="ru-RU"/>
        </w:rPr>
        <w:t> </w:t>
      </w:r>
      <w:r w:rsidR="00387A4E">
        <w:rPr>
          <w:lang w:val="ru-RU"/>
        </w:rPr>
        <w:t>году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до</w:t>
      </w:r>
      <w:r w:rsidR="00387A4E" w:rsidRPr="00387A4E">
        <w:rPr>
          <w:lang w:val="ru-RU"/>
        </w:rPr>
        <w:t xml:space="preserve"> </w:t>
      </w:r>
      <w:r w:rsidR="005853BE" w:rsidRPr="00387A4E">
        <w:rPr>
          <w:lang w:val="ru-RU"/>
        </w:rPr>
        <w:t>25</w:t>
      </w:r>
      <w:r w:rsidR="00387A4E" w:rsidRPr="00387A4E">
        <w:rPr>
          <w:lang w:val="ru-RU"/>
        </w:rPr>
        <w:t xml:space="preserve">% </w:t>
      </w:r>
      <w:r w:rsidR="00387A4E">
        <w:rPr>
          <w:lang w:val="ru-RU"/>
        </w:rPr>
        <w:t>в</w:t>
      </w:r>
      <w:r w:rsidR="005853BE" w:rsidRPr="00387A4E">
        <w:rPr>
          <w:lang w:val="ru-RU"/>
        </w:rPr>
        <w:t xml:space="preserve"> 2008</w:t>
      </w:r>
      <w:r w:rsidR="000475CD">
        <w:rPr>
          <w:lang w:val="ru-RU"/>
        </w:rPr>
        <w:t> </w:t>
      </w:r>
      <w:r w:rsidR="00387A4E">
        <w:rPr>
          <w:lang w:val="ru-RU"/>
        </w:rPr>
        <w:t>году</w:t>
      </w:r>
      <w:r w:rsidR="005853BE" w:rsidRPr="00387A4E">
        <w:rPr>
          <w:lang w:val="ru-RU"/>
        </w:rPr>
        <w:t xml:space="preserve">, </w:t>
      </w:r>
      <w:r w:rsidR="00387A4E">
        <w:rPr>
          <w:lang w:val="ru-RU"/>
        </w:rPr>
        <w:t>с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прогнозируемым снижением до 12% в 2020</w:t>
      </w:r>
      <w:r w:rsidR="000475CD">
        <w:rPr>
          <w:lang w:val="ru-RU"/>
        </w:rPr>
        <w:t> </w:t>
      </w:r>
      <w:r w:rsidR="00387A4E">
        <w:rPr>
          <w:lang w:val="ru-RU"/>
        </w:rPr>
        <w:t>году</w:t>
      </w:r>
      <w:r w:rsidR="005853BE" w:rsidRPr="00387A4E">
        <w:rPr>
          <w:lang w:val="ru-RU"/>
        </w:rPr>
        <w:t xml:space="preserve">) </w:t>
      </w:r>
      <w:r w:rsidR="00387A4E">
        <w:rPr>
          <w:lang w:val="ru-RU"/>
        </w:rPr>
        <w:t>в рационе лосося при росте использования кормовых ингредиентов</w:t>
      </w:r>
      <w:r>
        <w:rPr>
          <w:lang w:val="ru-RU"/>
        </w:rPr>
        <w:t xml:space="preserve"> </w:t>
      </w:r>
      <w:r w:rsidR="00387A4E">
        <w:rPr>
          <w:lang w:val="ru-RU"/>
        </w:rPr>
        <w:t>наземного происхождения</w:t>
      </w:r>
      <w:proofErr w:type="gramEnd"/>
      <w:r w:rsidR="005853BE" w:rsidRPr="007101E3">
        <w:rPr>
          <w:rStyle w:val="FootnoteReference"/>
          <w:rFonts w:ascii="Times New Roman" w:hAnsi="Times New Roman" w:cs="Times New Roman"/>
          <w:sz w:val="22"/>
          <w:szCs w:val="22"/>
        </w:rPr>
        <w:footnoteReference w:id="16"/>
      </w:r>
      <w:r w:rsidR="005853BE" w:rsidRPr="00387A4E">
        <w:rPr>
          <w:lang w:val="ru-RU"/>
        </w:rPr>
        <w:t xml:space="preserve">. </w:t>
      </w:r>
      <w:r w:rsidR="00387A4E">
        <w:rPr>
          <w:lang w:val="ru-RU"/>
        </w:rPr>
        <w:t>Такие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технологические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улучшения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стали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возможными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благодаря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исследованиям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в</w:t>
      </w:r>
      <w:r w:rsidR="00387A4E" w:rsidRPr="00387A4E">
        <w:rPr>
          <w:lang w:val="ru-RU"/>
        </w:rPr>
        <w:t xml:space="preserve"> </w:t>
      </w:r>
      <w:r w:rsidR="00387A4E">
        <w:rPr>
          <w:lang w:val="ru-RU"/>
        </w:rPr>
        <w:t>области генетики, кормов и питания, а также инновациям</w:t>
      </w:r>
      <w:r w:rsidR="005853BE" w:rsidRPr="0073118D">
        <w:rPr>
          <w:vertAlign w:val="superscript"/>
        </w:rPr>
        <w:footnoteReference w:id="17"/>
      </w:r>
      <w:r w:rsidR="005853BE" w:rsidRPr="00387A4E">
        <w:rPr>
          <w:lang w:val="ru-RU"/>
        </w:rPr>
        <w:t xml:space="preserve">. </w:t>
      </w:r>
      <w:r w:rsidR="00E87184">
        <w:rPr>
          <w:lang w:val="ru-RU"/>
        </w:rPr>
        <w:t>Еще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один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пример</w:t>
      </w:r>
      <w:r w:rsidR="00E87184" w:rsidRPr="00E87184">
        <w:rPr>
          <w:lang w:val="ru-RU"/>
        </w:rPr>
        <w:t xml:space="preserve"> – </w:t>
      </w:r>
      <w:r w:rsidR="00E87184">
        <w:rPr>
          <w:lang w:val="ru-RU"/>
        </w:rPr>
        <w:t>снижение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применения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антибиотиков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благодаря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применению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вакцин</w:t>
      </w:r>
      <w:r w:rsidR="00E87184" w:rsidRPr="00E87184">
        <w:rPr>
          <w:lang w:val="ru-RU"/>
        </w:rPr>
        <w:t xml:space="preserve">, </w:t>
      </w:r>
      <w:r w:rsidR="00E87184">
        <w:rPr>
          <w:lang w:val="ru-RU"/>
        </w:rPr>
        <w:t>разработанных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в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результате исследований, финансировавшихся за счет целевых инвестиций в управление зд</w:t>
      </w:r>
      <w:r w:rsidR="000B22FA">
        <w:rPr>
          <w:lang w:val="ru-RU"/>
        </w:rPr>
        <w:t>оровьем</w:t>
      </w:r>
      <w:r w:rsidR="00E87184">
        <w:rPr>
          <w:lang w:val="ru-RU"/>
        </w:rPr>
        <w:t xml:space="preserve"> (гла</w:t>
      </w:r>
      <w:r w:rsidR="00076ECF">
        <w:rPr>
          <w:lang w:val="ru-RU"/>
        </w:rPr>
        <w:t>вным</w:t>
      </w:r>
      <w:r w:rsidR="00076ECF" w:rsidRPr="00E87184">
        <w:rPr>
          <w:lang w:val="ru-RU"/>
        </w:rPr>
        <w:t xml:space="preserve"> </w:t>
      </w:r>
      <w:r w:rsidR="00076ECF">
        <w:rPr>
          <w:lang w:val="ru-RU"/>
        </w:rPr>
        <w:t>образом</w:t>
      </w:r>
      <w:r w:rsidR="00076ECF" w:rsidRPr="00E87184">
        <w:rPr>
          <w:lang w:val="ru-RU"/>
        </w:rPr>
        <w:t xml:space="preserve"> </w:t>
      </w:r>
      <w:r w:rsidR="00076ECF">
        <w:rPr>
          <w:lang w:val="ru-RU"/>
        </w:rPr>
        <w:t>в</w:t>
      </w:r>
      <w:r w:rsidR="00076ECF" w:rsidRPr="00E87184">
        <w:rPr>
          <w:lang w:val="ru-RU"/>
        </w:rPr>
        <w:t xml:space="preserve"> </w:t>
      </w:r>
      <w:r w:rsidR="00076ECF">
        <w:rPr>
          <w:lang w:val="ru-RU"/>
        </w:rPr>
        <w:t>Норвегии</w:t>
      </w:r>
      <w:r w:rsidR="005853BE" w:rsidRPr="00E87184">
        <w:rPr>
          <w:lang w:val="ru-RU"/>
        </w:rPr>
        <w:t xml:space="preserve">). </w:t>
      </w:r>
      <w:r w:rsidR="00E87184">
        <w:rPr>
          <w:lang w:val="ru-RU"/>
        </w:rPr>
        <w:t>Эти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инновации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были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переданы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в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другие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страны</w:t>
      </w:r>
      <w:r w:rsidR="00E87184" w:rsidRPr="00E87184">
        <w:rPr>
          <w:lang w:val="ru-RU"/>
        </w:rPr>
        <w:t xml:space="preserve"> (</w:t>
      </w:r>
      <w:r w:rsidR="00E87184">
        <w:rPr>
          <w:lang w:val="ru-RU"/>
        </w:rPr>
        <w:t>например</w:t>
      </w:r>
      <w:r w:rsidR="00E87184" w:rsidRPr="00E87184">
        <w:rPr>
          <w:lang w:val="ru-RU"/>
        </w:rPr>
        <w:t xml:space="preserve">, </w:t>
      </w:r>
      <w:r w:rsidR="00E87184">
        <w:rPr>
          <w:lang w:val="ru-RU"/>
        </w:rPr>
        <w:t>Чили</w:t>
      </w:r>
      <w:r w:rsidR="00E87184" w:rsidRPr="00E87184">
        <w:rPr>
          <w:lang w:val="ru-RU"/>
        </w:rPr>
        <w:t xml:space="preserve">) </w:t>
      </w:r>
      <w:r w:rsidR="00E87184">
        <w:rPr>
          <w:lang w:val="ru-RU"/>
        </w:rPr>
        <w:t>частным</w:t>
      </w:r>
      <w:r w:rsidR="00E87184" w:rsidRPr="00E87184">
        <w:rPr>
          <w:lang w:val="ru-RU"/>
        </w:rPr>
        <w:t xml:space="preserve"> </w:t>
      </w:r>
      <w:r w:rsidR="00E87184">
        <w:rPr>
          <w:lang w:val="ru-RU"/>
        </w:rPr>
        <w:t>сектором</w:t>
      </w:r>
      <w:r w:rsidR="005853BE" w:rsidRPr="00E87184">
        <w:rPr>
          <w:lang w:val="ru-RU"/>
        </w:rPr>
        <w:t>.</w:t>
      </w:r>
    </w:p>
    <w:p w:rsidR="005853BE" w:rsidRPr="00B65BD6" w:rsidRDefault="005853BE" w:rsidP="005853BE">
      <w:pPr>
        <w:rPr>
          <w:rFonts w:cs="Times New Roman"/>
          <w:lang w:val="ru-RU"/>
        </w:rPr>
      </w:pPr>
    </w:p>
    <w:p w:rsidR="005853BE" w:rsidRPr="00B65BD6" w:rsidRDefault="00B65BD6" w:rsidP="005853BE">
      <w:pPr>
        <w:pStyle w:val="Heading2"/>
        <w:numPr>
          <w:ilvl w:val="0"/>
          <w:numId w:val="0"/>
        </w:numPr>
        <w:ind w:left="709" w:hanging="708"/>
        <w:jc w:val="left"/>
        <w:rPr>
          <w:rFonts w:ascii="Times New Roman" w:hAnsi="Times New Roman" w:cs="Times New Roman"/>
          <w:lang w:val="ru-RU"/>
        </w:rPr>
      </w:pPr>
      <w:r w:rsidRPr="00B65BD6">
        <w:rPr>
          <w:rFonts w:ascii="Times New Roman" w:hAnsi="Times New Roman" w:cs="Times New Roman"/>
          <w:lang w:val="ru-RU"/>
        </w:rPr>
        <w:t xml:space="preserve">СТРАТЕГИЯ РАЗВИТИЯ АКВАКУЛЬТУРЫ В ПЕРИОД ПОСЛЕ </w:t>
      </w:r>
      <w:r w:rsidR="005853BE" w:rsidRPr="00B65BD6">
        <w:rPr>
          <w:rFonts w:ascii="Times New Roman" w:hAnsi="Times New Roman" w:cs="Times New Roman"/>
          <w:lang w:val="ru-RU"/>
        </w:rPr>
        <w:t>2000</w:t>
      </w:r>
      <w:r w:rsidRPr="00B65BD6">
        <w:rPr>
          <w:rFonts w:ascii="Times New Roman" w:hAnsi="Times New Roman" w:cs="Times New Roman"/>
          <w:lang w:val="ru-RU"/>
        </w:rPr>
        <w:t xml:space="preserve"> ГОДА</w:t>
      </w:r>
    </w:p>
    <w:p w:rsidR="005853BE" w:rsidRPr="00B65BD6" w:rsidRDefault="005853BE" w:rsidP="005853BE">
      <w:pPr>
        <w:rPr>
          <w:lang w:val="ru-RU"/>
        </w:rPr>
      </w:pPr>
    </w:p>
    <w:p w:rsidR="005853BE" w:rsidRPr="00B65BD6" w:rsidRDefault="00A3518B" w:rsidP="003779A2">
      <w:pPr>
        <w:pStyle w:val="NewPara"/>
        <w:jc w:val="both"/>
        <w:rPr>
          <w:lang w:val="ru-RU"/>
        </w:rPr>
      </w:pPr>
      <w:proofErr w:type="spellStart"/>
      <w:r>
        <w:rPr>
          <w:lang w:val="ru-RU"/>
        </w:rPr>
        <w:t>Бангкокская</w:t>
      </w:r>
      <w:proofErr w:type="spellEnd"/>
      <w:r w:rsidRPr="00B65BD6">
        <w:rPr>
          <w:lang w:val="ru-RU"/>
        </w:rPr>
        <w:t xml:space="preserve"> </w:t>
      </w:r>
      <w:r w:rsidR="000475CD">
        <w:rPr>
          <w:lang w:val="ru-RU"/>
        </w:rPr>
        <w:t>декларация</w:t>
      </w:r>
      <w:r w:rsidR="000475CD" w:rsidRPr="00B65BD6">
        <w:rPr>
          <w:lang w:val="ru-RU"/>
        </w:rPr>
        <w:t xml:space="preserve"> </w:t>
      </w:r>
      <w:r>
        <w:rPr>
          <w:lang w:val="ru-RU"/>
        </w:rPr>
        <w:t>и</w:t>
      </w:r>
      <w:r w:rsidRPr="00B65BD6">
        <w:rPr>
          <w:lang w:val="ru-RU"/>
        </w:rPr>
        <w:t xml:space="preserve"> </w:t>
      </w:r>
      <w:r w:rsidR="000475CD">
        <w:rPr>
          <w:lang w:val="ru-RU"/>
        </w:rPr>
        <w:t>Стратегия</w:t>
      </w:r>
      <w:r w:rsidR="000475CD" w:rsidRPr="00B65BD6">
        <w:rPr>
          <w:lang w:val="ru-RU"/>
        </w:rPr>
        <w:t xml:space="preserve"> </w:t>
      </w:r>
      <w:r>
        <w:rPr>
          <w:lang w:val="ru-RU"/>
        </w:rPr>
        <w:t>развития</w:t>
      </w:r>
      <w:r w:rsidRPr="00B65BD6">
        <w:rPr>
          <w:lang w:val="ru-RU"/>
        </w:rPr>
        <w:t xml:space="preserve"> </w:t>
      </w:r>
      <w:proofErr w:type="spellStart"/>
      <w:r>
        <w:rPr>
          <w:lang w:val="ru-RU"/>
        </w:rPr>
        <w:t>аквакультуры</w:t>
      </w:r>
      <w:proofErr w:type="spellEnd"/>
      <w:r w:rsidRPr="00B65BD6">
        <w:rPr>
          <w:lang w:val="ru-RU"/>
        </w:rPr>
        <w:t xml:space="preserve"> </w:t>
      </w:r>
      <w:r>
        <w:rPr>
          <w:lang w:val="ru-RU"/>
        </w:rPr>
        <w:t>в</w:t>
      </w:r>
      <w:r w:rsidRPr="00B65BD6">
        <w:rPr>
          <w:lang w:val="ru-RU"/>
        </w:rPr>
        <w:t xml:space="preserve"> </w:t>
      </w:r>
      <w:r>
        <w:rPr>
          <w:lang w:val="ru-RU"/>
        </w:rPr>
        <w:t>период</w:t>
      </w:r>
      <w:r w:rsidRPr="00B65BD6">
        <w:rPr>
          <w:lang w:val="ru-RU"/>
        </w:rPr>
        <w:t xml:space="preserve"> </w:t>
      </w:r>
      <w:r>
        <w:rPr>
          <w:lang w:val="ru-RU"/>
        </w:rPr>
        <w:t>после</w:t>
      </w:r>
      <w:r w:rsidRPr="00B65BD6">
        <w:rPr>
          <w:lang w:val="ru-RU"/>
        </w:rPr>
        <w:t xml:space="preserve"> 2000</w:t>
      </w:r>
      <w:r w:rsidR="000475CD">
        <w:rPr>
          <w:lang w:val="ru-RU"/>
        </w:rPr>
        <w:t> </w:t>
      </w:r>
      <w:r>
        <w:rPr>
          <w:lang w:val="ru-RU"/>
        </w:rPr>
        <w:t>года</w:t>
      </w:r>
      <w:r w:rsidR="005853BE" w:rsidRPr="0073118D">
        <w:rPr>
          <w:vertAlign w:val="superscript"/>
        </w:rPr>
        <w:footnoteReference w:id="18"/>
      </w:r>
      <w:r w:rsidR="005853BE" w:rsidRPr="00B65BD6">
        <w:rPr>
          <w:lang w:val="ru-RU"/>
        </w:rPr>
        <w:t xml:space="preserve"> </w:t>
      </w:r>
      <w:r w:rsidR="000475CD">
        <w:rPr>
          <w:lang w:val="ru-RU"/>
        </w:rPr>
        <w:t>включают</w:t>
      </w:r>
      <w:r w:rsidR="000475CD" w:rsidRPr="00B65BD6">
        <w:rPr>
          <w:lang w:val="ru-RU"/>
        </w:rPr>
        <w:t xml:space="preserve"> </w:t>
      </w:r>
      <w:r w:rsidR="005853BE" w:rsidRPr="00B65BD6">
        <w:rPr>
          <w:lang w:val="ru-RU"/>
        </w:rPr>
        <w:t>16</w:t>
      </w:r>
      <w:r w:rsidR="000475CD">
        <w:rPr>
          <w:lang w:val="ru-RU"/>
        </w:rPr>
        <w:t> </w:t>
      </w:r>
      <w:r w:rsidR="007C2C2B">
        <w:rPr>
          <w:lang w:val="ru-RU"/>
        </w:rPr>
        <w:t>элементов</w:t>
      </w:r>
      <w:r w:rsidR="007C2C2B" w:rsidRPr="00B65BD6">
        <w:rPr>
          <w:lang w:val="ru-RU"/>
        </w:rPr>
        <w:t xml:space="preserve">, </w:t>
      </w:r>
      <w:r w:rsidR="007C2C2B">
        <w:rPr>
          <w:lang w:val="ru-RU"/>
        </w:rPr>
        <w:t>в</w:t>
      </w:r>
      <w:r w:rsidR="007C2C2B" w:rsidRPr="00B65BD6">
        <w:rPr>
          <w:lang w:val="ru-RU"/>
        </w:rPr>
        <w:t xml:space="preserve"> </w:t>
      </w:r>
      <w:r w:rsidR="007C2C2B">
        <w:rPr>
          <w:lang w:val="ru-RU"/>
        </w:rPr>
        <w:t>том</w:t>
      </w:r>
      <w:r w:rsidR="007C2C2B" w:rsidRPr="00B65BD6">
        <w:rPr>
          <w:lang w:val="ru-RU"/>
        </w:rPr>
        <w:t xml:space="preserve"> </w:t>
      </w:r>
      <w:r w:rsidR="007C2C2B">
        <w:rPr>
          <w:lang w:val="ru-RU"/>
        </w:rPr>
        <w:t>числе</w:t>
      </w:r>
      <w:r w:rsidR="003779A2">
        <w:rPr>
          <w:lang w:val="ru-RU"/>
        </w:rPr>
        <w:t>:</w:t>
      </w:r>
      <w:r w:rsidR="005853BE" w:rsidRPr="00B65BD6">
        <w:rPr>
          <w:lang w:val="ru-RU"/>
        </w:rPr>
        <w:t xml:space="preserve"> </w:t>
      </w:r>
      <w:r w:rsidR="005853BE" w:rsidRPr="00A722CB">
        <w:t>a</w:t>
      </w:r>
      <w:r w:rsidR="005853BE" w:rsidRPr="00B65BD6">
        <w:rPr>
          <w:lang w:val="ru-RU"/>
        </w:rPr>
        <w:t>)</w:t>
      </w:r>
      <w:r w:rsidR="000475CD">
        <w:rPr>
          <w:lang w:val="ru-RU"/>
        </w:rPr>
        <w:t> </w:t>
      </w:r>
      <w:r w:rsidR="00B65BD6">
        <w:rPr>
          <w:lang w:val="ru-RU"/>
        </w:rPr>
        <w:t xml:space="preserve">инвестиции в </w:t>
      </w:r>
      <w:r w:rsidR="003779A2">
        <w:rPr>
          <w:lang w:val="ru-RU"/>
        </w:rPr>
        <w:t xml:space="preserve">кадры </w:t>
      </w:r>
      <w:r w:rsidR="00B65BD6">
        <w:rPr>
          <w:lang w:val="ru-RU"/>
        </w:rPr>
        <w:t>посредством профессиональной подготовки и образования и</w:t>
      </w:r>
      <w:r w:rsidR="005853BE" w:rsidRPr="00B65BD6">
        <w:rPr>
          <w:lang w:val="ru-RU"/>
        </w:rPr>
        <w:t xml:space="preserve"> </w:t>
      </w:r>
      <w:r w:rsidR="005853BE" w:rsidRPr="00A722CB">
        <w:t>b</w:t>
      </w:r>
      <w:r w:rsidR="005853BE" w:rsidRPr="00B65BD6">
        <w:rPr>
          <w:lang w:val="ru-RU"/>
        </w:rPr>
        <w:t>)</w:t>
      </w:r>
      <w:r w:rsidR="000475CD">
        <w:rPr>
          <w:lang w:val="ru-RU"/>
        </w:rPr>
        <w:t> </w:t>
      </w:r>
      <w:r w:rsidR="00B65BD6">
        <w:rPr>
          <w:lang w:val="ru-RU"/>
        </w:rPr>
        <w:t>инвестиции в научные исследования и разработки</w:t>
      </w:r>
      <w:r w:rsidR="005853BE" w:rsidRPr="00B65BD6">
        <w:rPr>
          <w:lang w:val="ru-RU"/>
        </w:rPr>
        <w:t xml:space="preserve">. </w:t>
      </w:r>
      <w:r w:rsidR="00B65BD6">
        <w:rPr>
          <w:lang w:val="ru-RU"/>
        </w:rPr>
        <w:t>Рекомендации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в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области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образования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и</w:t>
      </w:r>
      <w:r w:rsidR="00B65BD6" w:rsidRPr="00B65BD6">
        <w:rPr>
          <w:lang w:val="ru-RU"/>
        </w:rPr>
        <w:t xml:space="preserve"> </w:t>
      </w:r>
      <w:r w:rsidR="00B65BD6">
        <w:rPr>
          <w:lang w:val="ru-RU"/>
        </w:rPr>
        <w:t>профессиональной подготовки включают</w:t>
      </w:r>
      <w:r w:rsidR="005853BE" w:rsidRPr="00B65BD6">
        <w:rPr>
          <w:lang w:val="ru-RU"/>
        </w:rPr>
        <w:t xml:space="preserve">: </w:t>
      </w:r>
    </w:p>
    <w:p w:rsidR="005853BE" w:rsidRPr="0017331B" w:rsidRDefault="000B22FA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B65BD6">
        <w:rPr>
          <w:lang w:val="ru-RU"/>
        </w:rPr>
        <w:t>снованные</w:t>
      </w:r>
      <w:r w:rsidR="00B65BD6" w:rsidRPr="0017331B">
        <w:rPr>
          <w:lang w:val="ru-RU"/>
        </w:rPr>
        <w:t xml:space="preserve"> </w:t>
      </w:r>
      <w:r w:rsidR="00B65BD6">
        <w:rPr>
          <w:lang w:val="ru-RU"/>
        </w:rPr>
        <w:t>на</w:t>
      </w:r>
      <w:r w:rsidR="00B65BD6" w:rsidRPr="0017331B">
        <w:rPr>
          <w:lang w:val="ru-RU"/>
        </w:rPr>
        <w:t xml:space="preserve"> </w:t>
      </w:r>
      <w:r w:rsidR="00B65BD6">
        <w:rPr>
          <w:lang w:val="ru-RU"/>
        </w:rPr>
        <w:t>широком</w:t>
      </w:r>
      <w:r w:rsidR="00B65BD6" w:rsidRPr="0017331B">
        <w:rPr>
          <w:lang w:val="ru-RU"/>
        </w:rPr>
        <w:t xml:space="preserve"> </w:t>
      </w:r>
      <w:r w:rsidR="00B65BD6">
        <w:rPr>
          <w:lang w:val="ru-RU"/>
        </w:rPr>
        <w:t>участии</w:t>
      </w:r>
      <w:r w:rsidR="00B65BD6" w:rsidRPr="0017331B">
        <w:rPr>
          <w:lang w:val="ru-RU"/>
        </w:rPr>
        <w:t xml:space="preserve"> </w:t>
      </w:r>
      <w:r w:rsidR="00B65BD6">
        <w:rPr>
          <w:lang w:val="ru-RU"/>
        </w:rPr>
        <w:t>подходы</w:t>
      </w:r>
      <w:r w:rsidR="00B65BD6" w:rsidRPr="0017331B">
        <w:rPr>
          <w:lang w:val="ru-RU"/>
        </w:rPr>
        <w:t xml:space="preserve"> </w:t>
      </w:r>
      <w:r w:rsidR="00B65BD6">
        <w:rPr>
          <w:lang w:val="ru-RU"/>
        </w:rPr>
        <w:t>к</w:t>
      </w:r>
      <w:r>
        <w:rPr>
          <w:lang w:val="ru-RU"/>
        </w:rPr>
        <w:t xml:space="preserve"> </w:t>
      </w:r>
      <w:r w:rsidR="0017331B">
        <w:rPr>
          <w:lang w:val="ru-RU"/>
        </w:rPr>
        <w:t>разработке учебных программ</w:t>
      </w:r>
      <w:r w:rsidR="005853BE" w:rsidRPr="0017331B">
        <w:rPr>
          <w:lang w:val="ru-RU"/>
        </w:rPr>
        <w:t xml:space="preserve">; </w:t>
      </w:r>
    </w:p>
    <w:p w:rsidR="005853BE" w:rsidRPr="0017331B" w:rsidRDefault="000B22FA" w:rsidP="005853BE">
      <w:pPr>
        <w:pStyle w:val="BulletList"/>
        <w:rPr>
          <w:lang w:val="ru-RU"/>
        </w:rPr>
      </w:pPr>
      <w:r>
        <w:rPr>
          <w:lang w:val="ru-RU"/>
        </w:rPr>
        <w:t>с</w:t>
      </w:r>
      <w:r w:rsidR="0017331B">
        <w:rPr>
          <w:lang w:val="ru-RU"/>
        </w:rPr>
        <w:t>отрудничество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создание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сетей</w:t>
      </w:r>
      <w:r w:rsidR="0017331B" w:rsidRPr="0017331B">
        <w:rPr>
          <w:lang w:val="ru-RU"/>
        </w:rPr>
        <w:t xml:space="preserve">, </w:t>
      </w:r>
      <w:r w:rsidR="0017331B">
        <w:rPr>
          <w:lang w:val="ru-RU"/>
        </w:rPr>
        <w:t>объединяющих учреждения и организации</w:t>
      </w:r>
      <w:r w:rsidR="005853BE" w:rsidRPr="0017331B">
        <w:rPr>
          <w:lang w:val="ru-RU"/>
        </w:rPr>
        <w:t xml:space="preserve">; </w:t>
      </w:r>
    </w:p>
    <w:p w:rsidR="005853BE" w:rsidRPr="0017331B" w:rsidRDefault="000B22FA" w:rsidP="005853BE">
      <w:pPr>
        <w:pStyle w:val="BulletList"/>
        <w:rPr>
          <w:lang w:val="ru-RU"/>
        </w:rPr>
      </w:pPr>
      <w:r>
        <w:rPr>
          <w:lang w:val="ru-RU"/>
        </w:rPr>
        <w:t>м</w:t>
      </w:r>
      <w:r w:rsidR="0017331B">
        <w:rPr>
          <w:lang w:val="ru-RU"/>
        </w:rPr>
        <w:t>ногодисциплинарные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</w:t>
      </w:r>
      <w:r w:rsidR="0017331B" w:rsidRPr="0017331B">
        <w:rPr>
          <w:lang w:val="ru-RU"/>
        </w:rPr>
        <w:t xml:space="preserve"> </w:t>
      </w:r>
      <w:r>
        <w:rPr>
          <w:lang w:val="ru-RU"/>
        </w:rPr>
        <w:t xml:space="preserve">основанные </w:t>
      </w:r>
      <w:r w:rsidR="0017331B">
        <w:rPr>
          <w:lang w:val="ru-RU"/>
        </w:rPr>
        <w:t>на постановке задач подходы к обучению</w:t>
      </w:r>
      <w:r w:rsidR="005853BE" w:rsidRPr="0017331B">
        <w:rPr>
          <w:lang w:val="ru-RU"/>
        </w:rPr>
        <w:t xml:space="preserve">; </w:t>
      </w:r>
    </w:p>
    <w:p w:rsidR="005853BE" w:rsidRPr="0017331B" w:rsidRDefault="000B22FA" w:rsidP="005853BE">
      <w:pPr>
        <w:pStyle w:val="BulletList"/>
        <w:rPr>
          <w:lang w:val="ru-RU"/>
        </w:rPr>
      </w:pPr>
      <w:r>
        <w:rPr>
          <w:lang w:val="ru-RU"/>
        </w:rPr>
        <w:lastRenderedPageBreak/>
        <w:t>с</w:t>
      </w:r>
      <w:r w:rsidR="0017331B">
        <w:rPr>
          <w:lang w:val="ru-RU"/>
        </w:rPr>
        <w:t>овременные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инструменты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для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профессионального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обучения</w:t>
      </w:r>
      <w:r>
        <w:rPr>
          <w:lang w:val="ru-RU"/>
        </w:rPr>
        <w:t>,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образования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коммуникаций</w:t>
      </w:r>
      <w:r w:rsidR="0017331B" w:rsidRPr="0017331B">
        <w:rPr>
          <w:lang w:val="ru-RU"/>
        </w:rPr>
        <w:t xml:space="preserve">, </w:t>
      </w:r>
      <w:r w:rsidR="0017331B">
        <w:rPr>
          <w:lang w:val="ru-RU"/>
        </w:rPr>
        <w:t>такие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как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Интернет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дистанционное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обучение</w:t>
      </w:r>
      <w:r w:rsidR="005853BE" w:rsidRPr="0017331B">
        <w:rPr>
          <w:lang w:val="ru-RU"/>
        </w:rPr>
        <w:t xml:space="preserve">, </w:t>
      </w:r>
      <w:r w:rsidR="0017331B">
        <w:rPr>
          <w:lang w:val="ru-RU"/>
        </w:rPr>
        <w:t>содействие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региональному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>и</w:t>
      </w:r>
      <w:r w:rsidR="0017331B" w:rsidRPr="0017331B">
        <w:rPr>
          <w:lang w:val="ru-RU"/>
        </w:rPr>
        <w:t xml:space="preserve"> </w:t>
      </w:r>
      <w:r w:rsidR="0017331B">
        <w:rPr>
          <w:lang w:val="ru-RU"/>
        </w:rPr>
        <w:t xml:space="preserve">межрегиональному сотрудничеству и объединению в сети при разработке учебных программ, обмену опытом и развитию </w:t>
      </w:r>
      <w:r w:rsidR="008B4E6A">
        <w:rPr>
          <w:lang w:val="ru-RU"/>
        </w:rPr>
        <w:t xml:space="preserve">вспомогательных </w:t>
      </w:r>
      <w:r w:rsidR="00F23077">
        <w:rPr>
          <w:lang w:val="ru-RU"/>
        </w:rPr>
        <w:t xml:space="preserve">баз знаний </w:t>
      </w:r>
      <w:r w:rsidR="008B4E6A">
        <w:rPr>
          <w:lang w:val="ru-RU"/>
        </w:rPr>
        <w:t>и методических материалов</w:t>
      </w:r>
      <w:r w:rsidR="005853BE" w:rsidRPr="0017331B">
        <w:rPr>
          <w:lang w:val="ru-RU"/>
        </w:rPr>
        <w:t xml:space="preserve">; </w:t>
      </w:r>
      <w:r w:rsidR="008B4E6A">
        <w:rPr>
          <w:lang w:val="ru-RU"/>
        </w:rPr>
        <w:t>и</w:t>
      </w:r>
    </w:p>
    <w:p w:rsidR="005853BE" w:rsidRPr="008B4E6A" w:rsidRDefault="000B22FA" w:rsidP="005853BE">
      <w:pPr>
        <w:pStyle w:val="BulletList"/>
        <w:rPr>
          <w:lang w:val="ru-RU"/>
        </w:rPr>
      </w:pPr>
      <w:r>
        <w:rPr>
          <w:lang w:val="ru-RU"/>
        </w:rPr>
        <w:t>б</w:t>
      </w:r>
      <w:r w:rsidR="008B4E6A">
        <w:rPr>
          <w:lang w:val="ru-RU"/>
        </w:rPr>
        <w:t>аланс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теоретического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практического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подхода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к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обучению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фермеров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обеспечению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отрасли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квалифицированными и новаторски мыслящими кадрами</w:t>
      </w:r>
      <w:r w:rsidR="005853BE" w:rsidRPr="008B4E6A">
        <w:rPr>
          <w:lang w:val="ru-RU"/>
        </w:rPr>
        <w:t xml:space="preserve">. </w:t>
      </w:r>
    </w:p>
    <w:p w:rsidR="005853BE" w:rsidRPr="008B4E6A" w:rsidRDefault="005853BE" w:rsidP="005853BE">
      <w:pPr>
        <w:rPr>
          <w:lang w:val="ru-RU"/>
        </w:rPr>
      </w:pPr>
    </w:p>
    <w:p w:rsidR="005853BE" w:rsidRPr="008B4E6A" w:rsidRDefault="007C2C2B" w:rsidP="005853BE">
      <w:pPr>
        <w:pStyle w:val="NewPara"/>
        <w:jc w:val="both"/>
        <w:rPr>
          <w:lang w:val="ru-RU"/>
        </w:rPr>
      </w:pPr>
      <w:r>
        <w:rPr>
          <w:lang w:val="ru-RU"/>
        </w:rPr>
        <w:t>Предл</w:t>
      </w:r>
      <w:r w:rsidR="008B4E6A">
        <w:rPr>
          <w:lang w:val="ru-RU"/>
        </w:rPr>
        <w:t>оженная</w:t>
      </w:r>
      <w:r w:rsidRPr="008B4E6A">
        <w:rPr>
          <w:lang w:val="ru-RU"/>
        </w:rPr>
        <w:t xml:space="preserve"> </w:t>
      </w:r>
      <w:r>
        <w:rPr>
          <w:lang w:val="ru-RU"/>
        </w:rPr>
        <w:t>стратегия</w:t>
      </w:r>
      <w:r w:rsidRPr="008B4E6A">
        <w:rPr>
          <w:lang w:val="ru-RU"/>
        </w:rPr>
        <w:t xml:space="preserve"> </w:t>
      </w:r>
      <w:r>
        <w:rPr>
          <w:lang w:val="ru-RU"/>
        </w:rPr>
        <w:t>НИОКР</w:t>
      </w:r>
      <w:r w:rsidR="005853BE" w:rsidRPr="008B4E6A">
        <w:rPr>
          <w:lang w:val="ru-RU"/>
        </w:rPr>
        <w:t xml:space="preserve"> </w:t>
      </w:r>
      <w:r w:rsidR="008B4E6A">
        <w:rPr>
          <w:lang w:val="ru-RU"/>
        </w:rPr>
        <w:t>была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призвана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эффективно</w:t>
      </w:r>
      <w:r w:rsidR="008B4E6A" w:rsidRPr="008B4E6A">
        <w:rPr>
          <w:lang w:val="ru-RU"/>
        </w:rPr>
        <w:t xml:space="preserve"> </w:t>
      </w:r>
      <w:proofErr w:type="gramStart"/>
      <w:r w:rsidR="008B4E6A">
        <w:rPr>
          <w:lang w:val="ru-RU"/>
        </w:rPr>
        <w:t>использовать</w:t>
      </w:r>
      <w:proofErr w:type="gramEnd"/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научно</w:t>
      </w:r>
      <w:r w:rsidR="00105B5D">
        <w:rPr>
          <w:lang w:val="ru-RU"/>
        </w:rPr>
        <w:noBreakHyphen/>
      </w:r>
      <w:r w:rsidR="008B4E6A">
        <w:rPr>
          <w:lang w:val="ru-RU"/>
        </w:rPr>
        <w:t>исследовательские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ресурсы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нарастить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потенциал исследовательских институтов, который бы позволил им более гибко и активно реагировать на потребности в развитии посредством таких механизмов, как</w:t>
      </w:r>
      <w:r w:rsidR="005853BE" w:rsidRPr="008B4E6A">
        <w:rPr>
          <w:lang w:val="ru-RU"/>
        </w:rPr>
        <w:t xml:space="preserve">: </w:t>
      </w:r>
    </w:p>
    <w:p w:rsidR="005853BE" w:rsidRPr="00A722CB" w:rsidRDefault="000B22FA" w:rsidP="005853BE">
      <w:pPr>
        <w:pStyle w:val="BulletList"/>
      </w:pPr>
      <w:r>
        <w:rPr>
          <w:lang w:val="ru-RU"/>
        </w:rPr>
        <w:t>с</w:t>
      </w:r>
      <w:r w:rsidR="008B4E6A">
        <w:rPr>
          <w:lang w:val="ru-RU"/>
        </w:rPr>
        <w:t>овместные</w:t>
      </w:r>
      <w:r w:rsidR="008B4E6A" w:rsidRPr="008B4E6A">
        <w:rPr>
          <w:lang w:val="en-US"/>
        </w:rPr>
        <w:t xml:space="preserve"> </w:t>
      </w:r>
      <w:r w:rsidR="008B4E6A">
        <w:rPr>
          <w:lang w:val="ru-RU"/>
        </w:rPr>
        <w:t>многодисциплинарные</w:t>
      </w:r>
      <w:r w:rsidR="008B4E6A" w:rsidRPr="008B4E6A">
        <w:rPr>
          <w:lang w:val="en-US"/>
        </w:rPr>
        <w:t xml:space="preserve"> </w:t>
      </w:r>
      <w:r w:rsidR="008B4E6A">
        <w:rPr>
          <w:lang w:val="ru-RU"/>
        </w:rPr>
        <w:t>исследования</w:t>
      </w:r>
      <w:r w:rsidR="005853BE" w:rsidRPr="00A722CB">
        <w:t xml:space="preserve">; </w:t>
      </w:r>
    </w:p>
    <w:p w:rsidR="005853BE" w:rsidRPr="008B4E6A" w:rsidRDefault="000B22FA" w:rsidP="005853BE">
      <w:pPr>
        <w:pStyle w:val="BulletList"/>
        <w:rPr>
          <w:lang w:val="ru-RU"/>
        </w:rPr>
      </w:pPr>
      <w:r>
        <w:rPr>
          <w:lang w:val="ru-RU"/>
        </w:rPr>
        <w:t>у</w:t>
      </w:r>
      <w:r w:rsidR="008B4E6A">
        <w:rPr>
          <w:lang w:val="ru-RU"/>
        </w:rPr>
        <w:t>частие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заинтересованных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сторон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определении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тематики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исследовательских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работ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совершенствовании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связей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между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исследованиями</w:t>
      </w:r>
      <w:r w:rsidR="008B4E6A" w:rsidRPr="008B4E6A">
        <w:rPr>
          <w:lang w:val="ru-RU"/>
        </w:rPr>
        <w:t xml:space="preserve">, </w:t>
      </w:r>
      <w:r w:rsidR="008B4E6A">
        <w:rPr>
          <w:lang w:val="ru-RU"/>
        </w:rPr>
        <w:t>распространением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знаний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производством</w:t>
      </w:r>
      <w:r w:rsidR="005853BE" w:rsidRPr="008B4E6A">
        <w:rPr>
          <w:lang w:val="ru-RU"/>
        </w:rPr>
        <w:t xml:space="preserve">; </w:t>
      </w:r>
    </w:p>
    <w:p w:rsidR="005853BE" w:rsidRPr="008B4E6A" w:rsidRDefault="00105B5D" w:rsidP="005853BE">
      <w:pPr>
        <w:pStyle w:val="BulletList"/>
        <w:rPr>
          <w:lang w:val="ru-RU"/>
        </w:rPr>
      </w:pPr>
      <w:r>
        <w:rPr>
          <w:lang w:val="ru-RU"/>
        </w:rPr>
        <w:t>с</w:t>
      </w:r>
      <w:r w:rsidR="008B4E6A">
        <w:rPr>
          <w:lang w:val="ru-RU"/>
        </w:rPr>
        <w:t>овместные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механизмы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финансирования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с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участием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институтов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организаций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общественности и частного сектора</w:t>
      </w:r>
      <w:r w:rsidR="005853BE" w:rsidRPr="008B4E6A">
        <w:rPr>
          <w:lang w:val="ru-RU"/>
        </w:rPr>
        <w:t xml:space="preserve">; </w:t>
      </w:r>
    </w:p>
    <w:p w:rsidR="005853BE" w:rsidRPr="00A722CB" w:rsidRDefault="000B22FA" w:rsidP="005853BE">
      <w:pPr>
        <w:pStyle w:val="BulletList"/>
      </w:pPr>
      <w:r>
        <w:rPr>
          <w:lang w:val="ru-RU"/>
        </w:rPr>
        <w:t>э</w:t>
      </w:r>
      <w:r w:rsidR="008B4E6A">
        <w:rPr>
          <w:lang w:val="ru-RU"/>
        </w:rPr>
        <w:t>ффективные сети коммуникации</w:t>
      </w:r>
      <w:r w:rsidR="005853BE" w:rsidRPr="00A722CB">
        <w:t xml:space="preserve">; </w:t>
      </w:r>
    </w:p>
    <w:p w:rsidR="005853BE" w:rsidRPr="000B22FA" w:rsidRDefault="000B22FA" w:rsidP="005853BE">
      <w:pPr>
        <w:pStyle w:val="BulletList"/>
        <w:rPr>
          <w:lang w:val="ru-RU"/>
        </w:rPr>
      </w:pPr>
      <w:r>
        <w:rPr>
          <w:lang w:val="ru-RU"/>
        </w:rPr>
        <w:t>р</w:t>
      </w:r>
      <w:r w:rsidR="008B4E6A">
        <w:rPr>
          <w:lang w:val="ru-RU"/>
        </w:rPr>
        <w:t>егиональное</w:t>
      </w:r>
      <w:r w:rsidR="008B4E6A" w:rsidRPr="000B22FA">
        <w:rPr>
          <w:lang w:val="ru-RU"/>
        </w:rPr>
        <w:t xml:space="preserve"> </w:t>
      </w:r>
      <w:r w:rsidR="008B4E6A">
        <w:rPr>
          <w:lang w:val="ru-RU"/>
        </w:rPr>
        <w:t>и</w:t>
      </w:r>
      <w:r w:rsidR="008B4E6A" w:rsidRPr="000B22FA">
        <w:rPr>
          <w:lang w:val="ru-RU"/>
        </w:rPr>
        <w:t xml:space="preserve"> </w:t>
      </w:r>
      <w:r w:rsidR="008B4E6A">
        <w:rPr>
          <w:lang w:val="ru-RU"/>
        </w:rPr>
        <w:t>межрегиональное</w:t>
      </w:r>
      <w:r w:rsidR="008B4E6A" w:rsidRPr="000B22FA">
        <w:rPr>
          <w:lang w:val="ru-RU"/>
        </w:rPr>
        <w:t xml:space="preserve"> </w:t>
      </w:r>
      <w:r w:rsidR="008B4E6A">
        <w:rPr>
          <w:lang w:val="ru-RU"/>
        </w:rPr>
        <w:t>сотрудничество</w:t>
      </w:r>
      <w:r w:rsidR="005853BE" w:rsidRPr="000B22FA">
        <w:rPr>
          <w:lang w:val="ru-RU"/>
        </w:rPr>
        <w:t xml:space="preserve">; </w:t>
      </w:r>
      <w:r w:rsidR="008B4E6A">
        <w:rPr>
          <w:lang w:val="ru-RU"/>
        </w:rPr>
        <w:t>и</w:t>
      </w:r>
    </w:p>
    <w:p w:rsidR="005853BE" w:rsidRPr="008B4E6A" w:rsidRDefault="000B22FA" w:rsidP="005853BE">
      <w:pPr>
        <w:pStyle w:val="BulletList"/>
        <w:rPr>
          <w:lang w:val="ru-RU"/>
        </w:rPr>
      </w:pPr>
      <w:r>
        <w:rPr>
          <w:lang w:val="ru-RU"/>
        </w:rPr>
        <w:t>п</w:t>
      </w:r>
      <w:r w:rsidR="008B4E6A">
        <w:rPr>
          <w:lang w:val="ru-RU"/>
        </w:rPr>
        <w:t>остоянные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усилия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наращиванию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квалификации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исследователей</w:t>
      </w:r>
      <w:r w:rsidR="005853BE" w:rsidRPr="008B4E6A">
        <w:rPr>
          <w:lang w:val="ru-RU"/>
        </w:rPr>
        <w:t>.</w:t>
      </w:r>
    </w:p>
    <w:p w:rsidR="005853BE" w:rsidRPr="008B4E6A" w:rsidRDefault="005853BE" w:rsidP="005853BE">
      <w:pPr>
        <w:rPr>
          <w:lang w:val="ru-RU"/>
        </w:rPr>
      </w:pPr>
    </w:p>
    <w:p w:rsidR="005853BE" w:rsidRPr="008B4E6A" w:rsidRDefault="005853BE" w:rsidP="005853BE">
      <w:pPr>
        <w:rPr>
          <w:lang w:val="ru-RU"/>
        </w:rPr>
      </w:pPr>
    </w:p>
    <w:p w:rsidR="005853BE" w:rsidRPr="008B4E6A" w:rsidRDefault="008B4E6A" w:rsidP="005853BE">
      <w:pPr>
        <w:pStyle w:val="Heading2"/>
        <w:numPr>
          <w:ilvl w:val="0"/>
          <w:numId w:val="0"/>
        </w:numPr>
        <w:ind w:left="1"/>
        <w:jc w:val="left"/>
        <w:rPr>
          <w:rFonts w:ascii="Times New Roman" w:hAnsi="Times New Roman" w:cs="Times New Roman"/>
          <w:lang w:val="ru-RU"/>
        </w:rPr>
      </w:pPr>
      <w:r w:rsidRPr="008B4E6A">
        <w:rPr>
          <w:rFonts w:ascii="Times New Roman" w:hAnsi="Times New Roman" w:cs="Times New Roman"/>
          <w:lang w:val="ru-RU"/>
        </w:rPr>
        <w:t>ОБРАЗОВАНИЕ</w:t>
      </w:r>
      <w:r w:rsidR="005853BE" w:rsidRPr="008B4E6A">
        <w:rPr>
          <w:rFonts w:ascii="Times New Roman" w:hAnsi="Times New Roman" w:cs="Times New Roman"/>
          <w:lang w:val="ru-RU"/>
        </w:rPr>
        <w:t xml:space="preserve">: </w:t>
      </w:r>
      <w:r w:rsidRPr="008B4E6A">
        <w:rPr>
          <w:rFonts w:ascii="Times New Roman" w:hAnsi="Times New Roman" w:cs="Times New Roman"/>
          <w:lang w:val="ru-RU"/>
        </w:rPr>
        <w:t>ОПРЕДЕЛЕНИЕ ПРИОРИТЕТОВ ДЛЯ БУДУЩИХ ПОТРЕБНОСТЕЙ И СТРАТЕГИЙ РЕАЛИЗАЦИИ</w:t>
      </w:r>
    </w:p>
    <w:p w:rsidR="005853BE" w:rsidRPr="008B4E6A" w:rsidRDefault="005853BE" w:rsidP="005853BE">
      <w:pPr>
        <w:rPr>
          <w:lang w:val="ru-RU"/>
        </w:rPr>
      </w:pPr>
    </w:p>
    <w:p w:rsidR="005853BE" w:rsidRPr="004C6C7F" w:rsidRDefault="007C2C2B" w:rsidP="005853BE">
      <w:pPr>
        <w:pStyle w:val="NewPara"/>
        <w:jc w:val="both"/>
        <w:rPr>
          <w:lang w:val="ru-RU"/>
        </w:rPr>
      </w:pPr>
      <w:r>
        <w:rPr>
          <w:lang w:val="ru-RU"/>
        </w:rPr>
        <w:t>Образование</w:t>
      </w:r>
      <w:r w:rsidRPr="00BA2F54">
        <w:rPr>
          <w:lang w:val="ru-RU"/>
        </w:rPr>
        <w:t xml:space="preserve"> – </w:t>
      </w:r>
      <w:r>
        <w:rPr>
          <w:lang w:val="ru-RU"/>
        </w:rPr>
        <w:t>основа</w:t>
      </w:r>
      <w:r w:rsidRPr="00BA2F54">
        <w:rPr>
          <w:lang w:val="ru-RU"/>
        </w:rPr>
        <w:t xml:space="preserve"> </w:t>
      </w:r>
      <w:r>
        <w:rPr>
          <w:lang w:val="ru-RU"/>
        </w:rPr>
        <w:t>любого</w:t>
      </w:r>
      <w:r w:rsidRPr="00BA2F54">
        <w:rPr>
          <w:lang w:val="ru-RU"/>
        </w:rPr>
        <w:t xml:space="preserve"> </w:t>
      </w:r>
      <w:r>
        <w:rPr>
          <w:lang w:val="ru-RU"/>
        </w:rPr>
        <w:t>развития</w:t>
      </w:r>
      <w:r w:rsidRPr="00BA2F54">
        <w:rPr>
          <w:lang w:val="ru-RU"/>
        </w:rPr>
        <w:t xml:space="preserve">, </w:t>
      </w:r>
      <w:r>
        <w:rPr>
          <w:lang w:val="ru-RU"/>
        </w:rPr>
        <w:t>а</w:t>
      </w:r>
      <w:r w:rsidRPr="00BA2F54">
        <w:rPr>
          <w:lang w:val="ru-RU"/>
        </w:rPr>
        <w:t xml:space="preserve"> </w:t>
      </w:r>
      <w:r>
        <w:rPr>
          <w:lang w:val="ru-RU"/>
        </w:rPr>
        <w:t>междисциплинарное</w:t>
      </w:r>
      <w:r w:rsidRPr="00BA2F54">
        <w:rPr>
          <w:lang w:val="ru-RU"/>
        </w:rPr>
        <w:t xml:space="preserve"> </w:t>
      </w:r>
      <w:r>
        <w:rPr>
          <w:lang w:val="ru-RU"/>
        </w:rPr>
        <w:t>образование</w:t>
      </w:r>
      <w:r w:rsidRPr="00BA2F54">
        <w:rPr>
          <w:lang w:val="ru-RU"/>
        </w:rPr>
        <w:t xml:space="preserve"> </w:t>
      </w:r>
      <w:r w:rsidR="00BA2F54">
        <w:rPr>
          <w:lang w:val="ru-RU"/>
        </w:rPr>
        <w:t>в</w:t>
      </w:r>
      <w:r w:rsidR="00BA2F54" w:rsidRPr="00BA2F54">
        <w:rPr>
          <w:lang w:val="ru-RU"/>
        </w:rPr>
        <w:t xml:space="preserve"> </w:t>
      </w:r>
      <w:r w:rsidR="00BA2F54">
        <w:rPr>
          <w:lang w:val="ru-RU"/>
        </w:rPr>
        <w:t>области</w:t>
      </w:r>
      <w:r w:rsidR="00BA2F54" w:rsidRPr="00BA2F54">
        <w:rPr>
          <w:lang w:val="ru-RU"/>
        </w:rPr>
        <w:t xml:space="preserve"> </w:t>
      </w:r>
      <w:r w:rsidR="00BA2F54">
        <w:rPr>
          <w:lang w:val="ru-RU"/>
        </w:rPr>
        <w:t>аквакультуры</w:t>
      </w:r>
      <w:r w:rsidR="00BA2F54" w:rsidRPr="00BA2F54">
        <w:rPr>
          <w:lang w:val="ru-RU"/>
        </w:rPr>
        <w:t xml:space="preserve"> – </w:t>
      </w:r>
      <w:r w:rsidR="00BA2F54">
        <w:rPr>
          <w:lang w:val="ru-RU"/>
        </w:rPr>
        <w:t>основа</w:t>
      </w:r>
      <w:r w:rsidR="00BA2F54" w:rsidRPr="00BA2F54">
        <w:rPr>
          <w:lang w:val="ru-RU"/>
        </w:rPr>
        <w:t xml:space="preserve"> </w:t>
      </w:r>
      <w:r w:rsidR="00BA2F54">
        <w:rPr>
          <w:lang w:val="ru-RU"/>
        </w:rPr>
        <w:t>устойчивого</w:t>
      </w:r>
      <w:r w:rsidR="00BA2F54" w:rsidRPr="00BA2F54">
        <w:rPr>
          <w:lang w:val="ru-RU"/>
        </w:rPr>
        <w:t xml:space="preserve"> </w:t>
      </w:r>
      <w:r w:rsidR="00BA2F54">
        <w:rPr>
          <w:lang w:val="ru-RU"/>
        </w:rPr>
        <w:t>развития</w:t>
      </w:r>
      <w:r w:rsidR="00BA2F54" w:rsidRPr="00BA2F54">
        <w:rPr>
          <w:lang w:val="ru-RU"/>
        </w:rPr>
        <w:t xml:space="preserve"> </w:t>
      </w:r>
      <w:r w:rsidR="00BA2F54">
        <w:rPr>
          <w:lang w:val="ru-RU"/>
        </w:rPr>
        <w:t>аквакультуры</w:t>
      </w:r>
      <w:r w:rsidR="005853BE" w:rsidRPr="00BA2F54">
        <w:rPr>
          <w:lang w:val="ru-RU"/>
        </w:rPr>
        <w:t xml:space="preserve">. </w:t>
      </w:r>
      <w:r w:rsidR="00BA2F54">
        <w:rPr>
          <w:lang w:val="ru-RU"/>
        </w:rPr>
        <w:t>Так</w:t>
      </w:r>
      <w:r w:rsidR="00BA2F54" w:rsidRPr="008B4E6A">
        <w:rPr>
          <w:lang w:val="ru-RU"/>
        </w:rPr>
        <w:t>,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для</w:t>
      </w:r>
      <w:r w:rsidR="00BA2F54" w:rsidRPr="008B4E6A">
        <w:rPr>
          <w:lang w:val="ru-RU"/>
        </w:rPr>
        <w:t xml:space="preserve"> </w:t>
      </w:r>
      <w:r w:rsidR="00BA2F54">
        <w:rPr>
          <w:lang w:val="ru-RU"/>
        </w:rPr>
        <w:t>Кита</w:t>
      </w:r>
      <w:r w:rsidR="008B4E6A">
        <w:rPr>
          <w:lang w:val="ru-RU"/>
        </w:rPr>
        <w:t>я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оказались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весьма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полезными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инвестиции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образование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области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ключевых отраслей, включая аквакультуру</w:t>
      </w:r>
      <w:r w:rsidR="005853BE" w:rsidRPr="00BA2F54">
        <w:rPr>
          <w:vertAlign w:val="superscript"/>
        </w:rPr>
        <w:footnoteReference w:id="19"/>
      </w:r>
      <w:r w:rsidR="005853BE" w:rsidRPr="008B4E6A">
        <w:rPr>
          <w:lang w:val="ru-RU"/>
        </w:rPr>
        <w:t xml:space="preserve">. </w:t>
      </w:r>
      <w:r w:rsidR="008B4E6A">
        <w:rPr>
          <w:lang w:val="ru-RU"/>
        </w:rPr>
        <w:t>Приоритеты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образовании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должны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основываться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на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будущих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потребностях и четко определенных стратеги</w:t>
      </w:r>
      <w:r w:rsidR="000B22FA">
        <w:rPr>
          <w:lang w:val="ru-RU"/>
        </w:rPr>
        <w:t>ях</w:t>
      </w:r>
      <w:r w:rsidR="008B4E6A">
        <w:rPr>
          <w:lang w:val="ru-RU"/>
        </w:rPr>
        <w:t xml:space="preserve"> реализации</w:t>
      </w:r>
      <w:r w:rsidR="005853BE" w:rsidRPr="008B4E6A">
        <w:rPr>
          <w:lang w:val="ru-RU"/>
        </w:rPr>
        <w:t xml:space="preserve">. </w:t>
      </w:r>
      <w:r w:rsidR="008B4E6A">
        <w:rPr>
          <w:lang w:val="ru-RU"/>
        </w:rPr>
        <w:t>Однако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критерии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определения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приоритетов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зачастую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значительно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отличаются</w:t>
      </w:r>
      <w:r w:rsidR="008B4E6A" w:rsidRPr="008B4E6A">
        <w:rPr>
          <w:lang w:val="ru-RU"/>
        </w:rPr>
        <w:t xml:space="preserve">, </w:t>
      </w:r>
      <w:r w:rsidR="008B4E6A">
        <w:rPr>
          <w:lang w:val="ru-RU"/>
        </w:rPr>
        <w:t>и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универсальные</w:t>
      </w:r>
      <w:r w:rsidR="008B4E6A" w:rsidRPr="008B4E6A">
        <w:rPr>
          <w:lang w:val="ru-RU"/>
        </w:rPr>
        <w:t xml:space="preserve"> </w:t>
      </w:r>
      <w:r w:rsidR="008B4E6A">
        <w:rPr>
          <w:lang w:val="ru-RU"/>
        </w:rPr>
        <w:t>подходы не всегда применимы и не всегда желательны</w:t>
      </w:r>
      <w:r w:rsidR="005853BE" w:rsidRPr="008B4E6A">
        <w:rPr>
          <w:lang w:val="ru-RU"/>
        </w:rPr>
        <w:t xml:space="preserve">. </w:t>
      </w:r>
      <w:r w:rsidR="008B4E6A">
        <w:rPr>
          <w:lang w:val="ru-RU"/>
        </w:rPr>
        <w:t>Тем</w:t>
      </w:r>
      <w:r w:rsidR="008B4E6A" w:rsidRPr="004C6C7F">
        <w:rPr>
          <w:lang w:val="ru-RU"/>
        </w:rPr>
        <w:t xml:space="preserve"> </w:t>
      </w:r>
      <w:r w:rsidR="008B4E6A">
        <w:rPr>
          <w:lang w:val="ru-RU"/>
        </w:rPr>
        <w:t>не</w:t>
      </w:r>
      <w:r w:rsidR="008B4E6A" w:rsidRPr="004C6C7F">
        <w:rPr>
          <w:lang w:val="ru-RU"/>
        </w:rPr>
        <w:t xml:space="preserve"> </w:t>
      </w:r>
      <w:r w:rsidR="008B4E6A">
        <w:rPr>
          <w:lang w:val="ru-RU"/>
        </w:rPr>
        <w:t>менее</w:t>
      </w:r>
      <w:r w:rsidR="00105B5D">
        <w:rPr>
          <w:lang w:val="ru-RU"/>
        </w:rPr>
        <w:t>,</w:t>
      </w:r>
      <w:r w:rsidR="008B4E6A" w:rsidRPr="004C6C7F">
        <w:rPr>
          <w:lang w:val="ru-RU"/>
        </w:rPr>
        <w:t xml:space="preserve"> </w:t>
      </w:r>
      <w:r w:rsidR="004C6C7F">
        <w:rPr>
          <w:lang w:val="ru-RU"/>
        </w:rPr>
        <w:t xml:space="preserve">можно выделить </w:t>
      </w:r>
      <w:r w:rsidR="008B4E6A">
        <w:rPr>
          <w:lang w:val="ru-RU"/>
        </w:rPr>
        <w:t>ряд</w:t>
      </w:r>
      <w:r w:rsidR="008B4E6A" w:rsidRPr="004C6C7F">
        <w:rPr>
          <w:lang w:val="ru-RU"/>
        </w:rPr>
        <w:t xml:space="preserve"> </w:t>
      </w:r>
      <w:r w:rsidR="004C6C7F">
        <w:rPr>
          <w:lang w:val="ru-RU"/>
        </w:rPr>
        <w:t>практических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правил, в числе которых</w:t>
      </w:r>
      <w:r w:rsidR="005853BE" w:rsidRPr="004C6C7F">
        <w:rPr>
          <w:lang w:val="ru-RU"/>
        </w:rPr>
        <w:t>:</w:t>
      </w:r>
    </w:p>
    <w:p w:rsidR="005853BE" w:rsidRPr="004C6C7F" w:rsidRDefault="000B22FA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4C6C7F">
        <w:rPr>
          <w:lang w:val="ru-RU"/>
        </w:rPr>
        <w:t>пределение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критических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областей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и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возможностей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для будущего развития</w:t>
      </w:r>
      <w:r w:rsidR="005853BE" w:rsidRPr="004C6C7F">
        <w:rPr>
          <w:lang w:val="ru-RU"/>
        </w:rPr>
        <w:t>;</w:t>
      </w:r>
    </w:p>
    <w:p w:rsidR="005853BE" w:rsidRPr="004C6C7F" w:rsidRDefault="000B22FA" w:rsidP="005853BE">
      <w:pPr>
        <w:pStyle w:val="BulletList"/>
        <w:rPr>
          <w:lang w:val="ru-RU"/>
        </w:rPr>
      </w:pPr>
      <w:r>
        <w:rPr>
          <w:lang w:val="ru-RU"/>
        </w:rPr>
        <w:t>п</w:t>
      </w:r>
      <w:r w:rsidR="004C6C7F">
        <w:rPr>
          <w:lang w:val="ru-RU"/>
        </w:rPr>
        <w:t>оощрение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университетов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к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переориентации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учебных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программ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в области аквакультуры на</w:t>
      </w:r>
      <w:r w:rsidR="004C6C7F" w:rsidRPr="004C6C7F">
        <w:rPr>
          <w:lang w:val="ru-RU"/>
        </w:rPr>
        <w:t xml:space="preserve"> </w:t>
      </w:r>
      <w:r w:rsidR="004C6C7F">
        <w:rPr>
          <w:lang w:val="ru-RU"/>
        </w:rPr>
        <w:t>удовлетворение первоочередных потребностей отрасли</w:t>
      </w:r>
      <w:r w:rsidR="005853BE" w:rsidRPr="004C6C7F">
        <w:rPr>
          <w:lang w:val="ru-RU"/>
        </w:rPr>
        <w:t>;</w:t>
      </w:r>
    </w:p>
    <w:p w:rsidR="005853BE" w:rsidRPr="00063D8D" w:rsidRDefault="000B22FA" w:rsidP="005853BE">
      <w:pPr>
        <w:pStyle w:val="BulletList"/>
        <w:rPr>
          <w:lang w:val="ru-RU"/>
        </w:rPr>
      </w:pPr>
      <w:r>
        <w:rPr>
          <w:lang w:val="ru-RU"/>
        </w:rPr>
        <w:t>с</w:t>
      </w:r>
      <w:r w:rsidR="004C6C7F">
        <w:rPr>
          <w:lang w:val="ru-RU"/>
        </w:rPr>
        <w:t>овершенствование</w:t>
      </w:r>
      <w:r w:rsidR="004C6C7F" w:rsidRPr="00063D8D">
        <w:rPr>
          <w:lang w:val="ru-RU"/>
        </w:rPr>
        <w:t xml:space="preserve"> </w:t>
      </w:r>
      <w:r w:rsidR="004C6C7F">
        <w:rPr>
          <w:lang w:val="ru-RU"/>
        </w:rPr>
        <w:t>учебных</w:t>
      </w:r>
      <w:r w:rsidR="004C6C7F" w:rsidRPr="00063D8D">
        <w:rPr>
          <w:lang w:val="ru-RU"/>
        </w:rPr>
        <w:t xml:space="preserve"> </w:t>
      </w:r>
      <w:r w:rsidR="004C6C7F">
        <w:rPr>
          <w:lang w:val="ru-RU"/>
        </w:rPr>
        <w:t>и</w:t>
      </w:r>
      <w:r w:rsidR="004C6C7F" w:rsidRPr="00063D8D">
        <w:rPr>
          <w:lang w:val="ru-RU"/>
        </w:rPr>
        <w:t xml:space="preserve"> </w:t>
      </w:r>
      <w:r w:rsidR="004C6C7F">
        <w:rPr>
          <w:lang w:val="ru-RU"/>
        </w:rPr>
        <w:t>специальных</w:t>
      </w:r>
      <w:r w:rsidR="004C6C7F" w:rsidRPr="00063D8D">
        <w:rPr>
          <w:lang w:val="ru-RU"/>
        </w:rPr>
        <w:t xml:space="preserve"> </w:t>
      </w:r>
      <w:r w:rsidR="004C6C7F">
        <w:rPr>
          <w:lang w:val="ru-RU"/>
        </w:rPr>
        <w:t>программ</w:t>
      </w:r>
      <w:r w:rsidR="004C6C7F" w:rsidRPr="00063D8D">
        <w:rPr>
          <w:lang w:val="ru-RU"/>
        </w:rPr>
        <w:t xml:space="preserve"> </w:t>
      </w:r>
      <w:r w:rsidR="00063D8D">
        <w:rPr>
          <w:lang w:val="ru-RU"/>
        </w:rPr>
        <w:t>в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целях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обучения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целостному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подходу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к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аквакультуре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и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управлению</w:t>
      </w:r>
      <w:r w:rsidR="00063D8D" w:rsidRPr="00063D8D">
        <w:rPr>
          <w:lang w:val="ru-RU"/>
        </w:rPr>
        <w:t xml:space="preserve">, </w:t>
      </w:r>
      <w:r w:rsidR="00063D8D">
        <w:rPr>
          <w:lang w:val="ru-RU"/>
        </w:rPr>
        <w:t>необходимому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для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выработки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решений для актуальных проблем</w:t>
      </w:r>
      <w:r w:rsidR="005853BE" w:rsidRPr="00063D8D">
        <w:rPr>
          <w:lang w:val="ru-RU"/>
        </w:rPr>
        <w:t>;</w:t>
      </w:r>
    </w:p>
    <w:p w:rsidR="005853BE" w:rsidRPr="00063D8D" w:rsidRDefault="000B22FA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063D8D">
        <w:rPr>
          <w:lang w:val="ru-RU"/>
        </w:rPr>
        <w:t>бразование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на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всех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уровнях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включает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обучение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смягчению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социальных и экологических воздействий аквакультуры</w:t>
      </w:r>
      <w:r w:rsidR="005853BE" w:rsidRPr="00063D8D">
        <w:rPr>
          <w:lang w:val="ru-RU"/>
        </w:rPr>
        <w:t>;</w:t>
      </w:r>
    </w:p>
    <w:p w:rsidR="005853BE" w:rsidRPr="00063D8D" w:rsidRDefault="000B22FA" w:rsidP="005853BE">
      <w:pPr>
        <w:pStyle w:val="BulletList"/>
        <w:rPr>
          <w:lang w:val="ru-RU"/>
        </w:rPr>
      </w:pPr>
      <w:r>
        <w:rPr>
          <w:lang w:val="ru-RU"/>
        </w:rPr>
        <w:t>р</w:t>
      </w:r>
      <w:r w:rsidR="00063D8D">
        <w:rPr>
          <w:lang w:val="ru-RU"/>
        </w:rPr>
        <w:t>азработка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альтернативных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систем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обучения</w:t>
      </w:r>
      <w:r w:rsidR="00063D8D" w:rsidRPr="00063D8D">
        <w:rPr>
          <w:lang w:val="ru-RU"/>
        </w:rPr>
        <w:t xml:space="preserve">, </w:t>
      </w:r>
      <w:r w:rsidR="00063D8D">
        <w:rPr>
          <w:lang w:val="ru-RU"/>
        </w:rPr>
        <w:t>таких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как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неформальное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 xml:space="preserve">образование и образование на протяжении жизни </w:t>
      </w:r>
      <w:r w:rsidR="00105B5D" w:rsidRPr="00063D8D">
        <w:rPr>
          <w:lang w:val="ru-RU"/>
        </w:rPr>
        <w:t>(</w:t>
      </w:r>
      <w:r w:rsidR="00105B5D">
        <w:rPr>
          <w:lang w:val="ru-RU"/>
        </w:rPr>
        <w:t>"</w:t>
      </w:r>
      <w:r w:rsidR="00063D8D">
        <w:rPr>
          <w:lang w:val="ru-RU"/>
        </w:rPr>
        <w:t xml:space="preserve">не учитесь ради образования, но учитесь </w:t>
      </w:r>
      <w:r w:rsidR="00063D8D">
        <w:rPr>
          <w:lang w:val="ru-RU"/>
        </w:rPr>
        <w:lastRenderedPageBreak/>
        <w:t>адаптироваться к меняющимся обстоятельствам</w:t>
      </w:r>
      <w:r w:rsidR="00105B5D">
        <w:rPr>
          <w:lang w:val="ru-RU"/>
        </w:rPr>
        <w:t>"</w:t>
      </w:r>
      <w:r w:rsidR="00105B5D" w:rsidRPr="00063D8D">
        <w:rPr>
          <w:lang w:val="ru-RU"/>
        </w:rPr>
        <w:t xml:space="preserve">). </w:t>
      </w:r>
      <w:r w:rsidR="00063D8D">
        <w:rPr>
          <w:lang w:val="ru-RU"/>
        </w:rPr>
        <w:t>Есть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много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альтернативных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способов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передачи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знаний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помимо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формального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образования</w:t>
      </w:r>
      <w:r w:rsidR="00063D8D" w:rsidRPr="00063D8D">
        <w:rPr>
          <w:lang w:val="ru-RU"/>
        </w:rPr>
        <w:t xml:space="preserve">, </w:t>
      </w:r>
      <w:r w:rsidR="00063D8D">
        <w:rPr>
          <w:lang w:val="ru-RU"/>
        </w:rPr>
        <w:t>например, научно</w:t>
      </w:r>
      <w:r w:rsidR="00105B5D">
        <w:rPr>
          <w:lang w:val="ru-RU"/>
        </w:rPr>
        <w:noBreakHyphen/>
      </w:r>
      <w:r w:rsidR="00063D8D">
        <w:rPr>
          <w:lang w:val="ru-RU"/>
        </w:rPr>
        <w:t>исследовательская работа в сотрудничестве с фермерами</w:t>
      </w:r>
      <w:r w:rsidR="005853BE" w:rsidRPr="00063D8D">
        <w:rPr>
          <w:lang w:val="ru-RU"/>
        </w:rPr>
        <w:t>;</w:t>
      </w:r>
    </w:p>
    <w:p w:rsidR="005853BE" w:rsidRPr="00063D8D" w:rsidRDefault="000B22FA" w:rsidP="005853BE">
      <w:pPr>
        <w:pStyle w:val="BulletList"/>
        <w:rPr>
          <w:lang w:val="ru-RU"/>
        </w:rPr>
      </w:pPr>
      <w:r>
        <w:rPr>
          <w:lang w:val="ru-RU"/>
        </w:rPr>
        <w:t>н</w:t>
      </w:r>
      <w:r w:rsidR="00063D8D">
        <w:rPr>
          <w:lang w:val="ru-RU"/>
        </w:rPr>
        <w:t>аставничество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является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важным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компонентом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систем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обучения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такого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типа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и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должно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координироваться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сетями</w:t>
      </w:r>
      <w:r w:rsidR="00063D8D" w:rsidRPr="00063D8D">
        <w:rPr>
          <w:lang w:val="ru-RU"/>
        </w:rPr>
        <w:t xml:space="preserve"> </w:t>
      </w:r>
      <w:r w:rsidR="00063D8D">
        <w:rPr>
          <w:lang w:val="ru-RU"/>
        </w:rPr>
        <w:t>знаний</w:t>
      </w:r>
      <w:r w:rsidR="005853BE" w:rsidRPr="00063D8D">
        <w:rPr>
          <w:lang w:val="ru-RU"/>
        </w:rPr>
        <w:t xml:space="preserve">. </w:t>
      </w:r>
    </w:p>
    <w:p w:rsidR="005853BE" w:rsidRPr="00063D8D" w:rsidRDefault="005853BE" w:rsidP="005853BE">
      <w:pPr>
        <w:rPr>
          <w:lang w:val="ru-RU"/>
        </w:rPr>
      </w:pPr>
    </w:p>
    <w:p w:rsidR="005853BE" w:rsidRPr="00140C64" w:rsidRDefault="00063D8D" w:rsidP="005853BE">
      <w:pPr>
        <w:pStyle w:val="NewPara"/>
        <w:jc w:val="both"/>
        <w:rPr>
          <w:lang w:val="ru-RU"/>
        </w:rPr>
      </w:pPr>
      <w:r>
        <w:rPr>
          <w:lang w:val="ru-RU"/>
        </w:rPr>
        <w:t>Стандартизация</w:t>
      </w:r>
      <w:r w:rsidRPr="00140C64">
        <w:rPr>
          <w:lang w:val="ru-RU"/>
        </w:rPr>
        <w:t xml:space="preserve"> </w:t>
      </w:r>
      <w:r>
        <w:rPr>
          <w:lang w:val="ru-RU"/>
        </w:rPr>
        <w:t>образовательных</w:t>
      </w:r>
      <w:r w:rsidRPr="00140C64">
        <w:rPr>
          <w:lang w:val="ru-RU"/>
        </w:rPr>
        <w:t xml:space="preserve"> </w:t>
      </w:r>
      <w:r>
        <w:rPr>
          <w:lang w:val="ru-RU"/>
        </w:rPr>
        <w:t>систем</w:t>
      </w:r>
      <w:r w:rsidRPr="00140C64">
        <w:rPr>
          <w:lang w:val="ru-RU"/>
        </w:rPr>
        <w:t xml:space="preserve"> </w:t>
      </w:r>
      <w:r>
        <w:rPr>
          <w:lang w:val="ru-RU"/>
        </w:rPr>
        <w:t>облегчила</w:t>
      </w:r>
      <w:r w:rsidRPr="00140C64">
        <w:rPr>
          <w:lang w:val="ru-RU"/>
        </w:rPr>
        <w:t xml:space="preserve"> </w:t>
      </w:r>
      <w:r>
        <w:rPr>
          <w:lang w:val="ru-RU"/>
        </w:rPr>
        <w:t>бы</w:t>
      </w:r>
      <w:r w:rsidRPr="00140C64">
        <w:rPr>
          <w:lang w:val="ru-RU"/>
        </w:rPr>
        <w:t xml:space="preserve"> </w:t>
      </w:r>
      <w:r>
        <w:rPr>
          <w:lang w:val="ru-RU"/>
        </w:rPr>
        <w:t>мобильность</w:t>
      </w:r>
      <w:r w:rsidRPr="00140C64">
        <w:rPr>
          <w:lang w:val="ru-RU"/>
        </w:rPr>
        <w:t xml:space="preserve"> </w:t>
      </w:r>
      <w:r>
        <w:rPr>
          <w:lang w:val="ru-RU"/>
        </w:rPr>
        <w:t>на</w:t>
      </w:r>
      <w:r w:rsidRPr="00140C64">
        <w:rPr>
          <w:lang w:val="ru-RU"/>
        </w:rPr>
        <w:t xml:space="preserve"> </w:t>
      </w:r>
      <w:r>
        <w:rPr>
          <w:lang w:val="ru-RU"/>
        </w:rPr>
        <w:t>рынке</w:t>
      </w:r>
      <w:r w:rsidRPr="00140C64">
        <w:rPr>
          <w:lang w:val="ru-RU"/>
        </w:rPr>
        <w:t xml:space="preserve"> </w:t>
      </w:r>
      <w:r>
        <w:rPr>
          <w:lang w:val="ru-RU"/>
        </w:rPr>
        <w:t>труда</w:t>
      </w:r>
      <w:r w:rsidRPr="00140C64">
        <w:rPr>
          <w:lang w:val="ru-RU"/>
        </w:rPr>
        <w:t xml:space="preserve"> </w:t>
      </w:r>
      <w:r w:rsidR="00140C64">
        <w:rPr>
          <w:lang w:val="ru-RU"/>
        </w:rPr>
        <w:t>в</w:t>
      </w:r>
      <w:r w:rsidR="00140C64" w:rsidRPr="00140C64">
        <w:rPr>
          <w:lang w:val="ru-RU"/>
        </w:rPr>
        <w:t xml:space="preserve"> </w:t>
      </w:r>
      <w:r w:rsidR="00140C64">
        <w:rPr>
          <w:lang w:val="ru-RU"/>
        </w:rPr>
        <w:t>отрасли</w:t>
      </w:r>
      <w:r w:rsidR="00140C64" w:rsidRPr="00140C64">
        <w:rPr>
          <w:lang w:val="ru-RU"/>
        </w:rPr>
        <w:t xml:space="preserve"> </w:t>
      </w:r>
      <w:r w:rsidR="00140C64">
        <w:rPr>
          <w:lang w:val="ru-RU"/>
        </w:rPr>
        <w:t>аквакультуры</w:t>
      </w:r>
      <w:r w:rsidR="00140C64" w:rsidRPr="00140C64">
        <w:rPr>
          <w:lang w:val="ru-RU"/>
        </w:rPr>
        <w:t xml:space="preserve">, </w:t>
      </w:r>
      <w:r w:rsidR="00140C64">
        <w:rPr>
          <w:lang w:val="ru-RU"/>
        </w:rPr>
        <w:t>но</w:t>
      </w:r>
      <w:r w:rsidR="00140C64" w:rsidRPr="00140C64">
        <w:rPr>
          <w:lang w:val="ru-RU"/>
        </w:rPr>
        <w:t xml:space="preserve"> </w:t>
      </w:r>
      <w:r w:rsidR="00140C64">
        <w:rPr>
          <w:lang w:val="ru-RU"/>
        </w:rPr>
        <w:t>существует</w:t>
      </w:r>
      <w:r w:rsidR="00140C64" w:rsidRPr="00140C64">
        <w:rPr>
          <w:lang w:val="ru-RU"/>
        </w:rPr>
        <w:t xml:space="preserve"> </w:t>
      </w:r>
      <w:r w:rsidR="00140C64">
        <w:rPr>
          <w:lang w:val="ru-RU"/>
        </w:rPr>
        <w:t>риск</w:t>
      </w:r>
      <w:r w:rsidR="00140C64" w:rsidRPr="00140C64">
        <w:rPr>
          <w:lang w:val="ru-RU"/>
        </w:rPr>
        <w:t xml:space="preserve"> </w:t>
      </w:r>
      <w:r w:rsidR="00140C64">
        <w:rPr>
          <w:lang w:val="ru-RU"/>
        </w:rPr>
        <w:t>утратить местную специфику и разнообразие учебных программ/курсов, поэтому для поощрения разнообразия и новаторского мышления гармонизация важнее стандартизации; то</w:t>
      </w:r>
      <w:r w:rsidR="000B22FA">
        <w:rPr>
          <w:lang w:val="ru-RU"/>
        </w:rPr>
        <w:t>,</w:t>
      </w:r>
      <w:r w:rsidR="00140C64">
        <w:rPr>
          <w:lang w:val="ru-RU"/>
        </w:rPr>
        <w:t xml:space="preserve"> что лучше всего подходит для каждой страны, в конечном счете лучше всего отвечает интересам и всех остальных стран</w:t>
      </w:r>
      <w:r w:rsidR="005853BE" w:rsidRPr="00140C64">
        <w:rPr>
          <w:lang w:val="ru-RU"/>
        </w:rPr>
        <w:t>.</w:t>
      </w:r>
    </w:p>
    <w:p w:rsidR="005853BE" w:rsidRPr="00140C64" w:rsidRDefault="005853BE" w:rsidP="005853BE">
      <w:pPr>
        <w:rPr>
          <w:lang w:val="ru-RU"/>
        </w:rPr>
      </w:pPr>
    </w:p>
    <w:p w:rsidR="005853BE" w:rsidRPr="00B81F99" w:rsidRDefault="00140C64" w:rsidP="005853BE">
      <w:pPr>
        <w:pStyle w:val="NewPara"/>
        <w:jc w:val="both"/>
        <w:rPr>
          <w:lang w:val="ru-RU"/>
        </w:rPr>
      </w:pPr>
      <w:r>
        <w:rPr>
          <w:lang w:val="ru-RU"/>
        </w:rPr>
        <w:t>Сотрудничество</w:t>
      </w:r>
      <w:r w:rsidRPr="00B81F99">
        <w:rPr>
          <w:lang w:val="ru-RU"/>
        </w:rPr>
        <w:t xml:space="preserve"> </w:t>
      </w:r>
      <w:r>
        <w:rPr>
          <w:lang w:val="ru-RU"/>
        </w:rPr>
        <w:t>и</w:t>
      </w:r>
      <w:r w:rsidRPr="00B81F99">
        <w:rPr>
          <w:lang w:val="ru-RU"/>
        </w:rPr>
        <w:t xml:space="preserve"> </w:t>
      </w:r>
      <w:r>
        <w:rPr>
          <w:lang w:val="ru-RU"/>
        </w:rPr>
        <w:t>партнерские</w:t>
      </w:r>
      <w:r w:rsidRPr="00B81F99">
        <w:rPr>
          <w:lang w:val="ru-RU"/>
        </w:rPr>
        <w:t xml:space="preserve"> </w:t>
      </w:r>
      <w:r>
        <w:rPr>
          <w:lang w:val="ru-RU"/>
        </w:rPr>
        <w:t>связи</w:t>
      </w:r>
      <w:r w:rsidRPr="00B81F99">
        <w:rPr>
          <w:lang w:val="ru-RU"/>
        </w:rPr>
        <w:t xml:space="preserve"> </w:t>
      </w:r>
      <w:r>
        <w:rPr>
          <w:lang w:val="ru-RU"/>
        </w:rPr>
        <w:t>через</w:t>
      </w:r>
      <w:r w:rsidRPr="00B81F99">
        <w:rPr>
          <w:lang w:val="ru-RU"/>
        </w:rPr>
        <w:t xml:space="preserve"> </w:t>
      </w:r>
      <w:r>
        <w:rPr>
          <w:lang w:val="ru-RU"/>
        </w:rPr>
        <w:t>консорциумы</w:t>
      </w:r>
      <w:r w:rsidRPr="00B81F99">
        <w:rPr>
          <w:lang w:val="ru-RU"/>
        </w:rPr>
        <w:t xml:space="preserve">, </w:t>
      </w:r>
      <w:r>
        <w:rPr>
          <w:lang w:val="ru-RU"/>
        </w:rPr>
        <w:t>во</w:t>
      </w:r>
      <w:r w:rsidRPr="00B81F99">
        <w:rPr>
          <w:lang w:val="ru-RU"/>
        </w:rPr>
        <w:t xml:space="preserve"> </w:t>
      </w:r>
      <w:r>
        <w:rPr>
          <w:lang w:val="ru-RU"/>
        </w:rPr>
        <w:t>главе</w:t>
      </w:r>
      <w:r w:rsidRPr="00B81F99">
        <w:rPr>
          <w:lang w:val="ru-RU"/>
        </w:rPr>
        <w:t xml:space="preserve"> </w:t>
      </w:r>
      <w:r>
        <w:rPr>
          <w:lang w:val="ru-RU"/>
        </w:rPr>
        <w:t>которых</w:t>
      </w:r>
      <w:r w:rsidRPr="00B81F99">
        <w:rPr>
          <w:lang w:val="ru-RU"/>
        </w:rPr>
        <w:t xml:space="preserve"> </w:t>
      </w:r>
      <w:r>
        <w:rPr>
          <w:lang w:val="ru-RU"/>
        </w:rPr>
        <w:t>стоят</w:t>
      </w:r>
      <w:r w:rsidRPr="00B81F99">
        <w:rPr>
          <w:lang w:val="ru-RU"/>
        </w:rPr>
        <w:t xml:space="preserve"> </w:t>
      </w:r>
      <w:r w:rsidR="00B81F99">
        <w:rPr>
          <w:lang w:val="ru-RU"/>
        </w:rPr>
        <w:t>международно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признанные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образовательные учреждения,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а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также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через международные сети являются эффективными механизмами повышения качества образовательных программ</w:t>
      </w:r>
      <w:r w:rsidR="005853BE" w:rsidRPr="00B81F99">
        <w:rPr>
          <w:lang w:val="ru-RU"/>
        </w:rPr>
        <w:t xml:space="preserve">. </w:t>
      </w:r>
      <w:r w:rsidR="00B81F99">
        <w:rPr>
          <w:lang w:val="ru-RU"/>
        </w:rPr>
        <w:t>Образовательный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консорциум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может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стать механизмом для содействия</w:t>
      </w:r>
      <w:r w:rsidR="005853BE" w:rsidRPr="00B81F99">
        <w:rPr>
          <w:lang w:val="ru-RU"/>
        </w:rPr>
        <w:t>:</w:t>
      </w:r>
    </w:p>
    <w:p w:rsidR="005853BE" w:rsidRPr="00B81F99" w:rsidRDefault="000B22FA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B81F99">
        <w:rPr>
          <w:lang w:val="ru-RU"/>
        </w:rPr>
        <w:t>птимизации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исследовательской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работы</w:t>
      </w:r>
      <w:r w:rsidR="00B81F99" w:rsidRPr="00B81F99">
        <w:rPr>
          <w:lang w:val="ru-RU"/>
        </w:rPr>
        <w:t xml:space="preserve"> (</w:t>
      </w:r>
      <w:r w:rsidR="00B81F99">
        <w:rPr>
          <w:lang w:val="ru-RU"/>
        </w:rPr>
        <w:t>одно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и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то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же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исследование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не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дублируется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различными организациям</w:t>
      </w:r>
      <w:r w:rsidR="00105B5D">
        <w:rPr>
          <w:lang w:val="ru-RU"/>
        </w:rPr>
        <w:t>и</w:t>
      </w:r>
      <w:r w:rsidR="00B81F99">
        <w:rPr>
          <w:lang w:val="ru-RU"/>
        </w:rPr>
        <w:t>)</w:t>
      </w:r>
      <w:r w:rsidR="005853BE" w:rsidRPr="00B81F99">
        <w:rPr>
          <w:lang w:val="ru-RU"/>
        </w:rPr>
        <w:t>;</w:t>
      </w:r>
    </w:p>
    <w:p w:rsidR="005853BE" w:rsidRPr="000B22FA" w:rsidRDefault="000B22FA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B81F99">
        <w:rPr>
          <w:lang w:val="ru-RU"/>
        </w:rPr>
        <w:t>бмену</w:t>
      </w:r>
      <w:r w:rsidR="00B81F99" w:rsidRPr="000B22FA">
        <w:rPr>
          <w:lang w:val="ru-RU"/>
        </w:rPr>
        <w:t xml:space="preserve"> </w:t>
      </w:r>
      <w:r w:rsidR="00B81F99">
        <w:rPr>
          <w:lang w:val="ru-RU"/>
        </w:rPr>
        <w:t>информацией</w:t>
      </w:r>
      <w:r w:rsidR="00B81F99" w:rsidRPr="000B22FA">
        <w:rPr>
          <w:lang w:val="ru-RU"/>
        </w:rPr>
        <w:t xml:space="preserve"> </w:t>
      </w:r>
      <w:r w:rsidR="00B81F99">
        <w:rPr>
          <w:lang w:val="ru-RU"/>
        </w:rPr>
        <w:t>и</w:t>
      </w:r>
      <w:r w:rsidR="00B81F99" w:rsidRPr="000B22FA">
        <w:rPr>
          <w:lang w:val="ru-RU"/>
        </w:rPr>
        <w:t xml:space="preserve"> </w:t>
      </w:r>
      <w:r w:rsidR="00B81F99">
        <w:rPr>
          <w:lang w:val="ru-RU"/>
        </w:rPr>
        <w:t>опытом</w:t>
      </w:r>
      <w:r w:rsidR="005853BE" w:rsidRPr="000B22FA">
        <w:rPr>
          <w:lang w:val="ru-RU"/>
        </w:rPr>
        <w:t xml:space="preserve">; </w:t>
      </w:r>
      <w:r w:rsidR="00B81F99">
        <w:rPr>
          <w:lang w:val="ru-RU"/>
        </w:rPr>
        <w:t>и</w:t>
      </w:r>
    </w:p>
    <w:p w:rsidR="005853BE" w:rsidRPr="00B81F99" w:rsidRDefault="000B22FA" w:rsidP="005853BE">
      <w:pPr>
        <w:pStyle w:val="BulletList"/>
        <w:rPr>
          <w:lang w:val="ru-RU"/>
        </w:rPr>
      </w:pPr>
      <w:r>
        <w:rPr>
          <w:lang w:val="ru-RU"/>
        </w:rPr>
        <w:t>п</w:t>
      </w:r>
      <w:r w:rsidR="00B81F99">
        <w:rPr>
          <w:lang w:val="ru-RU"/>
        </w:rPr>
        <w:t>овышению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привлекательности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учебного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заведения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для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абитуриентов</w:t>
      </w:r>
      <w:r w:rsidR="00B81F99" w:rsidRPr="00B81F99">
        <w:rPr>
          <w:lang w:val="ru-RU"/>
        </w:rPr>
        <w:t xml:space="preserve">, </w:t>
      </w:r>
      <w:r w:rsidR="00B81F99">
        <w:rPr>
          <w:lang w:val="ru-RU"/>
        </w:rPr>
        <w:t>рассматривающих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возможность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карьеры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в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области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рыболовного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хозяйства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и</w:t>
      </w:r>
      <w:r w:rsidR="00B81F99" w:rsidRPr="00B81F99">
        <w:rPr>
          <w:lang w:val="ru-RU"/>
        </w:rPr>
        <w:t xml:space="preserve"> </w:t>
      </w:r>
      <w:r w:rsidR="00B81F99">
        <w:rPr>
          <w:lang w:val="ru-RU"/>
        </w:rPr>
        <w:t>аквакультуры</w:t>
      </w:r>
      <w:r w:rsidR="005853BE" w:rsidRPr="00B81F99">
        <w:rPr>
          <w:lang w:val="ru-RU"/>
        </w:rPr>
        <w:t>.</w:t>
      </w:r>
    </w:p>
    <w:p w:rsidR="005853BE" w:rsidRPr="00B81F99" w:rsidRDefault="005853BE" w:rsidP="005853BE">
      <w:pPr>
        <w:rPr>
          <w:lang w:val="ru-RU"/>
        </w:rPr>
      </w:pPr>
    </w:p>
    <w:p w:rsidR="005853BE" w:rsidRPr="00B81F99" w:rsidRDefault="00B81F99" w:rsidP="005853BE">
      <w:pPr>
        <w:pStyle w:val="NewPara"/>
        <w:jc w:val="both"/>
        <w:rPr>
          <w:lang w:val="ru-RU"/>
        </w:rPr>
      </w:pPr>
      <w:r>
        <w:rPr>
          <w:lang w:val="ru-RU"/>
        </w:rPr>
        <w:t>Республика</w:t>
      </w:r>
      <w:r w:rsidRPr="00B81F99">
        <w:rPr>
          <w:lang w:val="ru-RU"/>
        </w:rPr>
        <w:t xml:space="preserve"> </w:t>
      </w:r>
      <w:r>
        <w:rPr>
          <w:lang w:val="ru-RU"/>
        </w:rPr>
        <w:t>Корея</w:t>
      </w:r>
      <w:r w:rsidRPr="00B81F99">
        <w:rPr>
          <w:lang w:val="ru-RU"/>
        </w:rPr>
        <w:t xml:space="preserve"> </w:t>
      </w:r>
      <w:r>
        <w:rPr>
          <w:lang w:val="ru-RU"/>
        </w:rPr>
        <w:t>учредила</w:t>
      </w:r>
      <w:r w:rsidRPr="00B81F99">
        <w:rPr>
          <w:lang w:val="ru-RU"/>
        </w:rPr>
        <w:t xml:space="preserve"> </w:t>
      </w:r>
      <w:r>
        <w:rPr>
          <w:lang w:val="ru-RU"/>
        </w:rPr>
        <w:t>и</w:t>
      </w:r>
      <w:r w:rsidRPr="00B81F99">
        <w:rPr>
          <w:lang w:val="ru-RU"/>
        </w:rPr>
        <w:t xml:space="preserve"> </w:t>
      </w:r>
      <w:r>
        <w:rPr>
          <w:lang w:val="ru-RU"/>
        </w:rPr>
        <w:t>развивает</w:t>
      </w:r>
      <w:r w:rsidRPr="00B81F99">
        <w:rPr>
          <w:lang w:val="ru-RU"/>
        </w:rPr>
        <w:t xml:space="preserve"> </w:t>
      </w:r>
      <w:r>
        <w:rPr>
          <w:lang w:val="ru-RU"/>
        </w:rPr>
        <w:t>Университет</w:t>
      </w:r>
      <w:r w:rsidRPr="00B81F99">
        <w:rPr>
          <w:lang w:val="ru-RU"/>
        </w:rPr>
        <w:t xml:space="preserve"> </w:t>
      </w:r>
      <w:r>
        <w:rPr>
          <w:lang w:val="ru-RU"/>
        </w:rPr>
        <w:t>ООН рыболовства и аквакультуры, и было бы полезно изучить пути сотрудничества с ним в целях повышения его вклада в глобальные процессы образования и научной работы в области аквакультуры. Корейский</w:t>
      </w:r>
      <w:r w:rsidRPr="00B81F99">
        <w:rPr>
          <w:lang w:val="ru-RU"/>
        </w:rPr>
        <w:t xml:space="preserve"> </w:t>
      </w:r>
      <w:r>
        <w:rPr>
          <w:lang w:val="ru-RU"/>
        </w:rPr>
        <w:t>Университет</w:t>
      </w:r>
      <w:r w:rsidRPr="00B81F99">
        <w:rPr>
          <w:lang w:val="ru-RU"/>
        </w:rPr>
        <w:t xml:space="preserve"> </w:t>
      </w:r>
      <w:r>
        <w:rPr>
          <w:lang w:val="ru-RU"/>
        </w:rPr>
        <w:t>мог</w:t>
      </w:r>
      <w:r w:rsidRPr="00B81F99">
        <w:rPr>
          <w:lang w:val="ru-RU"/>
        </w:rPr>
        <w:t xml:space="preserve"> </w:t>
      </w:r>
      <w:r>
        <w:rPr>
          <w:lang w:val="ru-RU"/>
        </w:rPr>
        <w:t>бы</w:t>
      </w:r>
      <w:r w:rsidRPr="00B81F99">
        <w:rPr>
          <w:lang w:val="ru-RU"/>
        </w:rPr>
        <w:t xml:space="preserve"> </w:t>
      </w:r>
      <w:r>
        <w:rPr>
          <w:lang w:val="ru-RU"/>
        </w:rPr>
        <w:t>стать</w:t>
      </w:r>
      <w:r w:rsidRPr="00B81F99">
        <w:rPr>
          <w:lang w:val="ru-RU"/>
        </w:rPr>
        <w:t xml:space="preserve"> </w:t>
      </w:r>
      <w:r>
        <w:rPr>
          <w:lang w:val="ru-RU"/>
        </w:rPr>
        <w:t>одной</w:t>
      </w:r>
      <w:r w:rsidRPr="00B81F99">
        <w:rPr>
          <w:lang w:val="ru-RU"/>
        </w:rPr>
        <w:t xml:space="preserve"> </w:t>
      </w:r>
      <w:r>
        <w:rPr>
          <w:lang w:val="ru-RU"/>
        </w:rPr>
        <w:t>из</w:t>
      </w:r>
      <w:r w:rsidRPr="00B81F99">
        <w:rPr>
          <w:lang w:val="ru-RU"/>
        </w:rPr>
        <w:t xml:space="preserve"> </w:t>
      </w:r>
      <w:r>
        <w:rPr>
          <w:lang w:val="ru-RU"/>
        </w:rPr>
        <w:t>ведущих</w:t>
      </w:r>
      <w:r w:rsidRPr="00B81F99">
        <w:rPr>
          <w:lang w:val="ru-RU"/>
        </w:rPr>
        <w:t xml:space="preserve"> </w:t>
      </w:r>
      <w:r>
        <w:rPr>
          <w:lang w:val="ru-RU"/>
        </w:rPr>
        <w:t>организаций регионального или глобального консорциума</w:t>
      </w:r>
      <w:r w:rsidR="005853BE" w:rsidRPr="00B81F99">
        <w:rPr>
          <w:lang w:val="ru-RU"/>
        </w:rPr>
        <w:t>.</w:t>
      </w:r>
    </w:p>
    <w:p w:rsidR="005853BE" w:rsidRPr="00B81F99" w:rsidRDefault="005853BE" w:rsidP="005853BE">
      <w:pPr>
        <w:rPr>
          <w:lang w:val="ru-RU"/>
        </w:rPr>
      </w:pPr>
    </w:p>
    <w:p w:rsidR="005853BE" w:rsidRPr="008B5791" w:rsidRDefault="00360B7D" w:rsidP="005853BE">
      <w:pPr>
        <w:pStyle w:val="NewPara"/>
        <w:jc w:val="both"/>
        <w:rPr>
          <w:lang w:val="ru-RU"/>
        </w:rPr>
      </w:pPr>
      <w:r>
        <w:rPr>
          <w:lang w:val="ru-RU"/>
        </w:rPr>
        <w:t>Частный</w:t>
      </w:r>
      <w:r w:rsidRPr="00BC760D">
        <w:rPr>
          <w:lang w:val="ru-RU"/>
        </w:rPr>
        <w:t xml:space="preserve"> </w:t>
      </w:r>
      <w:r>
        <w:rPr>
          <w:lang w:val="ru-RU"/>
        </w:rPr>
        <w:t>сектор</w:t>
      </w:r>
      <w:r w:rsidRPr="00BC760D">
        <w:rPr>
          <w:lang w:val="ru-RU"/>
        </w:rPr>
        <w:t xml:space="preserve"> </w:t>
      </w:r>
      <w:r>
        <w:rPr>
          <w:lang w:val="ru-RU"/>
        </w:rPr>
        <w:t>должен</w:t>
      </w:r>
      <w:r w:rsidRPr="00BC760D">
        <w:rPr>
          <w:lang w:val="ru-RU"/>
        </w:rPr>
        <w:t xml:space="preserve"> </w:t>
      </w:r>
      <w:r>
        <w:rPr>
          <w:lang w:val="ru-RU"/>
        </w:rPr>
        <w:t>стать</w:t>
      </w:r>
      <w:r w:rsidRPr="00BC760D">
        <w:rPr>
          <w:lang w:val="ru-RU"/>
        </w:rPr>
        <w:t xml:space="preserve"> </w:t>
      </w:r>
      <w:r>
        <w:rPr>
          <w:lang w:val="ru-RU"/>
        </w:rPr>
        <w:t>частью</w:t>
      </w:r>
      <w:r w:rsidRPr="00BC760D">
        <w:rPr>
          <w:lang w:val="ru-RU"/>
        </w:rPr>
        <w:t xml:space="preserve"> </w:t>
      </w:r>
      <w:r>
        <w:rPr>
          <w:lang w:val="ru-RU"/>
        </w:rPr>
        <w:t>консорциума</w:t>
      </w:r>
      <w:r w:rsidRPr="00BC760D">
        <w:rPr>
          <w:lang w:val="ru-RU"/>
        </w:rPr>
        <w:t xml:space="preserve">, </w:t>
      </w:r>
      <w:r>
        <w:rPr>
          <w:lang w:val="ru-RU"/>
        </w:rPr>
        <w:t>чтобы</w:t>
      </w:r>
      <w:r w:rsidRPr="00BC760D">
        <w:rPr>
          <w:lang w:val="ru-RU"/>
        </w:rPr>
        <w:t xml:space="preserve"> </w:t>
      </w:r>
      <w:r>
        <w:rPr>
          <w:lang w:val="ru-RU"/>
        </w:rPr>
        <w:t>его</w:t>
      </w:r>
      <w:r w:rsidRPr="00BC760D">
        <w:rPr>
          <w:lang w:val="ru-RU"/>
        </w:rPr>
        <w:t xml:space="preserve"> </w:t>
      </w:r>
      <w:r w:rsidR="00BC760D">
        <w:rPr>
          <w:lang w:val="ru-RU"/>
        </w:rPr>
        <w:t xml:space="preserve">потребности </w:t>
      </w:r>
      <w:r w:rsidR="000B22FA">
        <w:rPr>
          <w:lang w:val="ru-RU"/>
        </w:rPr>
        <w:t>в</w:t>
      </w:r>
      <w:r w:rsidR="00BC760D">
        <w:rPr>
          <w:lang w:val="ru-RU"/>
        </w:rPr>
        <w:t xml:space="preserve"> трудовых </w:t>
      </w:r>
      <w:r w:rsidR="00105B5D">
        <w:rPr>
          <w:lang w:val="ru-RU"/>
        </w:rPr>
        <w:t xml:space="preserve">ресурсах </w:t>
      </w:r>
      <w:r w:rsidR="00BC760D">
        <w:rPr>
          <w:lang w:val="ru-RU"/>
        </w:rPr>
        <w:t>и технологи</w:t>
      </w:r>
      <w:r w:rsidR="000B22FA">
        <w:rPr>
          <w:lang w:val="ru-RU"/>
        </w:rPr>
        <w:t>ях</w:t>
      </w:r>
      <w:r w:rsidR="00BC760D">
        <w:rPr>
          <w:lang w:val="ru-RU"/>
        </w:rPr>
        <w:t xml:space="preserve"> учитывались (зачастую частный сектор не уверен, какие образовательные учреждения для этого нужны)</w:t>
      </w:r>
      <w:r w:rsidR="005853BE" w:rsidRPr="00BC760D">
        <w:rPr>
          <w:lang w:val="ru-RU"/>
        </w:rPr>
        <w:t xml:space="preserve">. </w:t>
      </w:r>
      <w:r w:rsidR="00BC760D">
        <w:rPr>
          <w:lang w:val="ru-RU"/>
        </w:rPr>
        <w:t>Потребность</w:t>
      </w:r>
      <w:r w:rsidR="00BC760D" w:rsidRPr="00BC760D">
        <w:rPr>
          <w:lang w:val="ru-RU"/>
        </w:rPr>
        <w:t xml:space="preserve"> </w:t>
      </w:r>
      <w:r w:rsidR="00BC760D">
        <w:rPr>
          <w:lang w:val="ru-RU"/>
        </w:rPr>
        <w:t>в</w:t>
      </w:r>
      <w:r w:rsidR="00BC760D" w:rsidRPr="00BC760D">
        <w:rPr>
          <w:lang w:val="ru-RU"/>
        </w:rPr>
        <w:t xml:space="preserve"> </w:t>
      </w:r>
      <w:r w:rsidR="00BC760D">
        <w:rPr>
          <w:lang w:val="ru-RU"/>
        </w:rPr>
        <w:t>специалистах</w:t>
      </w:r>
      <w:r w:rsidR="00BC760D" w:rsidRPr="00BC760D">
        <w:rPr>
          <w:lang w:val="ru-RU"/>
        </w:rPr>
        <w:t xml:space="preserve"> </w:t>
      </w:r>
      <w:r w:rsidR="00BC760D">
        <w:rPr>
          <w:lang w:val="ru-RU"/>
        </w:rPr>
        <w:t>с</w:t>
      </w:r>
      <w:r w:rsidR="00BC760D" w:rsidRPr="00BC760D">
        <w:rPr>
          <w:lang w:val="ru-RU"/>
        </w:rPr>
        <w:t xml:space="preserve"> </w:t>
      </w:r>
      <w:r w:rsidR="00BC760D">
        <w:rPr>
          <w:lang w:val="ru-RU"/>
        </w:rPr>
        <w:t>конкретным образованием может диктоваться тенденциями в бизнесе</w:t>
      </w:r>
      <w:r w:rsidR="005853BE" w:rsidRPr="00BC760D">
        <w:rPr>
          <w:lang w:val="ru-RU"/>
        </w:rPr>
        <w:t xml:space="preserve">; </w:t>
      </w:r>
      <w:r w:rsidR="00BC760D">
        <w:rPr>
          <w:lang w:val="ru-RU"/>
        </w:rPr>
        <w:t>студентов стимулирует возможность трудоустройства</w:t>
      </w:r>
      <w:r w:rsidR="005853BE" w:rsidRPr="00BC760D">
        <w:rPr>
          <w:lang w:val="ru-RU"/>
        </w:rPr>
        <w:t xml:space="preserve">. </w:t>
      </w:r>
      <w:r w:rsidR="00BC760D">
        <w:rPr>
          <w:lang w:val="ru-RU"/>
        </w:rPr>
        <w:t>Во</w:t>
      </w:r>
      <w:r w:rsidR="00BC760D" w:rsidRPr="008B5791">
        <w:rPr>
          <w:lang w:val="ru-RU"/>
        </w:rPr>
        <w:t xml:space="preserve"> </w:t>
      </w:r>
      <w:r w:rsidR="00BC760D">
        <w:rPr>
          <w:lang w:val="ru-RU"/>
        </w:rPr>
        <w:t>время</w:t>
      </w:r>
      <w:r w:rsidR="00BC760D" w:rsidRPr="008B5791">
        <w:rPr>
          <w:lang w:val="ru-RU"/>
        </w:rPr>
        <w:t xml:space="preserve"> </w:t>
      </w:r>
      <w:r w:rsidR="00105B5D">
        <w:rPr>
          <w:lang w:val="ru-RU"/>
        </w:rPr>
        <w:t>"</w:t>
      </w:r>
      <w:r w:rsidR="00BC760D">
        <w:rPr>
          <w:lang w:val="ru-RU"/>
        </w:rPr>
        <w:t>креветочного</w:t>
      </w:r>
      <w:r w:rsidR="00BC760D" w:rsidRPr="008B5791">
        <w:rPr>
          <w:lang w:val="ru-RU"/>
        </w:rPr>
        <w:t xml:space="preserve"> </w:t>
      </w:r>
      <w:r w:rsidR="00BC760D">
        <w:rPr>
          <w:lang w:val="ru-RU"/>
        </w:rPr>
        <w:t>бума</w:t>
      </w:r>
      <w:r w:rsidR="00105B5D">
        <w:rPr>
          <w:lang w:val="ru-RU"/>
        </w:rPr>
        <w:t xml:space="preserve">" </w:t>
      </w:r>
      <w:r w:rsidR="00BC760D">
        <w:rPr>
          <w:lang w:val="ru-RU"/>
        </w:rPr>
        <w:t>в середине 1990-х годов в Таиланде резко возросло число студентов, записывавшихся на программы обучения в области аквакультуры</w:t>
      </w:r>
      <w:r w:rsidR="005853BE" w:rsidRPr="008B5791">
        <w:rPr>
          <w:lang w:val="ru-RU"/>
        </w:rPr>
        <w:t xml:space="preserve">. </w:t>
      </w:r>
    </w:p>
    <w:p w:rsidR="005853BE" w:rsidRPr="008B5791" w:rsidRDefault="005853BE" w:rsidP="005853BE">
      <w:pPr>
        <w:rPr>
          <w:lang w:val="ru-RU"/>
        </w:rPr>
      </w:pPr>
    </w:p>
    <w:p w:rsidR="005853BE" w:rsidRPr="005F7525" w:rsidRDefault="008B5791" w:rsidP="005853BE">
      <w:pPr>
        <w:pStyle w:val="NewPara"/>
        <w:jc w:val="both"/>
        <w:rPr>
          <w:lang w:val="ru-RU"/>
        </w:rPr>
      </w:pPr>
      <w:r>
        <w:rPr>
          <w:lang w:val="ru-RU"/>
        </w:rPr>
        <w:t>Главная проблема состоит в том, что образование (и исследовательская работа) обслуживает рынок</w:t>
      </w:r>
      <w:r w:rsidR="005853BE" w:rsidRPr="008B5791">
        <w:rPr>
          <w:lang w:val="ru-RU"/>
        </w:rPr>
        <w:t xml:space="preserve">. </w:t>
      </w:r>
      <w:r>
        <w:rPr>
          <w:lang w:val="ru-RU"/>
        </w:rPr>
        <w:t>Тенденция</w:t>
      </w:r>
      <w:r w:rsidRPr="005F7525">
        <w:rPr>
          <w:lang w:val="ru-RU"/>
        </w:rPr>
        <w:t xml:space="preserve"> </w:t>
      </w:r>
      <w:r>
        <w:rPr>
          <w:lang w:val="ru-RU"/>
        </w:rPr>
        <w:t>такова</w:t>
      </w:r>
      <w:r w:rsidRPr="005F7525">
        <w:rPr>
          <w:lang w:val="ru-RU"/>
        </w:rPr>
        <w:t xml:space="preserve">, </w:t>
      </w:r>
      <w:r>
        <w:rPr>
          <w:lang w:val="ru-RU"/>
        </w:rPr>
        <w:t>что</w:t>
      </w:r>
      <w:r w:rsidRPr="005F7525">
        <w:rPr>
          <w:lang w:val="ru-RU"/>
        </w:rPr>
        <w:t xml:space="preserve"> </w:t>
      </w:r>
      <w:r>
        <w:rPr>
          <w:lang w:val="ru-RU"/>
        </w:rPr>
        <w:t>образовательные</w:t>
      </w:r>
      <w:r w:rsidRPr="005F7525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5F7525">
        <w:rPr>
          <w:lang w:val="ru-RU"/>
        </w:rPr>
        <w:t xml:space="preserve"> – </w:t>
      </w:r>
      <w:r>
        <w:rPr>
          <w:lang w:val="ru-RU"/>
        </w:rPr>
        <w:t>даже</w:t>
      </w:r>
      <w:r w:rsidRPr="005F7525">
        <w:rPr>
          <w:lang w:val="ru-RU"/>
        </w:rPr>
        <w:t xml:space="preserve"> </w:t>
      </w:r>
      <w:r>
        <w:rPr>
          <w:lang w:val="ru-RU"/>
        </w:rPr>
        <w:t>государственные</w:t>
      </w:r>
      <w:r w:rsidRPr="005F7525">
        <w:rPr>
          <w:lang w:val="ru-RU"/>
        </w:rPr>
        <w:t xml:space="preserve"> </w:t>
      </w:r>
      <w:r>
        <w:rPr>
          <w:lang w:val="ru-RU"/>
        </w:rPr>
        <w:t>университеты</w:t>
      </w:r>
      <w:r w:rsidRPr="005F7525">
        <w:rPr>
          <w:lang w:val="ru-RU"/>
        </w:rPr>
        <w:t xml:space="preserve">, </w:t>
      </w:r>
      <w:r w:rsidR="005F7525">
        <w:rPr>
          <w:lang w:val="ru-RU"/>
        </w:rPr>
        <w:t>уполномоченные предоставлять образование и вести исследования в качестве общественного блага – все более ориентируются на рынок. Это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подсказывает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ключевую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стратегию</w:t>
      </w:r>
      <w:r w:rsidR="005F7525" w:rsidRPr="005F7525">
        <w:rPr>
          <w:lang w:val="ru-RU"/>
        </w:rPr>
        <w:t xml:space="preserve">: </w:t>
      </w:r>
      <w:r w:rsidR="005F7525">
        <w:rPr>
          <w:lang w:val="ru-RU"/>
        </w:rPr>
        <w:t>формирование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партнерских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связей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между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научными</w:t>
      </w:r>
      <w:r w:rsidR="005F7525" w:rsidRPr="005F7525">
        <w:rPr>
          <w:lang w:val="ru-RU"/>
        </w:rPr>
        <w:t xml:space="preserve"> </w:t>
      </w:r>
      <w:r w:rsidR="005F7525">
        <w:rPr>
          <w:lang w:val="ru-RU"/>
        </w:rPr>
        <w:t>кругами</w:t>
      </w:r>
      <w:r w:rsidR="005F7525" w:rsidRPr="005F7525">
        <w:rPr>
          <w:lang w:val="ru-RU"/>
        </w:rPr>
        <w:t xml:space="preserve">, </w:t>
      </w:r>
      <w:r w:rsidR="005F7525">
        <w:rPr>
          <w:lang w:val="ru-RU"/>
        </w:rPr>
        <w:t>частными предприятиями</w:t>
      </w:r>
      <w:r w:rsidR="005853BE" w:rsidRPr="005F7525">
        <w:rPr>
          <w:lang w:val="ru-RU"/>
        </w:rPr>
        <w:t xml:space="preserve"> (</w:t>
      </w:r>
      <w:r w:rsidR="005F7525">
        <w:rPr>
          <w:lang w:val="ru-RU"/>
        </w:rPr>
        <w:t>включая поставщиков п</w:t>
      </w:r>
      <w:r w:rsidR="0098369D">
        <w:rPr>
          <w:lang w:val="ru-RU"/>
        </w:rPr>
        <w:t>роизводственных ресурсов</w:t>
      </w:r>
      <w:r w:rsidR="005F7525">
        <w:rPr>
          <w:lang w:val="ru-RU"/>
        </w:rPr>
        <w:t xml:space="preserve"> и поставщиков услуг и производителей</w:t>
      </w:r>
      <w:r w:rsidR="005853BE" w:rsidRPr="005F7525">
        <w:rPr>
          <w:lang w:val="ru-RU"/>
        </w:rPr>
        <w:t xml:space="preserve">) </w:t>
      </w:r>
      <w:r w:rsidR="005F7525">
        <w:rPr>
          <w:lang w:val="ru-RU"/>
        </w:rPr>
        <w:t xml:space="preserve">и соответствующим правительственным учреждением (учреждениями) и образовательными учреждениями, </w:t>
      </w:r>
      <w:r w:rsidR="00105B5D">
        <w:rPr>
          <w:lang w:val="ru-RU"/>
        </w:rPr>
        <w:t>то есть</w:t>
      </w:r>
      <w:r w:rsidR="005F7525">
        <w:rPr>
          <w:lang w:val="ru-RU"/>
        </w:rPr>
        <w:t xml:space="preserve"> консорциум</w:t>
      </w:r>
      <w:r w:rsidR="005853BE" w:rsidRPr="005F7525">
        <w:rPr>
          <w:lang w:val="ru-RU"/>
        </w:rPr>
        <w:t>.</w:t>
      </w:r>
    </w:p>
    <w:p w:rsidR="005853BE" w:rsidRPr="005F7525" w:rsidRDefault="005853BE" w:rsidP="005853BE">
      <w:pPr>
        <w:rPr>
          <w:lang w:val="ru-RU"/>
        </w:rPr>
      </w:pPr>
    </w:p>
    <w:p w:rsidR="005853BE" w:rsidRPr="00BA2F54" w:rsidRDefault="00BA2F54" w:rsidP="003779A2">
      <w:pPr>
        <w:pStyle w:val="Heading2"/>
        <w:numPr>
          <w:ilvl w:val="0"/>
          <w:numId w:val="0"/>
        </w:numPr>
        <w:ind w:firstLine="1"/>
        <w:jc w:val="left"/>
        <w:rPr>
          <w:rFonts w:ascii="Times New Roman" w:hAnsi="Times New Roman" w:cs="Times New Roman"/>
          <w:lang w:val="ru-RU"/>
        </w:rPr>
      </w:pPr>
      <w:r w:rsidRPr="00BA2F54">
        <w:rPr>
          <w:rFonts w:ascii="Times New Roman" w:hAnsi="Times New Roman" w:cs="Times New Roman"/>
          <w:lang w:val="ru-RU"/>
        </w:rPr>
        <w:t>РОЛЬ ЧАСТНОГО СЕКТОРА И ГОСУДАРСТВЕННО-ЧАСТНОГО СОТРУДНИЧЕСТВА</w:t>
      </w:r>
    </w:p>
    <w:p w:rsidR="005853BE" w:rsidRPr="00BA2F54" w:rsidRDefault="005853BE" w:rsidP="005853BE">
      <w:pPr>
        <w:rPr>
          <w:lang w:val="ru-RU"/>
        </w:rPr>
      </w:pPr>
    </w:p>
    <w:p w:rsidR="005853BE" w:rsidRPr="009E3A2D" w:rsidRDefault="002017B1" w:rsidP="007101E3">
      <w:pPr>
        <w:pStyle w:val="NewPara"/>
        <w:jc w:val="both"/>
        <w:rPr>
          <w:lang w:val="ru-RU"/>
        </w:rPr>
      </w:pPr>
      <w:r>
        <w:rPr>
          <w:lang w:val="ru-RU"/>
        </w:rPr>
        <w:t>Частный</w:t>
      </w:r>
      <w:r w:rsidRPr="002017B1">
        <w:rPr>
          <w:lang w:val="ru-RU"/>
        </w:rPr>
        <w:t xml:space="preserve"> </w:t>
      </w:r>
      <w:r>
        <w:rPr>
          <w:lang w:val="ru-RU"/>
        </w:rPr>
        <w:t>сектор</w:t>
      </w:r>
      <w:r w:rsidRPr="002017B1">
        <w:rPr>
          <w:lang w:val="ru-RU"/>
        </w:rPr>
        <w:t xml:space="preserve"> </w:t>
      </w:r>
      <w:r>
        <w:rPr>
          <w:lang w:val="ru-RU"/>
        </w:rPr>
        <w:t>сыграл</w:t>
      </w:r>
      <w:r w:rsidRPr="002017B1">
        <w:rPr>
          <w:lang w:val="ru-RU"/>
        </w:rPr>
        <w:t xml:space="preserve"> </w:t>
      </w:r>
      <w:r>
        <w:rPr>
          <w:lang w:val="ru-RU"/>
        </w:rPr>
        <w:t>ключевую</w:t>
      </w:r>
      <w:r w:rsidRPr="002017B1">
        <w:rPr>
          <w:lang w:val="ru-RU"/>
        </w:rPr>
        <w:t xml:space="preserve"> </w:t>
      </w:r>
      <w:r>
        <w:rPr>
          <w:lang w:val="ru-RU"/>
        </w:rPr>
        <w:t>роль</w:t>
      </w:r>
      <w:r w:rsidRPr="002017B1">
        <w:rPr>
          <w:lang w:val="ru-RU"/>
        </w:rPr>
        <w:t xml:space="preserve"> </w:t>
      </w:r>
      <w:r>
        <w:rPr>
          <w:lang w:val="ru-RU"/>
        </w:rPr>
        <w:t>в</w:t>
      </w:r>
      <w:r w:rsidR="005853BE" w:rsidRPr="002017B1">
        <w:rPr>
          <w:lang w:val="ru-RU"/>
        </w:rPr>
        <w:t xml:space="preserve"> </w:t>
      </w:r>
      <w:r>
        <w:rPr>
          <w:lang w:val="ru-RU"/>
        </w:rPr>
        <w:t>научных достижениях и инновациях, особенно заметную в таких областях</w:t>
      </w:r>
      <w:r w:rsidR="00105B5D">
        <w:rPr>
          <w:lang w:val="ru-RU"/>
        </w:rPr>
        <w:t>,</w:t>
      </w:r>
      <w:r>
        <w:rPr>
          <w:lang w:val="ru-RU"/>
        </w:rPr>
        <w:t xml:space="preserve"> как </w:t>
      </w:r>
      <w:r w:rsidR="007101E3">
        <w:rPr>
          <w:lang w:val="ru-RU"/>
        </w:rPr>
        <w:t xml:space="preserve">кормление </w:t>
      </w:r>
      <w:r>
        <w:rPr>
          <w:lang w:val="ru-RU"/>
        </w:rPr>
        <w:t>и зд</w:t>
      </w:r>
      <w:r w:rsidR="000B22FA">
        <w:rPr>
          <w:lang w:val="ru-RU"/>
        </w:rPr>
        <w:t>оровье</w:t>
      </w:r>
      <w:r w:rsidR="005853BE" w:rsidRPr="002017B1">
        <w:rPr>
          <w:lang w:val="ru-RU"/>
        </w:rPr>
        <w:t xml:space="preserve">. </w:t>
      </w:r>
      <w:r>
        <w:rPr>
          <w:lang w:val="ru-RU"/>
        </w:rPr>
        <w:t>В первом случае речь идет о разработке кормов и управлении кормами: компании</w:t>
      </w:r>
      <w:r w:rsidR="00105B5D">
        <w:rPr>
          <w:lang w:val="ru-RU"/>
        </w:rPr>
        <w:t> </w:t>
      </w:r>
      <w:r>
        <w:rPr>
          <w:lang w:val="ru-RU"/>
        </w:rPr>
        <w:t>–</w:t>
      </w:r>
      <w:r w:rsidR="00105B5D">
        <w:rPr>
          <w:lang w:val="ru-RU"/>
        </w:rPr>
        <w:t> </w:t>
      </w:r>
      <w:r>
        <w:rPr>
          <w:lang w:val="ru-RU"/>
        </w:rPr>
        <w:t>производители кормов вложили значительные средства в исследовательские программы</w:t>
      </w:r>
      <w:r w:rsidR="00755845">
        <w:rPr>
          <w:lang w:val="ru-RU"/>
        </w:rPr>
        <w:t xml:space="preserve">, пусть даже результаты не всегда </w:t>
      </w:r>
      <w:r w:rsidR="005853BE" w:rsidRPr="002017B1">
        <w:rPr>
          <w:lang w:val="ru-RU"/>
        </w:rPr>
        <w:t xml:space="preserve"> </w:t>
      </w:r>
      <w:r w:rsidR="00755845">
        <w:rPr>
          <w:lang w:val="ru-RU"/>
        </w:rPr>
        <w:t>были широко распространены. Инвест</w:t>
      </w:r>
      <w:r w:rsidR="000B22FA">
        <w:rPr>
          <w:lang w:val="ru-RU"/>
        </w:rPr>
        <w:t>оры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в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НИОКР</w:t>
      </w:r>
      <w:r w:rsidR="00755845" w:rsidRPr="009E3A2D">
        <w:rPr>
          <w:lang w:val="ru-RU"/>
        </w:rPr>
        <w:t xml:space="preserve">, </w:t>
      </w:r>
      <w:r w:rsidR="00755845">
        <w:rPr>
          <w:lang w:val="ru-RU"/>
        </w:rPr>
        <w:t>главным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образом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инвест</w:t>
      </w:r>
      <w:r w:rsidR="000B22FA">
        <w:rPr>
          <w:lang w:val="ru-RU"/>
        </w:rPr>
        <w:t>оры из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частного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сектора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в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развитых</w:t>
      </w:r>
      <w:r w:rsidR="00755845" w:rsidRPr="009E3A2D">
        <w:rPr>
          <w:lang w:val="ru-RU"/>
        </w:rPr>
        <w:t xml:space="preserve"> </w:t>
      </w:r>
      <w:r w:rsidR="00755845">
        <w:rPr>
          <w:lang w:val="ru-RU"/>
        </w:rPr>
        <w:t>странах</w:t>
      </w:r>
      <w:r w:rsidR="005853BE" w:rsidRPr="009E3A2D">
        <w:rPr>
          <w:lang w:val="ru-RU"/>
        </w:rPr>
        <w:t xml:space="preserve">, </w:t>
      </w:r>
      <w:r w:rsidR="009E3A2D">
        <w:rPr>
          <w:lang w:val="ru-RU"/>
        </w:rPr>
        <w:t>руководствуются</w:t>
      </w:r>
      <w:r w:rsidR="005853BE" w:rsidRPr="009E3A2D">
        <w:rPr>
          <w:lang w:val="ru-RU"/>
        </w:rPr>
        <w:t xml:space="preserve"> </w:t>
      </w:r>
      <w:r w:rsidR="009E3A2D">
        <w:rPr>
          <w:lang w:val="ru-RU"/>
        </w:rPr>
        <w:t>высокой экономической ценностью и рентабельностью продукта или услуги</w:t>
      </w:r>
      <w:r w:rsidR="005853BE" w:rsidRPr="009E3A2D">
        <w:rPr>
          <w:lang w:val="ru-RU"/>
        </w:rPr>
        <w:t xml:space="preserve">. </w:t>
      </w:r>
      <w:r w:rsidR="009E3A2D">
        <w:rPr>
          <w:lang w:val="ru-RU"/>
        </w:rPr>
        <w:t>Продукты</w:t>
      </w:r>
      <w:r w:rsidR="009E3A2D" w:rsidRPr="009E3A2D">
        <w:rPr>
          <w:lang w:val="ru-RU"/>
        </w:rPr>
        <w:t xml:space="preserve"> </w:t>
      </w:r>
      <w:r w:rsidR="009E3A2D">
        <w:rPr>
          <w:lang w:val="ru-RU"/>
        </w:rPr>
        <w:t>НИОКР</w:t>
      </w:r>
      <w:r w:rsidR="009E3A2D" w:rsidRPr="009E3A2D">
        <w:rPr>
          <w:lang w:val="ru-RU"/>
        </w:rPr>
        <w:t xml:space="preserve"> </w:t>
      </w:r>
      <w:r w:rsidR="009E3A2D">
        <w:rPr>
          <w:lang w:val="ru-RU"/>
        </w:rPr>
        <w:t>следует</w:t>
      </w:r>
      <w:r w:rsidR="009E3A2D" w:rsidRPr="009E3A2D">
        <w:rPr>
          <w:lang w:val="ru-RU"/>
        </w:rPr>
        <w:t xml:space="preserve"> </w:t>
      </w:r>
      <w:r w:rsidR="009E3A2D">
        <w:rPr>
          <w:lang w:val="ru-RU"/>
        </w:rPr>
        <w:t>распространять в менее развитых странах и регионах</w:t>
      </w:r>
      <w:r w:rsidR="005853BE" w:rsidRPr="009E3A2D">
        <w:rPr>
          <w:lang w:val="ru-RU"/>
        </w:rPr>
        <w:t xml:space="preserve"> </w:t>
      </w:r>
      <w:r w:rsidR="009E3A2D">
        <w:rPr>
          <w:lang w:val="ru-RU"/>
        </w:rPr>
        <w:t>и в некоторых случаях так и делалось. Что касается здравоохранения, прогресс в разработке вакцин, диагностике и терапии значительно сократил вызванные заболеваниями потери в аквакультуре</w:t>
      </w:r>
      <w:r w:rsidR="005853BE" w:rsidRPr="009E3A2D">
        <w:rPr>
          <w:lang w:val="ru-RU"/>
        </w:rPr>
        <w:t xml:space="preserve">. </w:t>
      </w:r>
    </w:p>
    <w:p w:rsidR="005853BE" w:rsidRPr="009E3A2D" w:rsidRDefault="005853BE" w:rsidP="005853BE">
      <w:pPr>
        <w:rPr>
          <w:lang w:val="ru-RU"/>
        </w:rPr>
      </w:pPr>
    </w:p>
    <w:p w:rsidR="005853BE" w:rsidRPr="008F6748" w:rsidRDefault="009E3A2D" w:rsidP="005853BE">
      <w:pPr>
        <w:pStyle w:val="NewPara"/>
        <w:jc w:val="both"/>
        <w:rPr>
          <w:lang w:val="ru-RU"/>
        </w:rPr>
      </w:pPr>
      <w:r>
        <w:rPr>
          <w:lang w:val="ru-RU"/>
        </w:rPr>
        <w:t>Передовые технологии культивирования лосося применяются для повышения эффективности разведения других видов – нильской тил</w:t>
      </w:r>
      <w:r w:rsidR="000B22FA">
        <w:rPr>
          <w:lang w:val="ru-RU"/>
        </w:rPr>
        <w:t>а</w:t>
      </w:r>
      <w:r>
        <w:rPr>
          <w:lang w:val="ru-RU"/>
        </w:rPr>
        <w:t>пии, индийских и китайских карпов и зубатки</w:t>
      </w:r>
      <w:r w:rsidR="005853BE" w:rsidRPr="009E3A2D">
        <w:rPr>
          <w:lang w:val="ru-RU"/>
        </w:rPr>
        <w:t xml:space="preserve">. </w:t>
      </w:r>
      <w:r w:rsidR="008F6748">
        <w:rPr>
          <w:lang w:val="ru-RU"/>
        </w:rPr>
        <w:t>Сотрудничество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в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области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исследовательской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работы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профессиональной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подготовки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в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отрасли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сотрудничество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отрасли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и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правительства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>может</w:t>
      </w:r>
      <w:r w:rsidR="008F6748" w:rsidRPr="008F6748">
        <w:rPr>
          <w:lang w:val="ru-RU"/>
        </w:rPr>
        <w:t xml:space="preserve"> </w:t>
      </w:r>
      <w:r w:rsidR="008F6748">
        <w:rPr>
          <w:lang w:val="ru-RU"/>
        </w:rPr>
        <w:t xml:space="preserve">направить исследования на удовлетворение потребностей развития аквакультуры; частный сектор признал, что совместные исследования по улучшению кормов и коэффициентов усвоения кормов </w:t>
      </w:r>
      <w:r w:rsidR="00105B5D">
        <w:rPr>
          <w:lang w:val="ru-RU"/>
        </w:rPr>
        <w:t xml:space="preserve">могут </w:t>
      </w:r>
      <w:r w:rsidR="008F6748">
        <w:rPr>
          <w:lang w:val="ru-RU"/>
        </w:rPr>
        <w:t>повысить доступность ингредиентов кормов и повысить продуктивность и экологичность аквакультуры</w:t>
      </w:r>
      <w:r w:rsidR="005853BE" w:rsidRPr="008F6748">
        <w:rPr>
          <w:lang w:val="ru-RU"/>
        </w:rPr>
        <w:t>.</w:t>
      </w:r>
    </w:p>
    <w:p w:rsidR="005853BE" w:rsidRPr="008F6748" w:rsidRDefault="005853BE" w:rsidP="005853BE">
      <w:pPr>
        <w:rPr>
          <w:lang w:val="ru-RU"/>
        </w:rPr>
      </w:pPr>
    </w:p>
    <w:p w:rsidR="005853BE" w:rsidRPr="004738F5" w:rsidRDefault="008F6748" w:rsidP="005853BE">
      <w:pPr>
        <w:pStyle w:val="NewPara"/>
        <w:jc w:val="both"/>
        <w:rPr>
          <w:lang w:val="ru-RU"/>
        </w:rPr>
      </w:pPr>
      <w:r>
        <w:rPr>
          <w:lang w:val="ru-RU"/>
        </w:rPr>
        <w:t>С</w:t>
      </w:r>
      <w:r w:rsidR="004738F5">
        <w:rPr>
          <w:lang w:val="ru-RU"/>
        </w:rPr>
        <w:t>етевое взаимодействие с</w:t>
      </w:r>
      <w:r w:rsidRPr="008F6748">
        <w:rPr>
          <w:lang w:val="ru-RU"/>
        </w:rPr>
        <w:t xml:space="preserve"> </w:t>
      </w:r>
      <w:r>
        <w:rPr>
          <w:lang w:val="ru-RU"/>
        </w:rPr>
        <w:t>образовательными</w:t>
      </w:r>
      <w:r w:rsidRPr="008F6748">
        <w:rPr>
          <w:lang w:val="ru-RU"/>
        </w:rPr>
        <w:t xml:space="preserve"> </w:t>
      </w:r>
      <w:r>
        <w:rPr>
          <w:lang w:val="ru-RU"/>
        </w:rPr>
        <w:t>учреждениями</w:t>
      </w:r>
      <w:r w:rsidRPr="008F6748">
        <w:rPr>
          <w:lang w:val="ru-RU"/>
        </w:rPr>
        <w:t xml:space="preserve"> </w:t>
      </w:r>
      <w:r>
        <w:rPr>
          <w:lang w:val="ru-RU"/>
        </w:rPr>
        <w:t>в</w:t>
      </w:r>
      <w:r w:rsidRPr="008F6748">
        <w:rPr>
          <w:lang w:val="ru-RU"/>
        </w:rPr>
        <w:t xml:space="preserve"> </w:t>
      </w:r>
      <w:r>
        <w:rPr>
          <w:lang w:val="ru-RU"/>
        </w:rPr>
        <w:t>стране</w:t>
      </w:r>
      <w:r w:rsidRPr="008F6748">
        <w:rPr>
          <w:lang w:val="ru-RU"/>
        </w:rPr>
        <w:t>:</w:t>
      </w:r>
      <w:r w:rsidR="005853BE" w:rsidRPr="008F6748">
        <w:rPr>
          <w:lang w:val="ru-RU"/>
        </w:rPr>
        <w:t xml:space="preserve"> </w:t>
      </w:r>
      <w:r>
        <w:rPr>
          <w:lang w:val="ru-RU"/>
        </w:rPr>
        <w:t>управление платформой для обмена информацией между образовательными учреждениями страны или субрегиона в настоящее время экономически выгодно и эффективно</w:t>
      </w:r>
      <w:r w:rsidR="005853BE" w:rsidRPr="008F6748">
        <w:rPr>
          <w:lang w:val="ru-RU"/>
        </w:rPr>
        <w:t xml:space="preserve">. </w:t>
      </w:r>
      <w:r w:rsidR="004B0970">
        <w:rPr>
          <w:lang w:val="ru-RU"/>
        </w:rPr>
        <w:t>С</w:t>
      </w:r>
      <w:r w:rsidR="004B0970" w:rsidRPr="004738F5">
        <w:rPr>
          <w:lang w:val="ru-RU"/>
        </w:rPr>
        <w:t xml:space="preserve"> </w:t>
      </w:r>
      <w:r w:rsidR="004B0970">
        <w:rPr>
          <w:lang w:val="ru-RU"/>
        </w:rPr>
        <w:t>информационными</w:t>
      </w:r>
      <w:r w:rsidR="004B0970" w:rsidRPr="004738F5">
        <w:rPr>
          <w:lang w:val="ru-RU"/>
        </w:rPr>
        <w:t xml:space="preserve"> </w:t>
      </w:r>
      <w:r w:rsidR="004B0970">
        <w:rPr>
          <w:lang w:val="ru-RU"/>
        </w:rPr>
        <w:t>технологиями</w:t>
      </w:r>
      <w:r w:rsidR="004B0970" w:rsidRPr="004738F5">
        <w:rPr>
          <w:lang w:val="ru-RU"/>
        </w:rPr>
        <w:t xml:space="preserve">, </w:t>
      </w:r>
      <w:r w:rsidR="004B0970">
        <w:rPr>
          <w:lang w:val="ru-RU"/>
        </w:rPr>
        <w:t>обеспечивающими</w:t>
      </w:r>
      <w:r w:rsidR="004B0970" w:rsidRPr="004738F5">
        <w:rPr>
          <w:lang w:val="ru-RU"/>
        </w:rPr>
        <w:t xml:space="preserve"> </w:t>
      </w:r>
      <w:r w:rsidR="004B0970">
        <w:rPr>
          <w:lang w:val="ru-RU"/>
        </w:rPr>
        <w:t>т</w:t>
      </w:r>
      <w:r w:rsidR="004738F5">
        <w:rPr>
          <w:lang w:val="ru-RU"/>
        </w:rPr>
        <w:t>акие</w:t>
      </w:r>
      <w:r w:rsidR="004738F5" w:rsidRPr="004738F5">
        <w:rPr>
          <w:lang w:val="ru-RU"/>
        </w:rPr>
        <w:t xml:space="preserve"> </w:t>
      </w:r>
      <w:r w:rsidR="004738F5">
        <w:rPr>
          <w:lang w:val="ru-RU"/>
        </w:rPr>
        <w:t>связи</w:t>
      </w:r>
      <w:r w:rsidR="004738F5" w:rsidRPr="004738F5">
        <w:rPr>
          <w:lang w:val="ru-RU"/>
        </w:rPr>
        <w:t xml:space="preserve"> </w:t>
      </w:r>
      <w:r w:rsidR="004738F5">
        <w:rPr>
          <w:lang w:val="ru-RU"/>
        </w:rPr>
        <w:t xml:space="preserve">с минимальными затратами и усилиями, такое взаимодействие организаций, занимающихся образованием и исследованиями в области </w:t>
      </w:r>
      <w:proofErr w:type="spellStart"/>
      <w:r w:rsidR="004738F5">
        <w:rPr>
          <w:lang w:val="ru-RU"/>
        </w:rPr>
        <w:t>аквакультуры</w:t>
      </w:r>
      <w:proofErr w:type="spellEnd"/>
      <w:r w:rsidR="004738F5">
        <w:rPr>
          <w:lang w:val="ru-RU"/>
        </w:rPr>
        <w:t xml:space="preserve">, </w:t>
      </w:r>
      <w:r w:rsidR="00105B5D">
        <w:rPr>
          <w:lang w:val="ru-RU"/>
        </w:rPr>
        <w:t xml:space="preserve">было </w:t>
      </w:r>
      <w:r w:rsidR="004738F5">
        <w:rPr>
          <w:lang w:val="ru-RU"/>
        </w:rPr>
        <w:t>бы целесообразно</w:t>
      </w:r>
      <w:r w:rsidR="005853BE" w:rsidRPr="004738F5">
        <w:rPr>
          <w:lang w:val="ru-RU"/>
        </w:rPr>
        <w:t>.</w:t>
      </w:r>
    </w:p>
    <w:p w:rsidR="005853BE" w:rsidRPr="004738F5" w:rsidRDefault="005853BE" w:rsidP="005853BE">
      <w:pPr>
        <w:rPr>
          <w:lang w:val="ru-RU"/>
        </w:rPr>
      </w:pPr>
    </w:p>
    <w:p w:rsidR="005853BE" w:rsidRPr="004738F5" w:rsidRDefault="004738F5" w:rsidP="005853BE">
      <w:pPr>
        <w:pStyle w:val="NewPara"/>
        <w:jc w:val="both"/>
        <w:rPr>
          <w:lang w:val="ru-RU"/>
        </w:rPr>
      </w:pPr>
      <w:r>
        <w:rPr>
          <w:lang w:val="ru-RU"/>
        </w:rPr>
        <w:t>Сетевое</w:t>
      </w:r>
      <w:r w:rsidRPr="004738F5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4738F5">
        <w:rPr>
          <w:lang w:val="ru-RU"/>
        </w:rPr>
        <w:t xml:space="preserve"> </w:t>
      </w:r>
      <w:r>
        <w:rPr>
          <w:lang w:val="ru-RU"/>
        </w:rPr>
        <w:t>с</w:t>
      </w:r>
      <w:r w:rsidRPr="004738F5">
        <w:rPr>
          <w:lang w:val="ru-RU"/>
        </w:rPr>
        <w:t xml:space="preserve"> </w:t>
      </w:r>
      <w:r>
        <w:rPr>
          <w:lang w:val="ru-RU"/>
        </w:rPr>
        <w:t>фермерами</w:t>
      </w:r>
      <w:r w:rsidRPr="004738F5">
        <w:rPr>
          <w:lang w:val="ru-RU"/>
        </w:rPr>
        <w:t>:</w:t>
      </w:r>
      <w:r w:rsidR="005853BE" w:rsidRPr="004738F5">
        <w:rPr>
          <w:lang w:val="ru-RU"/>
        </w:rPr>
        <w:t xml:space="preserve"> </w:t>
      </w:r>
      <w:r>
        <w:rPr>
          <w:lang w:val="ru-RU"/>
        </w:rPr>
        <w:t>в</w:t>
      </w:r>
      <w:r w:rsidRPr="004738F5">
        <w:rPr>
          <w:lang w:val="ru-RU"/>
        </w:rPr>
        <w:t xml:space="preserve"> </w:t>
      </w:r>
      <w:r>
        <w:rPr>
          <w:lang w:val="ru-RU"/>
        </w:rPr>
        <w:t>конечном</w:t>
      </w:r>
      <w:r w:rsidRPr="004738F5">
        <w:rPr>
          <w:lang w:val="ru-RU"/>
        </w:rPr>
        <w:t xml:space="preserve"> </w:t>
      </w:r>
      <w:proofErr w:type="gramStart"/>
      <w:r>
        <w:rPr>
          <w:lang w:val="ru-RU"/>
        </w:rPr>
        <w:t>счете</w:t>
      </w:r>
      <w:proofErr w:type="gramEnd"/>
      <w:r w:rsidRPr="004738F5">
        <w:rPr>
          <w:lang w:val="ru-RU"/>
        </w:rPr>
        <w:t xml:space="preserve"> </w:t>
      </w:r>
      <w:r>
        <w:rPr>
          <w:lang w:val="ru-RU"/>
        </w:rPr>
        <w:t>именно</w:t>
      </w:r>
      <w:r w:rsidRPr="004738F5">
        <w:rPr>
          <w:lang w:val="ru-RU"/>
        </w:rPr>
        <w:t xml:space="preserve"> </w:t>
      </w:r>
      <w:r>
        <w:rPr>
          <w:lang w:val="ru-RU"/>
        </w:rPr>
        <w:t>фермеры</w:t>
      </w:r>
      <w:r w:rsidRPr="004738F5">
        <w:rPr>
          <w:lang w:val="ru-RU"/>
        </w:rPr>
        <w:t xml:space="preserve"> </w:t>
      </w:r>
      <w:r>
        <w:rPr>
          <w:lang w:val="ru-RU"/>
        </w:rPr>
        <w:t>проверяют</w:t>
      </w:r>
      <w:r w:rsidRPr="004738F5">
        <w:rPr>
          <w:lang w:val="ru-RU"/>
        </w:rPr>
        <w:t xml:space="preserve"> </w:t>
      </w:r>
      <w:r w:rsidR="005853BE" w:rsidRPr="004738F5">
        <w:rPr>
          <w:lang w:val="ru-RU"/>
        </w:rPr>
        <w:t xml:space="preserve"> </w:t>
      </w:r>
      <w:r>
        <w:rPr>
          <w:lang w:val="ru-RU"/>
        </w:rPr>
        <w:t>коммерческую целесообразность новых технологий. Взаимодействие</w:t>
      </w:r>
      <w:r w:rsidRPr="004738F5">
        <w:rPr>
          <w:lang w:val="ru-RU"/>
        </w:rPr>
        <w:t xml:space="preserve"> </w:t>
      </w:r>
      <w:r>
        <w:rPr>
          <w:lang w:val="ru-RU"/>
        </w:rPr>
        <w:t>с</w:t>
      </w:r>
      <w:r w:rsidRPr="004738F5">
        <w:rPr>
          <w:lang w:val="ru-RU"/>
        </w:rPr>
        <w:t xml:space="preserve"> </w:t>
      </w:r>
      <w:r>
        <w:rPr>
          <w:lang w:val="ru-RU"/>
        </w:rPr>
        <w:t>фермерами</w:t>
      </w:r>
      <w:r w:rsidRPr="004738F5">
        <w:rPr>
          <w:lang w:val="ru-RU"/>
        </w:rPr>
        <w:t xml:space="preserve"> </w:t>
      </w:r>
      <w:r>
        <w:rPr>
          <w:lang w:val="ru-RU"/>
        </w:rPr>
        <w:t>может</w:t>
      </w:r>
      <w:r w:rsidRPr="004738F5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738F5">
        <w:rPr>
          <w:lang w:val="ru-RU"/>
        </w:rPr>
        <w:t xml:space="preserve"> </w:t>
      </w:r>
      <w:r>
        <w:rPr>
          <w:lang w:val="ru-RU"/>
        </w:rPr>
        <w:t>выгодные</w:t>
      </w:r>
      <w:r w:rsidRPr="004738F5">
        <w:rPr>
          <w:lang w:val="ru-RU"/>
        </w:rPr>
        <w:t xml:space="preserve"> </w:t>
      </w:r>
      <w:r w:rsidR="000B22FA">
        <w:rPr>
          <w:lang w:val="ru-RU"/>
        </w:rPr>
        <w:t>для образования</w:t>
      </w:r>
      <w:r w:rsidRPr="004738F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4738F5">
        <w:rPr>
          <w:lang w:val="ru-RU"/>
        </w:rPr>
        <w:t xml:space="preserve">, </w:t>
      </w:r>
      <w:r>
        <w:rPr>
          <w:lang w:val="ru-RU"/>
        </w:rPr>
        <w:t>позволяя</w:t>
      </w:r>
      <w:r w:rsidRPr="004738F5">
        <w:rPr>
          <w:lang w:val="ru-RU"/>
        </w:rPr>
        <w:t xml:space="preserve"> </w:t>
      </w:r>
      <w:r>
        <w:rPr>
          <w:lang w:val="ru-RU"/>
        </w:rPr>
        <w:t>студентам</w:t>
      </w:r>
      <w:r w:rsidRPr="004738F5">
        <w:rPr>
          <w:lang w:val="ru-RU"/>
        </w:rPr>
        <w:t xml:space="preserve"> </w:t>
      </w:r>
      <w:r>
        <w:rPr>
          <w:lang w:val="ru-RU"/>
        </w:rPr>
        <w:t>на</w:t>
      </w:r>
      <w:r w:rsidRPr="004738F5">
        <w:rPr>
          <w:lang w:val="ru-RU"/>
        </w:rPr>
        <w:t xml:space="preserve"> </w:t>
      </w:r>
      <w:r>
        <w:rPr>
          <w:lang w:val="ru-RU"/>
        </w:rPr>
        <w:t>практике</w:t>
      </w:r>
      <w:r w:rsidRPr="004738F5">
        <w:rPr>
          <w:lang w:val="ru-RU"/>
        </w:rPr>
        <w:t xml:space="preserve"> </w:t>
      </w:r>
      <w:r>
        <w:rPr>
          <w:lang w:val="ru-RU"/>
        </w:rPr>
        <w:t>получать</w:t>
      </w:r>
      <w:r w:rsidRPr="004738F5">
        <w:rPr>
          <w:lang w:val="ru-RU"/>
        </w:rPr>
        <w:t xml:space="preserve"> </w:t>
      </w:r>
      <w:r>
        <w:rPr>
          <w:lang w:val="ru-RU"/>
        </w:rPr>
        <w:t>ценный</w:t>
      </w:r>
      <w:r w:rsidRPr="004738F5">
        <w:rPr>
          <w:lang w:val="ru-RU"/>
        </w:rPr>
        <w:t xml:space="preserve"> </w:t>
      </w:r>
      <w:r>
        <w:rPr>
          <w:lang w:val="ru-RU"/>
        </w:rPr>
        <w:t>практический</w:t>
      </w:r>
      <w:r w:rsidRPr="004738F5">
        <w:rPr>
          <w:lang w:val="ru-RU"/>
        </w:rPr>
        <w:t xml:space="preserve"> </w:t>
      </w:r>
      <w:r>
        <w:rPr>
          <w:lang w:val="ru-RU"/>
        </w:rPr>
        <w:t>опыт и пред</w:t>
      </w:r>
      <w:r w:rsidR="000B22FA">
        <w:rPr>
          <w:lang w:val="ru-RU"/>
        </w:rPr>
        <w:t>о</w:t>
      </w:r>
      <w:r>
        <w:rPr>
          <w:lang w:val="ru-RU"/>
        </w:rPr>
        <w:t>ставляя возможности для проведения коммерчески ориентированных программ научно-исследовательских работ</w:t>
      </w:r>
      <w:r w:rsidR="005853BE" w:rsidRPr="004738F5">
        <w:rPr>
          <w:lang w:val="ru-RU"/>
        </w:rPr>
        <w:t>.</w:t>
      </w:r>
    </w:p>
    <w:p w:rsidR="005853BE" w:rsidRPr="004738F5" w:rsidRDefault="005853BE" w:rsidP="005853BE">
      <w:pPr>
        <w:rPr>
          <w:lang w:val="ru-RU"/>
        </w:rPr>
      </w:pPr>
    </w:p>
    <w:p w:rsidR="005853BE" w:rsidRPr="00F871AC" w:rsidRDefault="004738F5" w:rsidP="00F53507">
      <w:pPr>
        <w:pStyle w:val="NewPara"/>
        <w:jc w:val="both"/>
        <w:rPr>
          <w:lang w:val="ru-RU"/>
        </w:rPr>
      </w:pPr>
      <w:r>
        <w:rPr>
          <w:lang w:val="ru-RU"/>
        </w:rPr>
        <w:t>Сетевое</w:t>
      </w:r>
      <w:r w:rsidRPr="004738F5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4738F5">
        <w:rPr>
          <w:lang w:val="ru-RU"/>
        </w:rPr>
        <w:t xml:space="preserve"> </w:t>
      </w:r>
      <w:r>
        <w:rPr>
          <w:lang w:val="ru-RU"/>
        </w:rPr>
        <w:t>в</w:t>
      </w:r>
      <w:r w:rsidRPr="004738F5">
        <w:rPr>
          <w:lang w:val="ru-RU"/>
        </w:rPr>
        <w:t xml:space="preserve"> </w:t>
      </w:r>
      <w:r>
        <w:rPr>
          <w:lang w:val="ru-RU"/>
        </w:rPr>
        <w:t>регионе</w:t>
      </w:r>
      <w:r w:rsidRPr="004738F5">
        <w:rPr>
          <w:lang w:val="ru-RU"/>
        </w:rPr>
        <w:t>:</w:t>
      </w:r>
      <w:r w:rsidR="005853BE" w:rsidRPr="004738F5">
        <w:rPr>
          <w:lang w:val="ru-RU"/>
        </w:rPr>
        <w:t xml:space="preserve"> </w:t>
      </w:r>
      <w:r>
        <w:rPr>
          <w:lang w:val="ru-RU"/>
        </w:rPr>
        <w:t>разнообразие</w:t>
      </w:r>
      <w:r w:rsidRPr="004738F5">
        <w:rPr>
          <w:lang w:val="ru-RU"/>
        </w:rPr>
        <w:t xml:space="preserve"> </w:t>
      </w:r>
      <w:r>
        <w:rPr>
          <w:lang w:val="ru-RU"/>
        </w:rPr>
        <w:t>и</w:t>
      </w:r>
      <w:r w:rsidRPr="004738F5">
        <w:rPr>
          <w:lang w:val="ru-RU"/>
        </w:rPr>
        <w:t xml:space="preserve"> </w:t>
      </w:r>
      <w:r>
        <w:rPr>
          <w:lang w:val="ru-RU"/>
        </w:rPr>
        <w:t>мобильность</w:t>
      </w:r>
      <w:r w:rsidRPr="004738F5">
        <w:rPr>
          <w:lang w:val="ru-RU"/>
        </w:rPr>
        <w:t xml:space="preserve"> </w:t>
      </w:r>
      <w:r>
        <w:rPr>
          <w:lang w:val="ru-RU"/>
        </w:rPr>
        <w:t>являются</w:t>
      </w:r>
      <w:r w:rsidRPr="004738F5">
        <w:rPr>
          <w:lang w:val="ru-RU"/>
        </w:rPr>
        <w:t xml:space="preserve"> </w:t>
      </w:r>
      <w:r>
        <w:rPr>
          <w:lang w:val="ru-RU"/>
        </w:rPr>
        <w:t>важнейшими компонентами глобального наращивания потенциала в области образования</w:t>
      </w:r>
      <w:r w:rsidR="005853BE" w:rsidRPr="004738F5">
        <w:rPr>
          <w:lang w:val="ru-RU"/>
        </w:rPr>
        <w:t xml:space="preserve">. </w:t>
      </w:r>
      <w:r>
        <w:rPr>
          <w:lang w:val="ru-RU"/>
        </w:rPr>
        <w:t>Обмен ресурсами между регионами так же важен, как обмен ресурсами в регионе</w:t>
      </w:r>
      <w:r w:rsidR="005853BE" w:rsidRPr="004738F5">
        <w:rPr>
          <w:lang w:val="ru-RU"/>
        </w:rPr>
        <w:t xml:space="preserve">. </w:t>
      </w:r>
      <w:r>
        <w:rPr>
          <w:lang w:val="ru-RU"/>
        </w:rPr>
        <w:t>В</w:t>
      </w:r>
      <w:r w:rsidRPr="004738F5">
        <w:rPr>
          <w:lang w:val="ru-RU"/>
        </w:rPr>
        <w:t xml:space="preserve"> </w:t>
      </w:r>
      <w:r>
        <w:rPr>
          <w:lang w:val="ru-RU"/>
        </w:rPr>
        <w:t>Азии</w:t>
      </w:r>
      <w:r w:rsidRPr="004738F5">
        <w:rPr>
          <w:lang w:val="ru-RU"/>
        </w:rPr>
        <w:t xml:space="preserve">, </w:t>
      </w:r>
      <w:r>
        <w:rPr>
          <w:lang w:val="ru-RU"/>
        </w:rPr>
        <w:t>например</w:t>
      </w:r>
      <w:r w:rsidRPr="004738F5">
        <w:rPr>
          <w:lang w:val="ru-RU"/>
        </w:rPr>
        <w:t xml:space="preserve">, </w:t>
      </w:r>
      <w:r>
        <w:rPr>
          <w:lang w:val="ru-RU"/>
        </w:rPr>
        <w:t xml:space="preserve">действует ряд образовательных учреждений, специализирующихся в аквакультуре, и есть возможность </w:t>
      </w:r>
      <w:r w:rsidR="005853BE" w:rsidRPr="004738F5">
        <w:rPr>
          <w:lang w:val="ru-RU"/>
        </w:rPr>
        <w:t xml:space="preserve"> </w:t>
      </w:r>
      <w:r>
        <w:rPr>
          <w:lang w:val="ru-RU"/>
        </w:rPr>
        <w:t>установить тесные связи между этими учреждениями</w:t>
      </w:r>
      <w:r w:rsidR="005853BE" w:rsidRPr="004738F5">
        <w:rPr>
          <w:lang w:val="ru-RU"/>
        </w:rPr>
        <w:t xml:space="preserve">. </w:t>
      </w:r>
      <w:r>
        <w:rPr>
          <w:lang w:val="ru-RU"/>
        </w:rPr>
        <w:t>Япония</w:t>
      </w:r>
      <w:r w:rsidRPr="00F871AC">
        <w:rPr>
          <w:lang w:val="ru-RU"/>
        </w:rPr>
        <w:t xml:space="preserve"> </w:t>
      </w:r>
      <w:r>
        <w:rPr>
          <w:lang w:val="ru-RU"/>
        </w:rPr>
        <w:t>сыграла</w:t>
      </w:r>
      <w:r w:rsidRPr="00F871AC">
        <w:rPr>
          <w:lang w:val="ru-RU"/>
        </w:rPr>
        <w:t xml:space="preserve"> </w:t>
      </w:r>
      <w:r>
        <w:rPr>
          <w:lang w:val="ru-RU"/>
        </w:rPr>
        <w:t>значительную</w:t>
      </w:r>
      <w:r w:rsidRPr="00F871AC">
        <w:rPr>
          <w:lang w:val="ru-RU"/>
        </w:rPr>
        <w:t xml:space="preserve"> </w:t>
      </w:r>
      <w:r>
        <w:rPr>
          <w:lang w:val="ru-RU"/>
        </w:rPr>
        <w:t>роль</w:t>
      </w:r>
      <w:r w:rsidRPr="00F871AC">
        <w:rPr>
          <w:lang w:val="ru-RU"/>
        </w:rPr>
        <w:t xml:space="preserve">, </w:t>
      </w:r>
      <w:r>
        <w:rPr>
          <w:lang w:val="ru-RU"/>
        </w:rPr>
        <w:lastRenderedPageBreak/>
        <w:t>помогая</w:t>
      </w:r>
      <w:r w:rsidRPr="00F871AC">
        <w:rPr>
          <w:lang w:val="ru-RU"/>
        </w:rPr>
        <w:t xml:space="preserve"> </w:t>
      </w:r>
      <w:r>
        <w:rPr>
          <w:lang w:val="ru-RU"/>
        </w:rPr>
        <w:t>ряду</w:t>
      </w:r>
      <w:r w:rsidRPr="00F871AC">
        <w:rPr>
          <w:lang w:val="ru-RU"/>
        </w:rPr>
        <w:t xml:space="preserve"> </w:t>
      </w:r>
      <w:r>
        <w:rPr>
          <w:lang w:val="ru-RU"/>
        </w:rPr>
        <w:t>стран</w:t>
      </w:r>
      <w:r w:rsidRPr="00F871AC">
        <w:rPr>
          <w:lang w:val="ru-RU"/>
        </w:rPr>
        <w:t xml:space="preserve"> </w:t>
      </w:r>
      <w:r>
        <w:rPr>
          <w:lang w:val="ru-RU"/>
        </w:rPr>
        <w:t xml:space="preserve">в регионе </w:t>
      </w:r>
      <w:r w:rsidR="00F871AC">
        <w:rPr>
          <w:lang w:val="ru-RU"/>
        </w:rPr>
        <w:t>своим опытом</w:t>
      </w:r>
      <w:r w:rsidR="005853BE" w:rsidRPr="00F871AC">
        <w:rPr>
          <w:lang w:val="ru-RU"/>
        </w:rPr>
        <w:t xml:space="preserve">. </w:t>
      </w:r>
      <w:r w:rsidR="00F871AC">
        <w:rPr>
          <w:lang w:val="ru-RU"/>
        </w:rPr>
        <w:t>В</w:t>
      </w:r>
      <w:r w:rsidR="00F871AC" w:rsidRPr="00F871AC">
        <w:rPr>
          <w:lang w:val="ru-RU"/>
        </w:rPr>
        <w:t xml:space="preserve"> </w:t>
      </w:r>
      <w:r w:rsidR="00F871AC">
        <w:rPr>
          <w:lang w:val="ru-RU"/>
        </w:rPr>
        <w:t>рамках</w:t>
      </w:r>
      <w:r w:rsidR="00F871AC" w:rsidRPr="00F871AC">
        <w:rPr>
          <w:lang w:val="ru-RU"/>
        </w:rPr>
        <w:t xml:space="preserve"> </w:t>
      </w:r>
      <w:r w:rsidR="00F53507" w:rsidRPr="00F53507">
        <w:rPr>
          <w:lang w:val="ru-RU"/>
        </w:rPr>
        <w:t>СЕАФДЕК</w:t>
      </w:r>
      <w:r w:rsidR="00F53507" w:rsidRPr="00F53507" w:rsidDel="00F53507">
        <w:rPr>
          <w:lang w:val="ru-RU"/>
        </w:rPr>
        <w:t xml:space="preserve"> </w:t>
      </w:r>
      <w:r w:rsidR="005853BE" w:rsidRPr="0073118D">
        <w:rPr>
          <w:vertAlign w:val="superscript"/>
        </w:rPr>
        <w:footnoteReference w:id="20"/>
      </w:r>
      <w:r w:rsidR="00F871AC" w:rsidRPr="00F871AC">
        <w:rPr>
          <w:lang w:val="ru-RU"/>
        </w:rPr>
        <w:t xml:space="preserve"> </w:t>
      </w:r>
      <w:r w:rsidR="00F871AC">
        <w:rPr>
          <w:lang w:val="ru-RU"/>
        </w:rPr>
        <w:t>Япония</w:t>
      </w:r>
      <w:r w:rsidR="00F871AC" w:rsidRPr="00F871AC">
        <w:rPr>
          <w:lang w:val="ru-RU"/>
        </w:rPr>
        <w:t xml:space="preserve"> </w:t>
      </w:r>
      <w:r w:rsidR="00F871AC">
        <w:rPr>
          <w:lang w:val="ru-RU"/>
        </w:rPr>
        <w:t xml:space="preserve">оказала большую поддержку отделению </w:t>
      </w:r>
      <w:proofErr w:type="spellStart"/>
      <w:r w:rsidR="00F871AC">
        <w:rPr>
          <w:lang w:val="ru-RU"/>
        </w:rPr>
        <w:t>аквакультуры</w:t>
      </w:r>
      <w:proofErr w:type="spellEnd"/>
      <w:r w:rsidR="00F871AC">
        <w:rPr>
          <w:lang w:val="ru-RU"/>
        </w:rPr>
        <w:t xml:space="preserve"> </w:t>
      </w:r>
      <w:r w:rsidR="00F53507" w:rsidRPr="00F53507">
        <w:rPr>
          <w:lang w:val="ru-RU"/>
        </w:rPr>
        <w:t>СЕАФДЕК</w:t>
      </w:r>
      <w:r w:rsidR="005853BE" w:rsidRPr="00F871AC">
        <w:rPr>
          <w:lang w:val="ru-RU"/>
        </w:rPr>
        <w:t xml:space="preserve"> </w:t>
      </w:r>
      <w:r w:rsidR="00F871AC">
        <w:rPr>
          <w:lang w:val="ru-RU"/>
        </w:rPr>
        <w:t>на Филиппинах</w:t>
      </w:r>
      <w:r w:rsidR="005853BE" w:rsidRPr="00F871AC">
        <w:rPr>
          <w:lang w:val="ru-RU"/>
        </w:rPr>
        <w:t xml:space="preserve">. </w:t>
      </w:r>
    </w:p>
    <w:p w:rsidR="005853BE" w:rsidRPr="00F871AC" w:rsidRDefault="005853BE" w:rsidP="005853BE">
      <w:pPr>
        <w:rPr>
          <w:lang w:val="ru-RU"/>
        </w:rPr>
      </w:pPr>
    </w:p>
    <w:p w:rsidR="005853BE" w:rsidRPr="00F871AC" w:rsidRDefault="00F871AC" w:rsidP="00F53507">
      <w:pPr>
        <w:pStyle w:val="NewPara"/>
        <w:jc w:val="both"/>
        <w:rPr>
          <w:lang w:val="ru-RU"/>
        </w:rPr>
      </w:pPr>
      <w:r>
        <w:rPr>
          <w:lang w:val="ru-RU"/>
        </w:rPr>
        <w:t>Азиатский технологический институт в Таиланде</w:t>
      </w:r>
      <w:r w:rsidR="005853BE" w:rsidRPr="00F871AC">
        <w:rPr>
          <w:lang w:val="ru-RU"/>
        </w:rPr>
        <w:t xml:space="preserve"> </w:t>
      </w:r>
      <w:r w:rsidR="008C2E7F">
        <w:rPr>
          <w:lang w:val="ru-RU"/>
        </w:rPr>
        <w:t>сыграл</w:t>
      </w:r>
      <w:r w:rsidR="008C2E7F" w:rsidRPr="00F871AC">
        <w:rPr>
          <w:lang w:val="ru-RU"/>
        </w:rPr>
        <w:t xml:space="preserve"> </w:t>
      </w:r>
      <w:r w:rsidR="008C2E7F">
        <w:rPr>
          <w:lang w:val="ru-RU"/>
        </w:rPr>
        <w:t>ключевую</w:t>
      </w:r>
      <w:r w:rsidR="008C2E7F" w:rsidRPr="00F871AC">
        <w:rPr>
          <w:lang w:val="ru-RU"/>
        </w:rPr>
        <w:t xml:space="preserve"> </w:t>
      </w:r>
      <w:r w:rsidR="008C2E7F">
        <w:rPr>
          <w:lang w:val="ru-RU"/>
        </w:rPr>
        <w:t>роль</w:t>
      </w:r>
      <w:r w:rsidR="008C2E7F" w:rsidRPr="00F871AC">
        <w:rPr>
          <w:lang w:val="ru-RU"/>
        </w:rPr>
        <w:t xml:space="preserve"> </w:t>
      </w:r>
      <w:r w:rsidR="008C2E7F">
        <w:rPr>
          <w:lang w:val="ru-RU"/>
        </w:rPr>
        <w:t>в</w:t>
      </w:r>
      <w:r w:rsidR="008C2E7F" w:rsidRPr="00F871AC">
        <w:rPr>
          <w:lang w:val="ru-RU"/>
        </w:rPr>
        <w:t xml:space="preserve"> </w:t>
      </w:r>
      <w:r w:rsidR="008C2E7F">
        <w:rPr>
          <w:lang w:val="ru-RU"/>
        </w:rPr>
        <w:t>разработке</w:t>
      </w:r>
      <w:r w:rsidR="008C2E7F" w:rsidRPr="00F871AC">
        <w:rPr>
          <w:lang w:val="ru-RU"/>
        </w:rPr>
        <w:t xml:space="preserve"> </w:t>
      </w:r>
      <w:r w:rsidR="008C2E7F">
        <w:rPr>
          <w:lang w:val="ru-RU"/>
        </w:rPr>
        <w:t>технологии</w:t>
      </w:r>
      <w:r w:rsidR="008C2E7F" w:rsidRPr="00F871AC">
        <w:rPr>
          <w:lang w:val="ru-RU"/>
        </w:rPr>
        <w:t xml:space="preserve"> </w:t>
      </w:r>
      <w:r>
        <w:rPr>
          <w:lang w:val="ru-RU"/>
        </w:rPr>
        <w:t>мелкомасштабных производств аквакультуры в регионе и в обучении исследователей, технологов, менеджеров и производителей из ряда стран</w:t>
      </w:r>
      <w:r w:rsidR="005853BE" w:rsidRPr="00F871AC">
        <w:rPr>
          <w:lang w:val="ru-RU"/>
        </w:rPr>
        <w:t xml:space="preserve">. </w:t>
      </w:r>
      <w:r>
        <w:rPr>
          <w:lang w:val="ru-RU"/>
        </w:rPr>
        <w:t>Сотрудничество</w:t>
      </w:r>
      <w:r w:rsidRPr="00F871AC">
        <w:rPr>
          <w:lang w:val="ru-RU"/>
        </w:rPr>
        <w:t>/</w:t>
      </w:r>
      <w:r>
        <w:rPr>
          <w:lang w:val="ru-RU"/>
        </w:rPr>
        <w:t>партнерство</w:t>
      </w:r>
      <w:r w:rsidRPr="00F871AC">
        <w:rPr>
          <w:lang w:val="ru-RU"/>
        </w:rPr>
        <w:t xml:space="preserve"> </w:t>
      </w:r>
      <w:r>
        <w:rPr>
          <w:lang w:val="ru-RU"/>
        </w:rPr>
        <w:t>между</w:t>
      </w:r>
      <w:r w:rsidRPr="00F871AC">
        <w:rPr>
          <w:lang w:val="ru-RU"/>
        </w:rPr>
        <w:t xml:space="preserve"> </w:t>
      </w:r>
      <w:r>
        <w:rPr>
          <w:lang w:val="ru-RU"/>
        </w:rPr>
        <w:t>странами</w:t>
      </w:r>
      <w:r w:rsidRPr="00F871AC">
        <w:rPr>
          <w:lang w:val="ru-RU"/>
        </w:rPr>
        <w:t>/</w:t>
      </w:r>
      <w:r>
        <w:rPr>
          <w:lang w:val="ru-RU"/>
        </w:rPr>
        <w:t>организациями</w:t>
      </w:r>
      <w:r w:rsidRPr="00F871AC">
        <w:rPr>
          <w:lang w:val="ru-RU"/>
        </w:rPr>
        <w:t xml:space="preserve"> </w:t>
      </w:r>
      <w:r>
        <w:rPr>
          <w:lang w:val="ru-RU"/>
        </w:rPr>
        <w:t>по</w:t>
      </w:r>
      <w:r w:rsidRPr="00F871AC">
        <w:rPr>
          <w:lang w:val="ru-RU"/>
        </w:rPr>
        <w:t xml:space="preserve"> </w:t>
      </w:r>
      <w:r>
        <w:rPr>
          <w:lang w:val="ru-RU"/>
        </w:rPr>
        <w:t>линии</w:t>
      </w:r>
      <w:r w:rsidRPr="00F871AC">
        <w:rPr>
          <w:lang w:val="ru-RU"/>
        </w:rPr>
        <w:t xml:space="preserve"> </w:t>
      </w:r>
      <w:r>
        <w:rPr>
          <w:lang w:val="ru-RU"/>
        </w:rPr>
        <w:t>Юг</w:t>
      </w:r>
      <w:r w:rsidRPr="00F871AC">
        <w:rPr>
          <w:lang w:val="ru-RU"/>
        </w:rPr>
        <w:t>-</w:t>
      </w:r>
      <w:r>
        <w:rPr>
          <w:lang w:val="ru-RU"/>
        </w:rPr>
        <w:t>Юг</w:t>
      </w:r>
      <w:r w:rsidRPr="00F871AC">
        <w:rPr>
          <w:lang w:val="ru-RU"/>
        </w:rPr>
        <w:t xml:space="preserve"> </w:t>
      </w:r>
      <w:r>
        <w:rPr>
          <w:lang w:val="ru-RU"/>
        </w:rPr>
        <w:t>стало</w:t>
      </w:r>
      <w:r w:rsidRPr="00F871AC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F871AC">
        <w:rPr>
          <w:lang w:val="ru-RU"/>
        </w:rPr>
        <w:t xml:space="preserve"> </w:t>
      </w:r>
      <w:r>
        <w:rPr>
          <w:lang w:val="ru-RU"/>
        </w:rPr>
        <w:t>полезной</w:t>
      </w:r>
      <w:r w:rsidRPr="00F871AC">
        <w:rPr>
          <w:lang w:val="ru-RU"/>
        </w:rPr>
        <w:t xml:space="preserve"> </w:t>
      </w:r>
      <w:r>
        <w:rPr>
          <w:lang w:val="ru-RU"/>
        </w:rPr>
        <w:t>платформой</w:t>
      </w:r>
      <w:r w:rsidRPr="00F871AC">
        <w:rPr>
          <w:lang w:val="ru-RU"/>
        </w:rPr>
        <w:t xml:space="preserve"> </w:t>
      </w:r>
      <w:r>
        <w:rPr>
          <w:lang w:val="ru-RU"/>
        </w:rPr>
        <w:t>для</w:t>
      </w:r>
      <w:r w:rsidRPr="00F871AC">
        <w:rPr>
          <w:lang w:val="ru-RU"/>
        </w:rPr>
        <w:t xml:space="preserve"> </w:t>
      </w:r>
      <w:r>
        <w:rPr>
          <w:lang w:val="ru-RU"/>
        </w:rPr>
        <w:t>создания</w:t>
      </w:r>
      <w:r w:rsidRPr="00F871AC">
        <w:rPr>
          <w:lang w:val="ru-RU"/>
        </w:rPr>
        <w:t xml:space="preserve"> </w:t>
      </w:r>
      <w:r>
        <w:rPr>
          <w:lang w:val="ru-RU"/>
        </w:rPr>
        <w:t>сетей</w:t>
      </w:r>
      <w:r w:rsidRPr="00F871AC">
        <w:rPr>
          <w:lang w:val="ru-RU"/>
        </w:rPr>
        <w:t xml:space="preserve"> </w:t>
      </w:r>
      <w:r>
        <w:rPr>
          <w:lang w:val="ru-RU"/>
        </w:rPr>
        <w:t>и</w:t>
      </w:r>
      <w:r w:rsidRPr="00F871AC">
        <w:rPr>
          <w:lang w:val="ru-RU"/>
        </w:rPr>
        <w:t xml:space="preserve"> </w:t>
      </w:r>
      <w:r>
        <w:rPr>
          <w:lang w:val="ru-RU"/>
        </w:rPr>
        <w:t>установления тесных связей между организациями/странами в разных регионах</w:t>
      </w:r>
      <w:r w:rsidR="005853BE" w:rsidRPr="00F871AC">
        <w:rPr>
          <w:lang w:val="ru-RU"/>
        </w:rPr>
        <w:t xml:space="preserve"> (</w:t>
      </w:r>
      <w:r>
        <w:rPr>
          <w:lang w:val="ru-RU"/>
        </w:rPr>
        <w:t>например, в Азиатско-Тихоокеанский регион входят страны</w:t>
      </w:r>
      <w:r w:rsidR="00F53507">
        <w:rPr>
          <w:lang w:val="ru-RU"/>
        </w:rPr>
        <w:t xml:space="preserve"> Южной</w:t>
      </w:r>
      <w:r>
        <w:rPr>
          <w:lang w:val="ru-RU"/>
        </w:rPr>
        <w:t xml:space="preserve"> </w:t>
      </w:r>
      <w:r w:rsidR="00F53507">
        <w:rPr>
          <w:lang w:val="ru-RU"/>
        </w:rPr>
        <w:t>и</w:t>
      </w:r>
      <w:r>
        <w:rPr>
          <w:lang w:val="ru-RU"/>
        </w:rPr>
        <w:t xml:space="preserve"> Центральной Азии, страны Африки к югу от Сахары, страны Латинской Америки и Карибского бассейна</w:t>
      </w:r>
      <w:r w:rsidR="005853BE" w:rsidRPr="00F871AC">
        <w:rPr>
          <w:lang w:val="ru-RU"/>
        </w:rPr>
        <w:t xml:space="preserve">). </w:t>
      </w:r>
    </w:p>
    <w:p w:rsidR="005853BE" w:rsidRPr="00F871AC" w:rsidRDefault="005853BE" w:rsidP="005853BE">
      <w:pPr>
        <w:rPr>
          <w:lang w:val="ru-RU"/>
        </w:rPr>
      </w:pPr>
    </w:p>
    <w:p w:rsidR="005853BE" w:rsidRPr="00F871AC" w:rsidRDefault="00F871AC" w:rsidP="005853BE">
      <w:pPr>
        <w:pStyle w:val="NewPara"/>
        <w:jc w:val="both"/>
        <w:rPr>
          <w:lang w:val="ru-RU"/>
        </w:rPr>
      </w:pPr>
      <w:r>
        <w:rPr>
          <w:lang w:val="ru-RU"/>
        </w:rPr>
        <w:t>Особого внимания заслуживает сетевое взаимодействие в области сельскохозяйственного образования и научно-исследовательской работы в странах Африки к югу от Сахары</w:t>
      </w:r>
      <w:r w:rsidR="005853BE" w:rsidRPr="00F871AC">
        <w:rPr>
          <w:lang w:val="ru-RU"/>
        </w:rPr>
        <w:t xml:space="preserve">. </w:t>
      </w:r>
      <w:r>
        <w:rPr>
          <w:lang w:val="ru-RU"/>
        </w:rPr>
        <w:t xml:space="preserve">Хотя в регионе </w:t>
      </w:r>
      <w:r w:rsidR="000B22FA">
        <w:rPr>
          <w:lang w:val="ru-RU"/>
        </w:rPr>
        <w:t>действуют</w:t>
      </w:r>
      <w:r>
        <w:rPr>
          <w:lang w:val="ru-RU"/>
        </w:rPr>
        <w:t xml:space="preserve"> несколько академических институтов с большим потенциалом для проведения исследовательской работы, эти институты географически далеки друг от друга и сетевые взаимодействия между ними и совместное использование ресурсов минимальны</w:t>
      </w:r>
      <w:r w:rsidR="005853BE" w:rsidRPr="00F871AC">
        <w:rPr>
          <w:lang w:val="ru-RU"/>
        </w:rPr>
        <w:t>.</w:t>
      </w:r>
      <w:r>
        <w:rPr>
          <w:lang w:val="ru-RU"/>
        </w:rPr>
        <w:t xml:space="preserve"> В</w:t>
      </w:r>
      <w:r w:rsidRPr="00F871AC">
        <w:rPr>
          <w:lang w:val="ru-RU"/>
        </w:rPr>
        <w:t xml:space="preserve"> </w:t>
      </w:r>
      <w:r>
        <w:rPr>
          <w:lang w:val="ru-RU"/>
        </w:rPr>
        <w:t>последнее</w:t>
      </w:r>
      <w:r w:rsidRPr="00F871AC">
        <w:rPr>
          <w:lang w:val="ru-RU"/>
        </w:rPr>
        <w:t xml:space="preserve"> </w:t>
      </w:r>
      <w:r>
        <w:rPr>
          <w:lang w:val="ru-RU"/>
        </w:rPr>
        <w:t>время</w:t>
      </w:r>
      <w:r w:rsidRPr="00F871AC">
        <w:rPr>
          <w:lang w:val="ru-RU"/>
        </w:rPr>
        <w:t xml:space="preserve"> </w:t>
      </w:r>
      <w:r>
        <w:rPr>
          <w:lang w:val="ru-RU"/>
        </w:rPr>
        <w:t>предпринимаются</w:t>
      </w:r>
      <w:r w:rsidRPr="00F871AC">
        <w:rPr>
          <w:lang w:val="ru-RU"/>
        </w:rPr>
        <w:t xml:space="preserve"> </w:t>
      </w:r>
      <w:r>
        <w:rPr>
          <w:lang w:val="ru-RU"/>
        </w:rPr>
        <w:t>попытки содействовать сетевому взаимодействию между институтами в целях развития исследовательского и образовательного потенциала региона</w:t>
      </w:r>
      <w:r w:rsidR="005853BE" w:rsidRPr="00F871AC">
        <w:rPr>
          <w:lang w:val="ru-RU"/>
        </w:rPr>
        <w:t xml:space="preserve">. </w:t>
      </w:r>
    </w:p>
    <w:p w:rsidR="005853BE" w:rsidRPr="00F871AC" w:rsidRDefault="005853BE" w:rsidP="005853BE">
      <w:pPr>
        <w:rPr>
          <w:lang w:val="ru-RU"/>
        </w:rPr>
      </w:pPr>
    </w:p>
    <w:p w:rsidR="005853BE" w:rsidRPr="00F871AC" w:rsidRDefault="00F871AC" w:rsidP="00F53507">
      <w:pPr>
        <w:pStyle w:val="NewPara"/>
        <w:jc w:val="both"/>
        <w:rPr>
          <w:lang w:val="ru-RU"/>
        </w:rPr>
      </w:pPr>
      <w:r>
        <w:rPr>
          <w:lang w:val="ru-RU"/>
        </w:rPr>
        <w:t>Например</w:t>
      </w:r>
      <w:r w:rsidRPr="00F871AC">
        <w:rPr>
          <w:lang w:val="ru-RU"/>
        </w:rPr>
        <w:t xml:space="preserve">, </w:t>
      </w:r>
      <w:r>
        <w:rPr>
          <w:lang w:val="ru-RU"/>
        </w:rPr>
        <w:t>под</w:t>
      </w:r>
      <w:r w:rsidRPr="00F871AC">
        <w:rPr>
          <w:lang w:val="ru-RU"/>
        </w:rPr>
        <w:t xml:space="preserve"> </w:t>
      </w:r>
      <w:r>
        <w:rPr>
          <w:lang w:val="ru-RU"/>
        </w:rPr>
        <w:t>эгидой</w:t>
      </w:r>
      <w:r w:rsidRPr="00F871A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F871AC">
        <w:rPr>
          <w:lang w:val="ru-RU"/>
        </w:rPr>
        <w:t xml:space="preserve"> </w:t>
      </w:r>
      <w:r>
        <w:rPr>
          <w:lang w:val="ru-RU"/>
        </w:rPr>
        <w:t>НЕПАД</w:t>
      </w:r>
      <w:r w:rsidRPr="00F871AC">
        <w:rPr>
          <w:lang w:val="ru-RU"/>
        </w:rPr>
        <w:t xml:space="preserve"> (</w:t>
      </w:r>
      <w:r>
        <w:rPr>
          <w:lang w:val="ru-RU"/>
        </w:rPr>
        <w:t>Новое</w:t>
      </w:r>
      <w:r w:rsidRPr="00F871AC">
        <w:rPr>
          <w:lang w:val="ru-RU"/>
        </w:rPr>
        <w:t xml:space="preserve"> </w:t>
      </w:r>
      <w:r>
        <w:rPr>
          <w:lang w:val="ru-RU"/>
        </w:rPr>
        <w:t>партнерство</w:t>
      </w:r>
      <w:r w:rsidRPr="00F871AC">
        <w:rPr>
          <w:lang w:val="ru-RU"/>
        </w:rPr>
        <w:t xml:space="preserve"> </w:t>
      </w:r>
      <w:r>
        <w:rPr>
          <w:lang w:val="ru-RU"/>
        </w:rPr>
        <w:t>в</w:t>
      </w:r>
      <w:r w:rsidRPr="00F871AC">
        <w:rPr>
          <w:lang w:val="ru-RU"/>
        </w:rPr>
        <w:t xml:space="preserve"> </w:t>
      </w:r>
      <w:r>
        <w:rPr>
          <w:lang w:val="ru-RU"/>
        </w:rPr>
        <w:t>интересах</w:t>
      </w:r>
      <w:r w:rsidRPr="00F871AC">
        <w:rPr>
          <w:lang w:val="ru-RU"/>
        </w:rPr>
        <w:t xml:space="preserve"> </w:t>
      </w:r>
      <w:r>
        <w:rPr>
          <w:lang w:val="ru-RU"/>
        </w:rPr>
        <w:t>развития</w:t>
      </w:r>
      <w:r w:rsidRPr="00F871AC">
        <w:rPr>
          <w:lang w:val="ru-RU"/>
        </w:rPr>
        <w:t xml:space="preserve"> </w:t>
      </w:r>
      <w:r>
        <w:rPr>
          <w:lang w:val="ru-RU"/>
        </w:rPr>
        <w:t>Африки</w:t>
      </w:r>
      <w:r w:rsidR="00A72D2E">
        <w:rPr>
          <w:lang w:val="ru-RU"/>
        </w:rPr>
        <w:t xml:space="preserve"> –</w:t>
      </w:r>
      <w:r w:rsidRPr="00F871AC">
        <w:rPr>
          <w:lang w:val="ru-RU"/>
        </w:rPr>
        <w:t xml:space="preserve"> </w:t>
      </w:r>
      <w:r w:rsidR="00A72D2E">
        <w:rPr>
          <w:lang w:val="ru-RU"/>
        </w:rPr>
        <w:t>"</w:t>
      </w:r>
      <w:r>
        <w:rPr>
          <w:lang w:val="ru-RU"/>
        </w:rPr>
        <w:t>Региональный</w:t>
      </w:r>
      <w:r w:rsidRPr="00F871AC">
        <w:rPr>
          <w:lang w:val="ru-RU"/>
        </w:rPr>
        <w:t xml:space="preserve">  </w:t>
      </w:r>
      <w:r>
        <w:rPr>
          <w:lang w:val="ru-RU"/>
        </w:rPr>
        <w:t>центр рыбного хозяйства</w:t>
      </w:r>
      <w:r w:rsidR="00A72D2E">
        <w:rPr>
          <w:lang w:val="ru-RU"/>
        </w:rPr>
        <w:t xml:space="preserve">") </w:t>
      </w:r>
      <w:r w:rsidR="00A72D2E" w:rsidRPr="00F871AC">
        <w:rPr>
          <w:lang w:val="ru-RU"/>
        </w:rPr>
        <w:t xml:space="preserve"> </w:t>
      </w:r>
      <w:r w:rsidR="00A72D2E">
        <w:rPr>
          <w:lang w:val="ru-RU"/>
        </w:rPr>
        <w:t xml:space="preserve">Сельскохозяйственный </w:t>
      </w:r>
      <w:r>
        <w:rPr>
          <w:lang w:val="ru-RU"/>
        </w:rPr>
        <w:t xml:space="preserve">колледж Бунда </w:t>
      </w:r>
      <w:r w:rsidR="00A72D2E">
        <w:rPr>
          <w:lang w:val="ru-RU"/>
        </w:rPr>
        <w:t xml:space="preserve">Университета </w:t>
      </w:r>
      <w:r>
        <w:rPr>
          <w:lang w:val="ru-RU"/>
        </w:rPr>
        <w:t xml:space="preserve">Малави разработал региональную программу для аспирантов. Программа содействует обучению студентов из Восточной, </w:t>
      </w:r>
      <w:r w:rsidR="00F53507">
        <w:rPr>
          <w:lang w:val="ru-RU"/>
        </w:rPr>
        <w:t xml:space="preserve">Центральной </w:t>
      </w:r>
      <w:r>
        <w:rPr>
          <w:lang w:val="ru-RU"/>
        </w:rPr>
        <w:t xml:space="preserve">и </w:t>
      </w:r>
      <w:r w:rsidR="00F53507">
        <w:rPr>
          <w:lang w:val="ru-RU"/>
        </w:rPr>
        <w:t xml:space="preserve">Южной </w:t>
      </w:r>
      <w:r>
        <w:rPr>
          <w:lang w:val="ru-RU"/>
        </w:rPr>
        <w:t>Африки и помогает построить и упрочить сеть исследователей, занимающихся проектами в области рыбного хозяйства, аквакультуры и биоразнообразия</w:t>
      </w:r>
      <w:r w:rsidR="005853BE" w:rsidRPr="00F871AC">
        <w:rPr>
          <w:lang w:val="ru-RU"/>
        </w:rPr>
        <w:t xml:space="preserve">. </w:t>
      </w:r>
    </w:p>
    <w:p w:rsidR="005853BE" w:rsidRPr="00F871AC" w:rsidRDefault="005853BE" w:rsidP="005853BE">
      <w:pPr>
        <w:rPr>
          <w:lang w:val="ru-RU"/>
        </w:rPr>
      </w:pPr>
    </w:p>
    <w:p w:rsidR="005853BE" w:rsidRPr="005C161E" w:rsidRDefault="00F871AC" w:rsidP="005853BE">
      <w:pPr>
        <w:pStyle w:val="NewPara"/>
        <w:jc w:val="both"/>
        <w:rPr>
          <w:lang w:val="ru-RU"/>
        </w:rPr>
      </w:pPr>
      <w:r>
        <w:rPr>
          <w:lang w:val="ru-RU"/>
        </w:rPr>
        <w:t>В</w:t>
      </w:r>
      <w:r w:rsidRPr="00F871AC">
        <w:rPr>
          <w:lang w:val="ru-RU"/>
        </w:rPr>
        <w:t xml:space="preserve"> </w:t>
      </w:r>
      <w:r>
        <w:rPr>
          <w:lang w:val="ru-RU"/>
        </w:rPr>
        <w:t>числе</w:t>
      </w:r>
      <w:r w:rsidRPr="00F871AC">
        <w:rPr>
          <w:lang w:val="ru-RU"/>
        </w:rPr>
        <w:t xml:space="preserve"> </w:t>
      </w:r>
      <w:r>
        <w:rPr>
          <w:lang w:val="ru-RU"/>
        </w:rPr>
        <w:t>других</w:t>
      </w:r>
      <w:r w:rsidRPr="00F871AC">
        <w:rPr>
          <w:lang w:val="ru-RU"/>
        </w:rPr>
        <w:t xml:space="preserve"> </w:t>
      </w:r>
      <w:r>
        <w:rPr>
          <w:lang w:val="ru-RU"/>
        </w:rPr>
        <w:t>организаций, обеспечивающих сетевое взаимодействие, – Форум сельскохозяйственных исследований в Африке (ФАРА)</w:t>
      </w:r>
      <w:r w:rsidR="002A0C03">
        <w:rPr>
          <w:lang w:val="ru-RU"/>
        </w:rPr>
        <w:t xml:space="preserve">, который является техническим </w:t>
      </w:r>
      <w:r w:rsidR="005853BE" w:rsidRPr="00F871AC">
        <w:rPr>
          <w:lang w:val="ru-RU"/>
        </w:rPr>
        <w:t xml:space="preserve"> </w:t>
      </w:r>
      <w:r w:rsidR="002A0C03">
        <w:rPr>
          <w:lang w:val="ru-RU"/>
        </w:rPr>
        <w:t>органом Комиссии Африканского союза и занимается вопросами науки, техники и инноваций в сельском хозяйстве</w:t>
      </w:r>
      <w:r w:rsidR="005853BE" w:rsidRPr="00F871AC">
        <w:rPr>
          <w:lang w:val="ru-RU"/>
        </w:rPr>
        <w:t xml:space="preserve">. </w:t>
      </w:r>
      <w:r w:rsidR="005C161E">
        <w:rPr>
          <w:lang w:val="ru-RU"/>
        </w:rPr>
        <w:t>Целью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его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программы</w:t>
      </w:r>
      <w:r w:rsidR="005C161E" w:rsidRPr="005C161E">
        <w:rPr>
          <w:lang w:val="ru-RU"/>
        </w:rPr>
        <w:t xml:space="preserve"> </w:t>
      </w:r>
      <w:r w:rsidR="00A72D2E">
        <w:rPr>
          <w:lang w:val="ru-RU"/>
        </w:rPr>
        <w:t>"</w:t>
      </w:r>
      <w:r w:rsidR="005C161E">
        <w:rPr>
          <w:lang w:val="ru-RU"/>
        </w:rPr>
        <w:t>Усиление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потенциала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для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сельскохозяйственных исследований в целях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развития</w:t>
      </w:r>
      <w:r w:rsidR="00A72D2E">
        <w:rPr>
          <w:lang w:val="ru-RU"/>
        </w:rPr>
        <w:t xml:space="preserve">" </w:t>
      </w:r>
      <w:r w:rsidR="00A72D2E" w:rsidRPr="005C161E">
        <w:rPr>
          <w:lang w:val="ru-RU"/>
        </w:rPr>
        <w:t xml:space="preserve"> </w:t>
      </w:r>
      <w:r w:rsidR="005853BE" w:rsidRPr="005C161E">
        <w:rPr>
          <w:lang w:val="ru-RU"/>
        </w:rPr>
        <w:t>(</w:t>
      </w:r>
      <w:r w:rsidR="005853BE" w:rsidRPr="00A722CB">
        <w:t>SCARDA</w:t>
      </w:r>
      <w:r w:rsidR="005853BE" w:rsidRPr="005C161E">
        <w:rPr>
          <w:lang w:val="ru-RU"/>
        </w:rPr>
        <w:t>)</w:t>
      </w:r>
      <w:r w:rsidR="005C161E">
        <w:rPr>
          <w:lang w:val="ru-RU"/>
        </w:rPr>
        <w:t xml:space="preserve"> является упрочение </w:t>
      </w:r>
      <w:r w:rsidR="000B22FA">
        <w:rPr>
          <w:lang w:val="ru-RU"/>
        </w:rPr>
        <w:t>кадрового</w:t>
      </w:r>
      <w:r w:rsidR="005C161E">
        <w:rPr>
          <w:lang w:val="ru-RU"/>
        </w:rPr>
        <w:t xml:space="preserve"> и организационного потенциала африканских национальных систем сельскохозяйственных исследований</w:t>
      </w:r>
      <w:r w:rsidR="005853BE" w:rsidRPr="005C161E">
        <w:rPr>
          <w:lang w:val="ru-RU"/>
        </w:rPr>
        <w:t xml:space="preserve">. </w:t>
      </w:r>
      <w:r w:rsidR="005C161E">
        <w:rPr>
          <w:lang w:val="ru-RU"/>
        </w:rPr>
        <w:t>После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закрытия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бюро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рыбного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хозяйства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НЕПАД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эстафету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Партнерства</w:t>
      </w:r>
      <w:r w:rsidR="005C161E" w:rsidRPr="005C161E">
        <w:rPr>
          <w:lang w:val="ru-RU"/>
        </w:rPr>
        <w:t xml:space="preserve"> </w:t>
      </w:r>
      <w:r w:rsidR="000B22FA">
        <w:rPr>
          <w:lang w:val="ru-RU"/>
        </w:rPr>
        <w:t>по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развитию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рыболовства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в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Африке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приняло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Межафриканское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бюро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по</w:t>
      </w:r>
      <w:r w:rsidR="005C161E" w:rsidRPr="005C161E">
        <w:rPr>
          <w:lang w:val="ru-RU"/>
        </w:rPr>
        <w:t xml:space="preserve"> </w:t>
      </w:r>
      <w:r w:rsidR="005C161E">
        <w:rPr>
          <w:lang w:val="ru-RU"/>
        </w:rPr>
        <w:t>животноводческим</w:t>
      </w:r>
      <w:r w:rsidR="005C161E" w:rsidRPr="005C161E">
        <w:rPr>
          <w:lang w:val="ru-RU"/>
        </w:rPr>
        <w:t xml:space="preserve"> ресурс</w:t>
      </w:r>
      <w:r w:rsidR="005C161E">
        <w:rPr>
          <w:lang w:val="ru-RU"/>
        </w:rPr>
        <w:t>ам</w:t>
      </w:r>
      <w:r w:rsidR="005C161E" w:rsidRPr="005C161E">
        <w:rPr>
          <w:lang w:val="ru-RU"/>
        </w:rPr>
        <w:t xml:space="preserve"> при Африканском Союзе (</w:t>
      </w:r>
      <w:r w:rsidR="005C161E" w:rsidRPr="005C161E">
        <w:rPr>
          <w:lang w:val="en-US"/>
        </w:rPr>
        <w:t>AU</w:t>
      </w:r>
      <w:r w:rsidR="005C161E" w:rsidRPr="005C161E">
        <w:rPr>
          <w:lang w:val="ru-RU"/>
        </w:rPr>
        <w:t>-</w:t>
      </w:r>
      <w:r w:rsidR="005C161E" w:rsidRPr="005C161E">
        <w:rPr>
          <w:lang w:val="en-US"/>
        </w:rPr>
        <w:t>IBAR</w:t>
      </w:r>
      <w:r w:rsidR="005C161E" w:rsidRPr="005C161E">
        <w:rPr>
          <w:lang w:val="ru-RU"/>
        </w:rPr>
        <w:t>)</w:t>
      </w:r>
      <w:r w:rsidR="005853BE" w:rsidRPr="005C161E">
        <w:rPr>
          <w:lang w:val="ru-RU"/>
        </w:rPr>
        <w:t xml:space="preserve">; </w:t>
      </w:r>
      <w:r w:rsidR="005C161E">
        <w:rPr>
          <w:lang w:val="ru-RU"/>
        </w:rPr>
        <w:t>его рабочая группа по аквакультуре является потенциальным механизмом для координации исследований в области аквакультуры</w:t>
      </w:r>
      <w:r w:rsidR="005853BE" w:rsidRPr="005C161E">
        <w:rPr>
          <w:lang w:val="ru-RU"/>
        </w:rPr>
        <w:t xml:space="preserve">. </w:t>
      </w:r>
    </w:p>
    <w:p w:rsidR="005853BE" w:rsidRPr="005C161E" w:rsidRDefault="005853BE" w:rsidP="005853BE">
      <w:pPr>
        <w:rPr>
          <w:lang w:val="ru-RU"/>
        </w:rPr>
      </w:pPr>
    </w:p>
    <w:p w:rsidR="005853BE" w:rsidRPr="005C161E" w:rsidRDefault="005C161E" w:rsidP="005853BE">
      <w:pPr>
        <w:pStyle w:val="NewPara"/>
        <w:jc w:val="both"/>
        <w:rPr>
          <w:lang w:val="ru-RU"/>
        </w:rPr>
      </w:pPr>
      <w:r>
        <w:rPr>
          <w:lang w:val="ru-RU"/>
        </w:rPr>
        <w:t>Ассоциация</w:t>
      </w:r>
      <w:r w:rsidRPr="005C161E">
        <w:rPr>
          <w:lang w:val="ru-RU"/>
        </w:rPr>
        <w:t xml:space="preserve"> </w:t>
      </w:r>
      <w:r>
        <w:rPr>
          <w:lang w:val="ru-RU"/>
        </w:rPr>
        <w:t>африканских</w:t>
      </w:r>
      <w:r w:rsidRPr="005C161E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5C161E">
        <w:rPr>
          <w:lang w:val="ru-RU"/>
        </w:rPr>
        <w:t xml:space="preserve"> </w:t>
      </w:r>
      <w:r>
        <w:rPr>
          <w:lang w:val="ru-RU"/>
        </w:rPr>
        <w:t>выявила</w:t>
      </w:r>
      <w:r w:rsidRPr="005C161E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5C161E">
        <w:rPr>
          <w:lang w:val="ru-RU"/>
        </w:rPr>
        <w:t xml:space="preserve"> </w:t>
      </w:r>
      <w:r>
        <w:rPr>
          <w:lang w:val="ru-RU"/>
        </w:rPr>
        <w:t>модернизировать</w:t>
      </w:r>
      <w:r w:rsidRPr="005C161E">
        <w:rPr>
          <w:lang w:val="ru-RU"/>
        </w:rPr>
        <w:t xml:space="preserve"> </w:t>
      </w:r>
      <w:r>
        <w:rPr>
          <w:lang w:val="ru-RU"/>
        </w:rPr>
        <w:t>учебные</w:t>
      </w:r>
      <w:r w:rsidRPr="005C161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C161E">
        <w:rPr>
          <w:lang w:val="ru-RU"/>
        </w:rPr>
        <w:t xml:space="preserve"> </w:t>
      </w:r>
      <w:r>
        <w:rPr>
          <w:lang w:val="ru-RU"/>
        </w:rPr>
        <w:t>африканских университетов, обеспечив соответствие получаемых в них знаний и профессий потребностям рынка труда</w:t>
      </w:r>
      <w:r w:rsidR="005853BE" w:rsidRPr="005C161E">
        <w:rPr>
          <w:lang w:val="ru-RU"/>
        </w:rPr>
        <w:t xml:space="preserve">. </w:t>
      </w:r>
      <w:r>
        <w:rPr>
          <w:lang w:val="ru-RU"/>
        </w:rPr>
        <w:t>Такую модернизацию можно было бы пропагандировать как область для сотрудничества с Южноафриканской ассоциацией</w:t>
      </w:r>
      <w:r w:rsidR="008C630C">
        <w:rPr>
          <w:lang w:val="ru-RU"/>
        </w:rPr>
        <w:t xml:space="preserve"> региональных университетов</w:t>
      </w:r>
      <w:r w:rsidR="005853BE" w:rsidRPr="005C161E">
        <w:rPr>
          <w:lang w:val="ru-RU"/>
        </w:rPr>
        <w:t xml:space="preserve">. </w:t>
      </w:r>
    </w:p>
    <w:p w:rsidR="005853BE" w:rsidRPr="005C161E" w:rsidRDefault="005853BE" w:rsidP="005853BE">
      <w:pPr>
        <w:rPr>
          <w:lang w:val="ru-RU"/>
        </w:rPr>
      </w:pPr>
    </w:p>
    <w:p w:rsidR="005853BE" w:rsidRPr="008C630C" w:rsidRDefault="008C630C" w:rsidP="005853BE">
      <w:pPr>
        <w:pStyle w:val="NewPara"/>
        <w:jc w:val="both"/>
        <w:rPr>
          <w:lang w:val="ru-RU"/>
        </w:rPr>
      </w:pPr>
      <w:r>
        <w:rPr>
          <w:lang w:val="ru-RU"/>
        </w:rPr>
        <w:t>Проект</w:t>
      </w:r>
      <w:r w:rsidRPr="008C630C">
        <w:rPr>
          <w:lang w:val="ru-RU"/>
        </w:rPr>
        <w:t xml:space="preserve"> </w:t>
      </w:r>
      <w:r w:rsidR="00A72D2E">
        <w:rPr>
          <w:lang w:val="ru-RU"/>
        </w:rPr>
        <w:t>"</w:t>
      </w:r>
      <w:r>
        <w:rPr>
          <w:lang w:val="ru-RU"/>
        </w:rPr>
        <w:t>Сети</w:t>
      </w:r>
      <w:r w:rsidRPr="008C630C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8C630C">
        <w:rPr>
          <w:lang w:val="ru-RU"/>
        </w:rPr>
        <w:t xml:space="preserve"> </w:t>
      </w:r>
      <w:r>
        <w:rPr>
          <w:lang w:val="ru-RU"/>
        </w:rPr>
        <w:t>устойчивой</w:t>
      </w:r>
      <w:r w:rsidRPr="008C630C">
        <w:rPr>
          <w:lang w:val="ru-RU"/>
        </w:rPr>
        <w:t xml:space="preserve"> </w:t>
      </w:r>
      <w:proofErr w:type="spellStart"/>
      <w:r>
        <w:rPr>
          <w:lang w:val="ru-RU"/>
        </w:rPr>
        <w:t>аквакультуры</w:t>
      </w:r>
      <w:proofErr w:type="spellEnd"/>
      <w:r w:rsidRPr="008C630C">
        <w:rPr>
          <w:lang w:val="ru-RU"/>
        </w:rPr>
        <w:t xml:space="preserve"> </w:t>
      </w:r>
      <w:r>
        <w:rPr>
          <w:lang w:val="ru-RU"/>
        </w:rPr>
        <w:t>для</w:t>
      </w:r>
      <w:r w:rsidRPr="008C630C">
        <w:rPr>
          <w:lang w:val="ru-RU"/>
        </w:rPr>
        <w:t xml:space="preserve"> </w:t>
      </w:r>
      <w:r>
        <w:rPr>
          <w:lang w:val="ru-RU"/>
        </w:rPr>
        <w:t>стран</w:t>
      </w:r>
      <w:r w:rsidRPr="008C630C">
        <w:rPr>
          <w:lang w:val="ru-RU"/>
        </w:rPr>
        <w:t xml:space="preserve"> </w:t>
      </w:r>
      <w:r>
        <w:rPr>
          <w:lang w:val="ru-RU"/>
        </w:rPr>
        <w:t>Африки</w:t>
      </w:r>
      <w:r w:rsidRPr="008C630C">
        <w:rPr>
          <w:lang w:val="ru-RU"/>
        </w:rPr>
        <w:t xml:space="preserve"> </w:t>
      </w:r>
      <w:r>
        <w:rPr>
          <w:lang w:val="ru-RU"/>
        </w:rPr>
        <w:t>к</w:t>
      </w:r>
      <w:r w:rsidRPr="008C630C">
        <w:rPr>
          <w:lang w:val="ru-RU"/>
        </w:rPr>
        <w:t xml:space="preserve"> </w:t>
      </w:r>
      <w:r>
        <w:rPr>
          <w:lang w:val="ru-RU"/>
        </w:rPr>
        <w:t>югу</w:t>
      </w:r>
      <w:r w:rsidRPr="008C630C">
        <w:rPr>
          <w:lang w:val="ru-RU"/>
        </w:rPr>
        <w:t xml:space="preserve"> </w:t>
      </w:r>
      <w:r>
        <w:rPr>
          <w:lang w:val="ru-RU"/>
        </w:rPr>
        <w:t>от</w:t>
      </w:r>
      <w:r w:rsidRPr="008C630C">
        <w:rPr>
          <w:lang w:val="ru-RU"/>
        </w:rPr>
        <w:t xml:space="preserve"> </w:t>
      </w:r>
      <w:r>
        <w:rPr>
          <w:lang w:val="ru-RU"/>
        </w:rPr>
        <w:t>Сахары</w:t>
      </w:r>
      <w:r w:rsidR="00A72D2E">
        <w:rPr>
          <w:lang w:val="ru-RU"/>
        </w:rPr>
        <w:t>"</w:t>
      </w:r>
      <w:r w:rsidR="00A72D2E" w:rsidRPr="008C630C">
        <w:rPr>
          <w:lang w:val="ru-RU"/>
        </w:rPr>
        <w:t xml:space="preserve"> </w:t>
      </w:r>
      <w:r w:rsidRPr="008C630C">
        <w:rPr>
          <w:lang w:val="ru-RU"/>
        </w:rPr>
        <w:t>(</w:t>
      </w:r>
      <w:r>
        <w:rPr>
          <w:lang w:val="ru-RU"/>
        </w:rPr>
        <w:t>САРНИССА</w:t>
      </w:r>
      <w:r w:rsidRPr="008C630C">
        <w:rPr>
          <w:lang w:val="ru-RU"/>
        </w:rPr>
        <w:t>)</w:t>
      </w:r>
      <w:r w:rsidR="005853BE" w:rsidRPr="008C630C">
        <w:rPr>
          <w:lang w:val="ru-RU"/>
        </w:rPr>
        <w:t xml:space="preserve"> </w:t>
      </w:r>
      <w:r>
        <w:rPr>
          <w:lang w:val="ru-RU"/>
        </w:rPr>
        <w:t>эффективно объединил исследователей, фермеров и частный сектор. Проект показал высокую эффективность</w:t>
      </w:r>
      <w:r w:rsidR="00850C01">
        <w:rPr>
          <w:lang w:val="ru-RU"/>
        </w:rPr>
        <w:t>,</w:t>
      </w:r>
      <w:r>
        <w:rPr>
          <w:lang w:val="ru-RU"/>
        </w:rPr>
        <w:t xml:space="preserve"> как платформа для создания связей в сообществе фермеров и как информационный и образовательный инструмент</w:t>
      </w:r>
      <w:r w:rsidR="005853BE" w:rsidRPr="008C630C">
        <w:rPr>
          <w:lang w:val="ru-RU"/>
        </w:rPr>
        <w:t xml:space="preserve">. </w:t>
      </w:r>
    </w:p>
    <w:p w:rsidR="005853BE" w:rsidRPr="008C630C" w:rsidRDefault="005853BE" w:rsidP="005853BE">
      <w:pPr>
        <w:rPr>
          <w:lang w:val="ru-RU"/>
        </w:rPr>
      </w:pPr>
    </w:p>
    <w:p w:rsidR="005853BE" w:rsidRPr="008C630C" w:rsidRDefault="008C630C" w:rsidP="005853BE">
      <w:pPr>
        <w:pStyle w:val="NewPara"/>
        <w:jc w:val="both"/>
        <w:rPr>
          <w:lang w:val="ru-RU"/>
        </w:rPr>
      </w:pPr>
      <w:r>
        <w:rPr>
          <w:lang w:val="ru-RU"/>
        </w:rPr>
        <w:t xml:space="preserve">ФАО содействовала созданию Сети аквакультуры для Африки </w:t>
      </w:r>
      <w:r w:rsidR="005853BE" w:rsidRPr="008C630C">
        <w:rPr>
          <w:lang w:val="ru-RU"/>
        </w:rPr>
        <w:t>(</w:t>
      </w:r>
      <w:r>
        <w:rPr>
          <w:lang w:val="ru-RU"/>
        </w:rPr>
        <w:t>АНАФ</w:t>
      </w:r>
      <w:r w:rsidR="005853BE" w:rsidRPr="008C630C">
        <w:rPr>
          <w:lang w:val="ru-RU"/>
        </w:rPr>
        <w:t>)</w:t>
      </w:r>
      <w:r w:rsidR="008C2E7F" w:rsidRPr="008C630C">
        <w:rPr>
          <w:lang w:val="ru-RU"/>
        </w:rPr>
        <w:t xml:space="preserve">, </w:t>
      </w:r>
      <w:r w:rsidR="008C2E7F">
        <w:rPr>
          <w:lang w:val="ru-RU"/>
        </w:rPr>
        <w:t>построенной</w:t>
      </w:r>
      <w:r w:rsidR="008C2E7F" w:rsidRPr="008C630C">
        <w:rPr>
          <w:lang w:val="ru-RU"/>
        </w:rPr>
        <w:t xml:space="preserve"> </w:t>
      </w:r>
      <w:r w:rsidR="008C2E7F">
        <w:rPr>
          <w:lang w:val="ru-RU"/>
        </w:rPr>
        <w:t>по</w:t>
      </w:r>
      <w:r w:rsidR="008C2E7F" w:rsidRPr="008C630C">
        <w:rPr>
          <w:lang w:val="ru-RU"/>
        </w:rPr>
        <w:t xml:space="preserve"> </w:t>
      </w:r>
      <w:r w:rsidR="008C2E7F">
        <w:rPr>
          <w:lang w:val="ru-RU"/>
        </w:rPr>
        <w:t>той</w:t>
      </w:r>
      <w:r w:rsidR="008C2E7F" w:rsidRPr="008C630C">
        <w:rPr>
          <w:lang w:val="ru-RU"/>
        </w:rPr>
        <w:t xml:space="preserve"> </w:t>
      </w:r>
      <w:r w:rsidR="008C2E7F">
        <w:rPr>
          <w:lang w:val="ru-RU"/>
        </w:rPr>
        <w:t>же</w:t>
      </w:r>
      <w:r w:rsidR="008C2E7F" w:rsidRPr="008C630C">
        <w:rPr>
          <w:lang w:val="ru-RU"/>
        </w:rPr>
        <w:t xml:space="preserve"> </w:t>
      </w:r>
      <w:r w:rsidR="008C2E7F">
        <w:rPr>
          <w:lang w:val="ru-RU"/>
        </w:rPr>
        <w:t>модели</w:t>
      </w:r>
      <w:r w:rsidR="008C2E7F" w:rsidRPr="008C630C">
        <w:rPr>
          <w:lang w:val="ru-RU"/>
        </w:rPr>
        <w:t xml:space="preserve">, </w:t>
      </w:r>
      <w:r w:rsidR="008C2E7F">
        <w:rPr>
          <w:lang w:val="ru-RU"/>
        </w:rPr>
        <w:t>что</w:t>
      </w:r>
      <w:r>
        <w:rPr>
          <w:lang w:val="ru-RU"/>
        </w:rPr>
        <w:t xml:space="preserve"> НАКА</w:t>
      </w:r>
      <w:r w:rsidR="005853BE" w:rsidRPr="0073118D">
        <w:rPr>
          <w:vertAlign w:val="superscript"/>
        </w:rPr>
        <w:footnoteReference w:id="21"/>
      </w:r>
      <w:r w:rsidR="005853BE" w:rsidRPr="008C630C">
        <w:rPr>
          <w:lang w:val="ru-RU"/>
        </w:rPr>
        <w:t>.</w:t>
      </w:r>
      <w:r w:rsidRPr="008C630C">
        <w:rPr>
          <w:lang w:val="ru-RU"/>
        </w:rPr>
        <w:t xml:space="preserve"> АНАФ была задумана, чтобы способствовать обмену информацией </w:t>
      </w:r>
      <w:r>
        <w:rPr>
          <w:lang w:val="ru-RU"/>
        </w:rPr>
        <w:t xml:space="preserve">по </w:t>
      </w:r>
      <w:r w:rsidRPr="008C630C">
        <w:rPr>
          <w:lang w:val="ru-RU"/>
        </w:rPr>
        <w:t>аквакультур</w:t>
      </w:r>
      <w:r>
        <w:rPr>
          <w:lang w:val="ru-RU"/>
        </w:rPr>
        <w:t>е</w:t>
      </w:r>
      <w:r w:rsidRPr="008C630C">
        <w:rPr>
          <w:lang w:val="ru-RU"/>
        </w:rPr>
        <w:t xml:space="preserve"> в странах Африки </w:t>
      </w:r>
      <w:r>
        <w:rPr>
          <w:lang w:val="ru-RU"/>
        </w:rPr>
        <w:t>к югу от</w:t>
      </w:r>
      <w:r w:rsidRPr="008C630C">
        <w:rPr>
          <w:lang w:val="ru-RU"/>
        </w:rPr>
        <w:t xml:space="preserve"> Сахары и развивать неформальную, гибкую и эффективную сеть региональных экспертов для развития аквакультуры</w:t>
      </w:r>
      <w:r w:rsidR="005853BE" w:rsidRPr="008C630C">
        <w:rPr>
          <w:lang w:val="ru-RU"/>
        </w:rPr>
        <w:t xml:space="preserve">. </w:t>
      </w:r>
    </w:p>
    <w:p w:rsidR="005853BE" w:rsidRPr="008C630C" w:rsidRDefault="005853BE" w:rsidP="005853BE">
      <w:pPr>
        <w:rPr>
          <w:lang w:val="ru-RU"/>
        </w:rPr>
      </w:pPr>
    </w:p>
    <w:p w:rsidR="005853BE" w:rsidRPr="002637C2" w:rsidRDefault="008C630C" w:rsidP="005853BE">
      <w:pPr>
        <w:pStyle w:val="NewPara"/>
        <w:jc w:val="both"/>
        <w:rPr>
          <w:lang w:val="ru-RU"/>
        </w:rPr>
      </w:pPr>
      <w:r>
        <w:rPr>
          <w:lang w:val="ru-RU"/>
        </w:rPr>
        <w:t>Можно</w:t>
      </w:r>
      <w:r w:rsidRPr="00615CDA">
        <w:rPr>
          <w:lang w:val="ru-RU"/>
        </w:rPr>
        <w:t xml:space="preserve"> </w:t>
      </w:r>
      <w:r>
        <w:rPr>
          <w:lang w:val="ru-RU"/>
        </w:rPr>
        <w:t>было</w:t>
      </w:r>
      <w:r w:rsidRPr="00615CDA">
        <w:rPr>
          <w:lang w:val="ru-RU"/>
        </w:rPr>
        <w:t xml:space="preserve"> </w:t>
      </w:r>
      <w:r>
        <w:rPr>
          <w:lang w:val="ru-RU"/>
        </w:rPr>
        <w:t>бы</w:t>
      </w:r>
      <w:r w:rsidRPr="00615CDA">
        <w:rPr>
          <w:lang w:val="ru-RU"/>
        </w:rPr>
        <w:t xml:space="preserve"> </w:t>
      </w:r>
      <w:r>
        <w:rPr>
          <w:lang w:val="ru-RU"/>
        </w:rPr>
        <w:t>рассмотреть</w:t>
      </w:r>
      <w:r w:rsidR="005853BE" w:rsidRPr="00615CDA">
        <w:rPr>
          <w:lang w:val="ru-RU"/>
        </w:rPr>
        <w:t xml:space="preserve"> </w:t>
      </w:r>
      <w:r w:rsidR="00615CDA">
        <w:rPr>
          <w:lang w:val="ru-RU"/>
        </w:rPr>
        <w:t xml:space="preserve">такой вопрос, как ориентация учебных, исследовательских и специальных программ ФАО </w:t>
      </w:r>
      <w:r w:rsidR="003D5CF1">
        <w:rPr>
          <w:lang w:val="ru-RU"/>
        </w:rPr>
        <w:t>на интересы Африки</w:t>
      </w:r>
      <w:bookmarkStart w:id="4" w:name="_GoBack"/>
      <w:bookmarkEnd w:id="4"/>
      <w:r w:rsidR="00615CDA">
        <w:rPr>
          <w:lang w:val="ru-RU"/>
        </w:rPr>
        <w:t>, организовав региональный семинар, которому бы предшествовало исследование учебных и исследовательских программ. Семинар</w:t>
      </w:r>
      <w:r w:rsidR="00615CDA" w:rsidRPr="00615CDA">
        <w:rPr>
          <w:lang w:val="ru-RU"/>
        </w:rPr>
        <w:t xml:space="preserve"> </w:t>
      </w:r>
      <w:r w:rsidR="00615CDA">
        <w:rPr>
          <w:lang w:val="ru-RU"/>
        </w:rPr>
        <w:t xml:space="preserve">определил бы ключевые области для совершенствования, а его результаты можно было бы использовать, инициировав </w:t>
      </w:r>
      <w:r w:rsidR="009660D1">
        <w:rPr>
          <w:lang w:val="ru-RU"/>
        </w:rPr>
        <w:t xml:space="preserve">создание </w:t>
      </w:r>
      <w:r w:rsidR="00615CDA">
        <w:rPr>
          <w:lang w:val="ru-RU"/>
        </w:rPr>
        <w:t>региональн</w:t>
      </w:r>
      <w:r w:rsidR="009660D1">
        <w:rPr>
          <w:lang w:val="ru-RU"/>
        </w:rPr>
        <w:t>ой</w:t>
      </w:r>
      <w:r w:rsidR="00615CDA">
        <w:rPr>
          <w:lang w:val="ru-RU"/>
        </w:rPr>
        <w:t xml:space="preserve"> сет</w:t>
      </w:r>
      <w:r w:rsidR="009660D1">
        <w:rPr>
          <w:lang w:val="ru-RU"/>
        </w:rPr>
        <w:t>и</w:t>
      </w:r>
      <w:r w:rsidR="00615CDA">
        <w:rPr>
          <w:lang w:val="ru-RU"/>
        </w:rPr>
        <w:t xml:space="preserve"> и программ</w:t>
      </w:r>
      <w:r w:rsidR="009660D1">
        <w:rPr>
          <w:lang w:val="ru-RU"/>
        </w:rPr>
        <w:t>ы</w:t>
      </w:r>
      <w:r w:rsidR="00615CDA">
        <w:rPr>
          <w:lang w:val="ru-RU"/>
        </w:rPr>
        <w:t xml:space="preserve"> научно-технических инноваций в аквакультуре, включенн</w:t>
      </w:r>
      <w:r w:rsidR="009660D1">
        <w:rPr>
          <w:lang w:val="ru-RU"/>
        </w:rPr>
        <w:t>ой</w:t>
      </w:r>
      <w:r w:rsidR="00615CDA">
        <w:rPr>
          <w:lang w:val="ru-RU"/>
        </w:rPr>
        <w:t xml:space="preserve"> в программу работы </w:t>
      </w:r>
      <w:r w:rsidR="005853BE" w:rsidRPr="00A722CB">
        <w:t>AU</w:t>
      </w:r>
      <w:r w:rsidR="005853BE" w:rsidRPr="002637C2">
        <w:rPr>
          <w:lang w:val="ru-RU"/>
        </w:rPr>
        <w:t>-</w:t>
      </w:r>
      <w:r w:rsidR="005853BE" w:rsidRPr="00A722CB">
        <w:t>IBAR</w:t>
      </w:r>
      <w:r w:rsidR="005853BE" w:rsidRPr="002637C2">
        <w:rPr>
          <w:lang w:val="ru-RU"/>
        </w:rPr>
        <w:t xml:space="preserve">. </w:t>
      </w:r>
    </w:p>
    <w:p w:rsidR="005853BE" w:rsidRPr="002637C2" w:rsidRDefault="005853BE" w:rsidP="005853BE">
      <w:pPr>
        <w:rPr>
          <w:lang w:val="ru-RU"/>
        </w:rPr>
      </w:pPr>
    </w:p>
    <w:p w:rsidR="005853BE" w:rsidRPr="002637C2" w:rsidRDefault="002637C2" w:rsidP="002637C2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 w:rsidRPr="002637C2">
        <w:rPr>
          <w:rFonts w:ascii="Times New Roman" w:hAnsi="Times New Roman" w:cs="Times New Roman"/>
          <w:lang w:val="ru-RU"/>
        </w:rPr>
        <w:t>ИССЛЕДОВАНИЯ</w:t>
      </w:r>
      <w:r w:rsidR="005853BE" w:rsidRPr="002637C2">
        <w:rPr>
          <w:rFonts w:ascii="Times New Roman" w:hAnsi="Times New Roman" w:cs="Times New Roman"/>
        </w:rPr>
        <w:t xml:space="preserve">: </w:t>
      </w:r>
      <w:r w:rsidRPr="002637C2">
        <w:rPr>
          <w:rFonts w:ascii="Times New Roman" w:hAnsi="Times New Roman" w:cs="Times New Roman"/>
          <w:lang w:val="ru-RU"/>
        </w:rPr>
        <w:t>СТРАТЕГИЯ</w:t>
      </w:r>
      <w:r w:rsidRPr="002637C2">
        <w:rPr>
          <w:rFonts w:ascii="Times New Roman" w:hAnsi="Times New Roman" w:cs="Times New Roman"/>
          <w:lang w:val="en-US"/>
        </w:rPr>
        <w:t xml:space="preserve"> </w:t>
      </w:r>
      <w:r w:rsidRPr="002637C2">
        <w:rPr>
          <w:rFonts w:ascii="Times New Roman" w:hAnsi="Times New Roman" w:cs="Times New Roman"/>
          <w:lang w:val="ru-RU"/>
        </w:rPr>
        <w:t>ОПРЕДЕЛЕНИЯ ПРИОРИТЕТОВ</w:t>
      </w:r>
    </w:p>
    <w:p w:rsidR="005853BE" w:rsidRPr="00A722CB" w:rsidRDefault="002637C2" w:rsidP="005853BE">
      <w:pPr>
        <w:pStyle w:val="NewPara"/>
        <w:jc w:val="both"/>
      </w:pPr>
      <w:r>
        <w:rPr>
          <w:lang w:val="ru-RU"/>
        </w:rPr>
        <w:t>Учитывая</w:t>
      </w:r>
      <w:r w:rsidRPr="00EB2303">
        <w:rPr>
          <w:lang w:val="ru-RU"/>
        </w:rPr>
        <w:t xml:space="preserve"> </w:t>
      </w:r>
      <w:r>
        <w:rPr>
          <w:lang w:val="ru-RU"/>
        </w:rPr>
        <w:t>разнообразие</w:t>
      </w:r>
      <w:r w:rsidRPr="00EB2303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EB2303">
        <w:rPr>
          <w:lang w:val="ru-RU"/>
        </w:rPr>
        <w:t xml:space="preserve"> </w:t>
      </w:r>
      <w:r>
        <w:rPr>
          <w:lang w:val="ru-RU"/>
        </w:rPr>
        <w:t>в</w:t>
      </w:r>
      <w:r w:rsidRPr="00EB2303">
        <w:rPr>
          <w:lang w:val="ru-RU"/>
        </w:rPr>
        <w:t xml:space="preserve"> </w:t>
      </w:r>
      <w:r>
        <w:rPr>
          <w:lang w:val="ru-RU"/>
        </w:rPr>
        <w:t>мире</w:t>
      </w:r>
      <w:r w:rsidRPr="00EB2303">
        <w:rPr>
          <w:lang w:val="ru-RU"/>
        </w:rPr>
        <w:t xml:space="preserve"> </w:t>
      </w:r>
      <w:r>
        <w:rPr>
          <w:lang w:val="ru-RU"/>
        </w:rPr>
        <w:t>методов</w:t>
      </w:r>
      <w:r w:rsidRPr="00EB2303">
        <w:rPr>
          <w:lang w:val="ru-RU"/>
        </w:rPr>
        <w:t xml:space="preserve"> </w:t>
      </w:r>
      <w:r>
        <w:rPr>
          <w:lang w:val="ru-RU"/>
        </w:rPr>
        <w:t>ведения</w:t>
      </w:r>
      <w:r w:rsidRPr="00EB2303">
        <w:rPr>
          <w:lang w:val="ru-RU"/>
        </w:rPr>
        <w:t xml:space="preserve"> </w:t>
      </w:r>
      <w:r>
        <w:rPr>
          <w:lang w:val="ru-RU"/>
        </w:rPr>
        <w:t>и</w:t>
      </w:r>
      <w:r w:rsidRPr="00EB2303">
        <w:rPr>
          <w:lang w:val="ru-RU"/>
        </w:rPr>
        <w:t xml:space="preserve"> </w:t>
      </w:r>
      <w:r>
        <w:rPr>
          <w:lang w:val="ru-RU"/>
        </w:rPr>
        <w:t>систем</w:t>
      </w:r>
      <w:r w:rsidRPr="00EB2303">
        <w:rPr>
          <w:lang w:val="ru-RU"/>
        </w:rPr>
        <w:t xml:space="preserve"> </w:t>
      </w:r>
      <w:r>
        <w:rPr>
          <w:lang w:val="ru-RU"/>
        </w:rPr>
        <w:t>аквакультуры</w:t>
      </w:r>
      <w:r w:rsidRPr="00EB2303">
        <w:rPr>
          <w:lang w:val="ru-RU"/>
        </w:rPr>
        <w:t xml:space="preserve">,  </w:t>
      </w:r>
      <w:r>
        <w:rPr>
          <w:lang w:val="ru-RU"/>
        </w:rPr>
        <w:t>лучшим</w:t>
      </w:r>
      <w:r w:rsidRPr="00EB2303">
        <w:rPr>
          <w:lang w:val="ru-RU"/>
        </w:rPr>
        <w:t xml:space="preserve"> </w:t>
      </w:r>
      <w:r>
        <w:rPr>
          <w:lang w:val="ru-RU"/>
        </w:rPr>
        <w:t>решением</w:t>
      </w:r>
      <w:r w:rsidRPr="00EB2303">
        <w:rPr>
          <w:lang w:val="ru-RU"/>
        </w:rPr>
        <w:t xml:space="preserve"> </w:t>
      </w:r>
      <w:r>
        <w:rPr>
          <w:lang w:val="ru-RU"/>
        </w:rPr>
        <w:t>может</w:t>
      </w:r>
      <w:r w:rsidRPr="00EB2303">
        <w:rPr>
          <w:lang w:val="ru-RU"/>
        </w:rPr>
        <w:t xml:space="preserve"> </w:t>
      </w:r>
      <w:r>
        <w:rPr>
          <w:lang w:val="ru-RU"/>
        </w:rPr>
        <w:t>быть</w:t>
      </w:r>
      <w:r w:rsidRPr="00EB2303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EB2303">
        <w:rPr>
          <w:lang w:val="ru-RU"/>
        </w:rPr>
        <w:t xml:space="preserve"> </w:t>
      </w:r>
      <w:r>
        <w:rPr>
          <w:lang w:val="ru-RU"/>
        </w:rPr>
        <w:t>приоритетов</w:t>
      </w:r>
      <w:r w:rsidRPr="00EB2303">
        <w:rPr>
          <w:lang w:val="ru-RU"/>
        </w:rPr>
        <w:t xml:space="preserve"> </w:t>
      </w:r>
      <w:r>
        <w:rPr>
          <w:lang w:val="ru-RU"/>
        </w:rPr>
        <w:t>для</w:t>
      </w:r>
      <w:r w:rsidRPr="00EB2303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EB2303">
        <w:rPr>
          <w:lang w:val="ru-RU"/>
        </w:rPr>
        <w:t xml:space="preserve"> </w:t>
      </w:r>
      <w:r>
        <w:rPr>
          <w:lang w:val="ru-RU"/>
        </w:rPr>
        <w:t>на</w:t>
      </w:r>
      <w:r w:rsidRPr="00EB2303">
        <w:rPr>
          <w:lang w:val="ru-RU"/>
        </w:rPr>
        <w:t xml:space="preserve"> </w:t>
      </w:r>
      <w:r>
        <w:rPr>
          <w:lang w:val="ru-RU"/>
        </w:rPr>
        <w:t>региональном</w:t>
      </w:r>
      <w:r w:rsidRPr="00EB2303">
        <w:rPr>
          <w:lang w:val="ru-RU"/>
        </w:rPr>
        <w:t xml:space="preserve"> </w:t>
      </w:r>
      <w:r>
        <w:rPr>
          <w:lang w:val="ru-RU"/>
        </w:rPr>
        <w:t>уровне</w:t>
      </w:r>
      <w:r w:rsidRPr="00EB2303">
        <w:rPr>
          <w:lang w:val="ru-RU"/>
        </w:rPr>
        <w:t xml:space="preserve">, </w:t>
      </w:r>
      <w:r>
        <w:rPr>
          <w:lang w:val="ru-RU"/>
        </w:rPr>
        <w:t>и</w:t>
      </w:r>
      <w:r w:rsidRPr="00EB2303">
        <w:rPr>
          <w:lang w:val="ru-RU"/>
        </w:rPr>
        <w:t xml:space="preserve"> </w:t>
      </w:r>
      <w:r>
        <w:rPr>
          <w:lang w:val="ru-RU"/>
        </w:rPr>
        <w:t>ФАО</w:t>
      </w:r>
      <w:r w:rsidRPr="00EB2303">
        <w:rPr>
          <w:lang w:val="ru-RU"/>
        </w:rPr>
        <w:t xml:space="preserve"> </w:t>
      </w:r>
      <w:r>
        <w:rPr>
          <w:lang w:val="ru-RU"/>
        </w:rPr>
        <w:t>может</w:t>
      </w:r>
      <w:r w:rsidRPr="00EB2303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EB2303">
        <w:rPr>
          <w:lang w:val="ru-RU"/>
        </w:rPr>
        <w:t xml:space="preserve"> </w:t>
      </w:r>
      <w:r>
        <w:rPr>
          <w:lang w:val="ru-RU"/>
        </w:rPr>
        <w:t>региональным</w:t>
      </w:r>
      <w:r w:rsidRPr="00EB2303">
        <w:rPr>
          <w:lang w:val="ru-RU"/>
        </w:rPr>
        <w:t xml:space="preserve"> </w:t>
      </w:r>
      <w:r>
        <w:rPr>
          <w:lang w:val="ru-RU"/>
        </w:rPr>
        <w:t>инициативам</w:t>
      </w:r>
      <w:r w:rsidRPr="00EB2303">
        <w:rPr>
          <w:lang w:val="ru-RU"/>
        </w:rPr>
        <w:t xml:space="preserve"> </w:t>
      </w:r>
      <w:r>
        <w:rPr>
          <w:lang w:val="ru-RU"/>
        </w:rPr>
        <w:t>в</w:t>
      </w:r>
      <w:r w:rsidRPr="00EB2303">
        <w:rPr>
          <w:lang w:val="ru-RU"/>
        </w:rPr>
        <w:t xml:space="preserve"> </w:t>
      </w:r>
      <w:r>
        <w:rPr>
          <w:lang w:val="ru-RU"/>
        </w:rPr>
        <w:t>определении</w:t>
      </w:r>
      <w:r w:rsidRPr="00EB2303">
        <w:rPr>
          <w:lang w:val="ru-RU"/>
        </w:rPr>
        <w:t xml:space="preserve"> </w:t>
      </w:r>
      <w:r>
        <w:rPr>
          <w:lang w:val="ru-RU"/>
        </w:rPr>
        <w:t>тем</w:t>
      </w:r>
      <w:r w:rsidRPr="00EB2303">
        <w:rPr>
          <w:lang w:val="ru-RU"/>
        </w:rPr>
        <w:t xml:space="preserve">, </w:t>
      </w:r>
      <w:r>
        <w:rPr>
          <w:lang w:val="ru-RU"/>
        </w:rPr>
        <w:t>пригодных</w:t>
      </w:r>
      <w:r w:rsidRPr="00EB2303">
        <w:rPr>
          <w:lang w:val="ru-RU"/>
        </w:rPr>
        <w:t xml:space="preserve"> </w:t>
      </w:r>
      <w:r>
        <w:rPr>
          <w:lang w:val="ru-RU"/>
        </w:rPr>
        <w:t>для</w:t>
      </w:r>
      <w:r w:rsidRPr="00EB2303">
        <w:rPr>
          <w:lang w:val="ru-RU"/>
        </w:rPr>
        <w:t xml:space="preserve"> </w:t>
      </w:r>
      <w:r>
        <w:rPr>
          <w:lang w:val="ru-RU"/>
        </w:rPr>
        <w:t>исследовательской</w:t>
      </w:r>
      <w:r w:rsidRPr="00EB2303">
        <w:rPr>
          <w:lang w:val="ru-RU"/>
        </w:rPr>
        <w:t xml:space="preserve"> </w:t>
      </w:r>
      <w:r>
        <w:rPr>
          <w:lang w:val="ru-RU"/>
        </w:rPr>
        <w:t>работы</w:t>
      </w:r>
      <w:r w:rsidRPr="00EB2303">
        <w:rPr>
          <w:lang w:val="ru-RU"/>
        </w:rPr>
        <w:t xml:space="preserve">, </w:t>
      </w:r>
      <w:r>
        <w:rPr>
          <w:lang w:val="ru-RU"/>
        </w:rPr>
        <w:t>после</w:t>
      </w:r>
      <w:r w:rsidRPr="00EB2303">
        <w:rPr>
          <w:lang w:val="ru-RU"/>
        </w:rPr>
        <w:t xml:space="preserve"> </w:t>
      </w:r>
      <w:r>
        <w:rPr>
          <w:lang w:val="ru-RU"/>
        </w:rPr>
        <w:t>оценки</w:t>
      </w:r>
      <w:r w:rsidRPr="00EB2303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EB2303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EB2303">
        <w:rPr>
          <w:lang w:val="ru-RU"/>
        </w:rPr>
        <w:t xml:space="preserve">. </w:t>
      </w:r>
      <w:r>
        <w:rPr>
          <w:lang w:val="ru-RU"/>
        </w:rPr>
        <w:t>Тем не менее, можно отметить ряд тем глобального значения</w:t>
      </w:r>
      <w:r w:rsidR="005853BE" w:rsidRPr="00A722CB">
        <w:t>:</w:t>
      </w:r>
    </w:p>
    <w:p w:rsidR="005853BE" w:rsidRPr="002637C2" w:rsidRDefault="009660D1" w:rsidP="005853BE">
      <w:pPr>
        <w:pStyle w:val="BulletList"/>
        <w:rPr>
          <w:lang w:val="ru-RU"/>
        </w:rPr>
      </w:pPr>
      <w:r>
        <w:rPr>
          <w:lang w:val="ru-RU"/>
        </w:rPr>
        <w:t>т</w:t>
      </w:r>
      <w:r w:rsidR="002637C2">
        <w:rPr>
          <w:lang w:val="ru-RU"/>
        </w:rPr>
        <w:t>ехнологически продвинутые, экологичные и устойчивые системы производства</w:t>
      </w:r>
      <w:r w:rsidR="005853BE" w:rsidRPr="002637C2">
        <w:rPr>
          <w:lang w:val="ru-RU"/>
        </w:rPr>
        <w:t xml:space="preserve">; </w:t>
      </w:r>
    </w:p>
    <w:p w:rsidR="005853BE" w:rsidRPr="002637C2" w:rsidRDefault="009660D1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2637C2">
        <w:rPr>
          <w:lang w:val="ru-RU"/>
        </w:rPr>
        <w:t>домашнивание и повышение продуктивности представляющих экономическую ценность видов</w:t>
      </w:r>
      <w:r w:rsidR="005853BE" w:rsidRPr="002637C2">
        <w:rPr>
          <w:lang w:val="ru-RU"/>
        </w:rPr>
        <w:t xml:space="preserve">; </w:t>
      </w:r>
    </w:p>
    <w:p w:rsidR="005853BE" w:rsidRPr="0073144A" w:rsidRDefault="009660D1" w:rsidP="005853BE">
      <w:pPr>
        <w:pStyle w:val="BulletList"/>
        <w:rPr>
          <w:lang w:val="ru-RU"/>
        </w:rPr>
      </w:pPr>
      <w:r>
        <w:rPr>
          <w:lang w:val="ru-RU"/>
        </w:rPr>
        <w:t>с</w:t>
      </w:r>
      <w:r w:rsidR="002637C2">
        <w:rPr>
          <w:lang w:val="ru-RU"/>
        </w:rPr>
        <w:t>оздание</w:t>
      </w:r>
      <w:r w:rsidR="002637C2" w:rsidRPr="0073144A">
        <w:rPr>
          <w:lang w:val="ru-RU"/>
        </w:rPr>
        <w:t xml:space="preserve"> </w:t>
      </w:r>
      <w:r w:rsidR="002637C2">
        <w:rPr>
          <w:lang w:val="ru-RU"/>
        </w:rPr>
        <w:t>культивируемых</w:t>
      </w:r>
      <w:r w:rsidR="002637C2" w:rsidRPr="0073144A">
        <w:rPr>
          <w:lang w:val="ru-RU"/>
        </w:rPr>
        <w:t xml:space="preserve"> </w:t>
      </w:r>
      <w:r w:rsidR="002637C2">
        <w:rPr>
          <w:lang w:val="ru-RU"/>
        </w:rPr>
        <w:t>видов</w:t>
      </w:r>
      <w:r w:rsidR="002637C2" w:rsidRPr="0073144A">
        <w:rPr>
          <w:lang w:val="ru-RU"/>
        </w:rPr>
        <w:t xml:space="preserve"> </w:t>
      </w:r>
      <w:r w:rsidR="002637C2">
        <w:rPr>
          <w:lang w:val="ru-RU"/>
        </w:rPr>
        <w:t>и</w:t>
      </w:r>
      <w:r w:rsidR="002637C2" w:rsidRPr="0073144A">
        <w:rPr>
          <w:lang w:val="ru-RU"/>
        </w:rPr>
        <w:t xml:space="preserve"> </w:t>
      </w:r>
      <w:r w:rsidR="002637C2">
        <w:rPr>
          <w:lang w:val="ru-RU"/>
        </w:rPr>
        <w:t>новых</w:t>
      </w:r>
      <w:r w:rsidR="002637C2" w:rsidRPr="0073144A">
        <w:rPr>
          <w:lang w:val="ru-RU"/>
        </w:rPr>
        <w:t xml:space="preserve"> </w:t>
      </w:r>
      <w:r w:rsidR="002637C2">
        <w:rPr>
          <w:lang w:val="ru-RU"/>
        </w:rPr>
        <w:t>продуктов</w:t>
      </w:r>
      <w:r w:rsidR="002637C2" w:rsidRPr="0073144A">
        <w:rPr>
          <w:lang w:val="ru-RU"/>
        </w:rPr>
        <w:t xml:space="preserve">, </w:t>
      </w:r>
      <w:r w:rsidR="002637C2">
        <w:rPr>
          <w:lang w:val="ru-RU"/>
        </w:rPr>
        <w:t>пользующихся высоким спросом на рынке</w:t>
      </w:r>
      <w:r w:rsidR="005853BE" w:rsidRPr="0073144A">
        <w:rPr>
          <w:lang w:val="ru-RU"/>
        </w:rPr>
        <w:t xml:space="preserve">; </w:t>
      </w:r>
      <w:r w:rsidR="002637C2">
        <w:rPr>
          <w:lang w:val="ru-RU"/>
        </w:rPr>
        <w:t>и</w:t>
      </w:r>
      <w:r w:rsidR="005853BE" w:rsidRPr="0073144A">
        <w:rPr>
          <w:lang w:val="ru-RU"/>
        </w:rPr>
        <w:t xml:space="preserve"> </w:t>
      </w:r>
    </w:p>
    <w:p w:rsidR="005853BE" w:rsidRPr="0073144A" w:rsidRDefault="009660D1" w:rsidP="005853BE">
      <w:pPr>
        <w:pStyle w:val="BulletList"/>
        <w:rPr>
          <w:lang w:val="ru-RU"/>
        </w:rPr>
      </w:pPr>
      <w:r>
        <w:rPr>
          <w:lang w:val="ru-RU"/>
        </w:rPr>
        <w:t>и</w:t>
      </w:r>
      <w:r w:rsidR="0073144A">
        <w:rPr>
          <w:lang w:val="ru-RU"/>
        </w:rPr>
        <w:t>спользование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конкурентных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преимуществ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посредством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комплексного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использования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водных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и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кормовых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>ресурсов</w:t>
      </w:r>
      <w:r w:rsidR="0073144A" w:rsidRPr="0073144A">
        <w:rPr>
          <w:lang w:val="ru-RU"/>
        </w:rPr>
        <w:t xml:space="preserve"> </w:t>
      </w:r>
      <w:r w:rsidR="0073144A">
        <w:rPr>
          <w:lang w:val="ru-RU"/>
        </w:rPr>
        <w:t xml:space="preserve">для производства общественных благ и </w:t>
      </w:r>
      <w:r w:rsidR="00F33788">
        <w:rPr>
          <w:lang w:val="ru-RU"/>
        </w:rPr>
        <w:t>улучшенных экологических услуг, таких как полезные для здоровья продукты, устойчивые популяции диких видов и здоровые экосистемы</w:t>
      </w:r>
      <w:r w:rsidR="005853BE" w:rsidRPr="0073144A">
        <w:rPr>
          <w:lang w:val="ru-RU"/>
        </w:rPr>
        <w:t xml:space="preserve">. </w:t>
      </w:r>
    </w:p>
    <w:p w:rsidR="005853BE" w:rsidRPr="0073144A" w:rsidRDefault="005853BE" w:rsidP="005853BE">
      <w:pPr>
        <w:pStyle w:val="NewPara"/>
        <w:numPr>
          <w:ilvl w:val="0"/>
          <w:numId w:val="0"/>
        </w:numPr>
        <w:jc w:val="both"/>
        <w:rPr>
          <w:lang w:val="ru-RU"/>
        </w:rPr>
      </w:pPr>
    </w:p>
    <w:p w:rsidR="005853BE" w:rsidRPr="00F33788" w:rsidRDefault="00F33788" w:rsidP="005853BE">
      <w:pPr>
        <w:pStyle w:val="NewPara"/>
        <w:jc w:val="both"/>
        <w:rPr>
          <w:lang w:val="ru-RU"/>
        </w:rPr>
      </w:pPr>
      <w:r>
        <w:rPr>
          <w:lang w:val="ru-RU"/>
        </w:rPr>
        <w:t>Стратегия исследовательской работы лежит в основе перечисленных приоритетов, значимость которых варьирует в зависимости от регионов и субрегионов</w:t>
      </w:r>
      <w:r w:rsidR="005853BE" w:rsidRPr="00F33788">
        <w:rPr>
          <w:lang w:val="ru-RU"/>
        </w:rPr>
        <w:t>:</w:t>
      </w:r>
    </w:p>
    <w:p w:rsidR="005853BE" w:rsidRPr="00F33788" w:rsidRDefault="009660D1" w:rsidP="005853BE">
      <w:pPr>
        <w:pStyle w:val="BulletList"/>
        <w:rPr>
          <w:lang w:val="ru-RU"/>
        </w:rPr>
      </w:pPr>
      <w:r>
        <w:rPr>
          <w:lang w:val="ru-RU"/>
        </w:rPr>
        <w:t>и</w:t>
      </w:r>
      <w:r w:rsidR="00F33788">
        <w:rPr>
          <w:lang w:val="ru-RU"/>
        </w:rPr>
        <w:t>нтеграция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развития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аквакультуры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с сохранением окружающей среды</w:t>
      </w:r>
      <w:r w:rsidR="005853BE" w:rsidRPr="00F33788">
        <w:rPr>
          <w:lang w:val="ru-RU"/>
        </w:rPr>
        <w:t>;</w:t>
      </w:r>
    </w:p>
    <w:p w:rsidR="005853BE" w:rsidRPr="00F33788" w:rsidRDefault="009660D1" w:rsidP="005853BE">
      <w:pPr>
        <w:pStyle w:val="BulletList"/>
        <w:rPr>
          <w:lang w:val="ru-RU"/>
        </w:rPr>
      </w:pPr>
      <w:r>
        <w:rPr>
          <w:lang w:val="ru-RU"/>
        </w:rPr>
        <w:t>м</w:t>
      </w:r>
      <w:r w:rsidR="00F33788">
        <w:rPr>
          <w:lang w:val="ru-RU"/>
        </w:rPr>
        <w:t>оделирование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воздействия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на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окружающую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среду</w:t>
      </w:r>
      <w:r w:rsidR="005853BE" w:rsidRPr="00F33788">
        <w:rPr>
          <w:lang w:val="ru-RU"/>
        </w:rPr>
        <w:t xml:space="preserve">; </w:t>
      </w:r>
      <w:r w:rsidR="00F33788">
        <w:rPr>
          <w:lang w:val="ru-RU"/>
        </w:rPr>
        <w:t>усовершенствованное пространственное планирование/комплексное планирование ресурсов и экосистемный подход к аквакультуре</w:t>
      </w:r>
      <w:r w:rsidR="005853BE" w:rsidRPr="00F33788">
        <w:rPr>
          <w:lang w:val="ru-RU"/>
        </w:rPr>
        <w:t xml:space="preserve">; </w:t>
      </w:r>
      <w:r w:rsidR="00F33788">
        <w:rPr>
          <w:lang w:val="ru-RU"/>
        </w:rPr>
        <w:t>оптимизация процессов ведения хозяйства</w:t>
      </w:r>
      <w:r w:rsidR="005853BE" w:rsidRPr="00F33788">
        <w:rPr>
          <w:lang w:val="ru-RU"/>
        </w:rPr>
        <w:t>;</w:t>
      </w:r>
    </w:p>
    <w:p w:rsidR="005853BE" w:rsidRPr="00F33788" w:rsidRDefault="009660D1" w:rsidP="005853BE">
      <w:pPr>
        <w:pStyle w:val="BulletList"/>
        <w:rPr>
          <w:lang w:val="ru-RU"/>
        </w:rPr>
      </w:pPr>
      <w:r>
        <w:rPr>
          <w:lang w:val="ru-RU"/>
        </w:rPr>
        <w:t>и</w:t>
      </w:r>
      <w:r w:rsidR="00F33788">
        <w:rPr>
          <w:lang w:val="ru-RU"/>
        </w:rPr>
        <w:t>спользование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генетики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для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повышения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продуктивности</w:t>
      </w:r>
      <w:r w:rsidR="00F33788" w:rsidRPr="00F33788">
        <w:rPr>
          <w:lang w:val="ru-RU"/>
        </w:rPr>
        <w:t xml:space="preserve">, </w:t>
      </w:r>
      <w:r w:rsidR="00F33788">
        <w:rPr>
          <w:lang w:val="ru-RU"/>
        </w:rPr>
        <w:t>удовлетворения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потребительского спроса и защит</w:t>
      </w:r>
      <w:r>
        <w:rPr>
          <w:lang w:val="ru-RU"/>
        </w:rPr>
        <w:t>ы</w:t>
      </w:r>
      <w:r w:rsidR="00F33788">
        <w:rPr>
          <w:lang w:val="ru-RU"/>
        </w:rPr>
        <w:t xml:space="preserve"> природных популяций</w:t>
      </w:r>
      <w:r w:rsidR="005853BE" w:rsidRPr="00F33788">
        <w:rPr>
          <w:lang w:val="ru-RU"/>
        </w:rPr>
        <w:t>;</w:t>
      </w:r>
    </w:p>
    <w:p w:rsidR="005853BE" w:rsidRPr="00F33788" w:rsidRDefault="009660D1" w:rsidP="005853BE">
      <w:pPr>
        <w:pStyle w:val="BulletList"/>
        <w:rPr>
          <w:lang w:val="ru-RU"/>
        </w:rPr>
      </w:pPr>
      <w:r>
        <w:rPr>
          <w:lang w:val="ru-RU"/>
        </w:rPr>
        <w:lastRenderedPageBreak/>
        <w:t>п</w:t>
      </w:r>
      <w:r w:rsidR="00F33788">
        <w:rPr>
          <w:lang w:val="ru-RU"/>
        </w:rPr>
        <w:t>рограммы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селекции</w:t>
      </w:r>
      <w:r w:rsidR="00F33788" w:rsidRPr="00F33788">
        <w:rPr>
          <w:lang w:val="ru-RU"/>
        </w:rPr>
        <w:t>/</w:t>
      </w:r>
      <w:r w:rsidR="00F33788">
        <w:rPr>
          <w:lang w:val="ru-RU"/>
        </w:rPr>
        <w:t>генетического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усовершенствования</w:t>
      </w:r>
      <w:r w:rsidR="00F33788" w:rsidRPr="00F33788">
        <w:rPr>
          <w:lang w:val="ru-RU"/>
        </w:rPr>
        <w:t xml:space="preserve"> (</w:t>
      </w:r>
      <w:r w:rsidR="00F33788">
        <w:rPr>
          <w:lang w:val="ru-RU"/>
        </w:rPr>
        <w:t>например</w:t>
      </w:r>
      <w:r w:rsidR="00F33788" w:rsidRPr="00F33788">
        <w:rPr>
          <w:lang w:val="ru-RU"/>
        </w:rPr>
        <w:t xml:space="preserve">, </w:t>
      </w:r>
      <w:r w:rsidR="00F33788">
        <w:rPr>
          <w:lang w:val="ru-RU"/>
        </w:rPr>
        <w:t>ускоренный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рост</w:t>
      </w:r>
      <w:r w:rsidR="00F33788" w:rsidRPr="00F33788">
        <w:rPr>
          <w:lang w:val="ru-RU"/>
        </w:rPr>
        <w:t xml:space="preserve">, </w:t>
      </w:r>
      <w:r w:rsidR="00F33788">
        <w:rPr>
          <w:lang w:val="ru-RU"/>
        </w:rPr>
        <w:t>устойчивость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к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болезням</w:t>
      </w:r>
      <w:r w:rsidR="005853BE" w:rsidRPr="00F33788">
        <w:rPr>
          <w:lang w:val="ru-RU"/>
        </w:rPr>
        <w:t xml:space="preserve">, </w:t>
      </w:r>
      <w:r w:rsidR="00F33788">
        <w:rPr>
          <w:lang w:val="ru-RU"/>
        </w:rPr>
        <w:t>высокое</w:t>
      </w:r>
      <w:r w:rsidR="00F33788" w:rsidRPr="00F33788">
        <w:rPr>
          <w:lang w:val="ru-RU"/>
        </w:rPr>
        <w:t xml:space="preserve"> </w:t>
      </w:r>
      <w:r w:rsidR="00F33788">
        <w:rPr>
          <w:lang w:val="ru-RU"/>
        </w:rPr>
        <w:t>качество продукта</w:t>
      </w:r>
      <w:r w:rsidR="005853BE" w:rsidRPr="00F33788">
        <w:rPr>
          <w:lang w:val="ru-RU"/>
        </w:rPr>
        <w:t>);</w:t>
      </w:r>
      <w:r w:rsidR="00BF32C1">
        <w:rPr>
          <w:lang w:val="ru-RU"/>
        </w:rPr>
        <w:t xml:space="preserve"> </w:t>
      </w:r>
      <w:r w:rsidR="00F33788">
        <w:rPr>
          <w:lang w:val="ru-RU"/>
        </w:rPr>
        <w:t>управление генетическими ресурсами культивируемых и диких популяций</w:t>
      </w:r>
      <w:r w:rsidR="005853BE" w:rsidRPr="00F33788">
        <w:rPr>
          <w:lang w:val="ru-RU"/>
        </w:rPr>
        <w:t xml:space="preserve">; </w:t>
      </w:r>
      <w:r w:rsidR="00F33788">
        <w:rPr>
          <w:lang w:val="ru-RU"/>
        </w:rPr>
        <w:t>оценка и моделирование генетических рисков и</w:t>
      </w:r>
      <w:r w:rsidR="005853BE" w:rsidRPr="00F33788">
        <w:rPr>
          <w:lang w:val="ru-RU"/>
        </w:rPr>
        <w:t xml:space="preserve"> </w:t>
      </w:r>
      <w:r w:rsidR="00F33788">
        <w:rPr>
          <w:lang w:val="ru-RU"/>
        </w:rPr>
        <w:t>контролируемая интродукция неаборигенных видов и неаборигенных генотипов</w:t>
      </w:r>
      <w:r w:rsidR="005853BE" w:rsidRPr="00F33788">
        <w:rPr>
          <w:lang w:val="ru-RU"/>
        </w:rPr>
        <w:t xml:space="preserve">; </w:t>
      </w:r>
    </w:p>
    <w:p w:rsidR="005853BE" w:rsidRPr="00F33788" w:rsidRDefault="009660D1" w:rsidP="005853BE">
      <w:pPr>
        <w:pStyle w:val="BulletList"/>
        <w:rPr>
          <w:lang w:val="ru-RU"/>
        </w:rPr>
      </w:pPr>
      <w:r>
        <w:rPr>
          <w:lang w:val="ru-RU"/>
        </w:rPr>
        <w:t>у</w:t>
      </w:r>
      <w:r w:rsidR="00F33788">
        <w:rPr>
          <w:lang w:val="ru-RU"/>
        </w:rPr>
        <w:t>правление охраной здоровья и биобезопасность</w:t>
      </w:r>
      <w:r w:rsidR="005853BE" w:rsidRPr="00F33788">
        <w:rPr>
          <w:lang w:val="ru-RU"/>
        </w:rPr>
        <w:t>;</w:t>
      </w:r>
    </w:p>
    <w:p w:rsidR="005853BE" w:rsidRPr="0006121C" w:rsidRDefault="009660D1" w:rsidP="005853BE">
      <w:pPr>
        <w:pStyle w:val="BulletList"/>
        <w:rPr>
          <w:lang w:val="ru-RU"/>
        </w:rPr>
      </w:pPr>
      <w:r>
        <w:rPr>
          <w:lang w:val="ru-RU"/>
        </w:rPr>
        <w:t>х</w:t>
      </w:r>
      <w:r w:rsidR="00F33788">
        <w:rPr>
          <w:lang w:val="ru-RU"/>
        </w:rPr>
        <w:t>арактеризация</w:t>
      </w:r>
      <w:r w:rsidR="00F33788" w:rsidRPr="0006121C">
        <w:rPr>
          <w:lang w:val="ru-RU"/>
        </w:rPr>
        <w:t xml:space="preserve"> </w:t>
      </w:r>
      <w:r w:rsidR="00F33788">
        <w:rPr>
          <w:lang w:val="ru-RU"/>
        </w:rPr>
        <w:t>патогенов</w:t>
      </w:r>
      <w:r w:rsidR="005853BE" w:rsidRPr="0006121C">
        <w:rPr>
          <w:lang w:val="ru-RU"/>
        </w:rPr>
        <w:t xml:space="preserve">; </w:t>
      </w:r>
      <w:r>
        <w:rPr>
          <w:lang w:val="ru-RU"/>
        </w:rPr>
        <w:t>производство</w:t>
      </w:r>
      <w:r w:rsidR="0006121C">
        <w:rPr>
          <w:lang w:val="ru-RU"/>
        </w:rPr>
        <w:t xml:space="preserve"> вакцин, лекарственных препаратов и пробиотиков</w:t>
      </w:r>
      <w:r w:rsidR="005853BE" w:rsidRPr="0006121C">
        <w:rPr>
          <w:lang w:val="ru-RU"/>
        </w:rPr>
        <w:t xml:space="preserve">; </w:t>
      </w:r>
      <w:r w:rsidR="0006121C">
        <w:rPr>
          <w:lang w:val="ru-RU"/>
        </w:rPr>
        <w:t>усовершенствование протоколов выявления заболеваний/диагностических проб</w:t>
      </w:r>
      <w:r w:rsidR="005853BE" w:rsidRPr="0006121C">
        <w:rPr>
          <w:lang w:val="ru-RU"/>
        </w:rPr>
        <w:t xml:space="preserve">; </w:t>
      </w:r>
      <w:r w:rsidR="0006121C">
        <w:rPr>
          <w:lang w:val="ru-RU"/>
        </w:rPr>
        <w:t>усовершенствование мониторинга здоровья популяций и протоколов биобезопасности</w:t>
      </w:r>
      <w:r w:rsidR="005853BE" w:rsidRPr="0006121C">
        <w:rPr>
          <w:lang w:val="ru-RU"/>
        </w:rPr>
        <w:t>;</w:t>
      </w:r>
    </w:p>
    <w:p w:rsidR="005853BE" w:rsidRPr="0006121C" w:rsidRDefault="009660D1" w:rsidP="005853BE">
      <w:pPr>
        <w:pStyle w:val="BulletList"/>
        <w:rPr>
          <w:lang w:val="ru-RU"/>
        </w:rPr>
      </w:pPr>
      <w:r>
        <w:rPr>
          <w:lang w:val="ru-RU"/>
        </w:rPr>
        <w:t>п</w:t>
      </w:r>
      <w:r w:rsidR="0006121C">
        <w:rPr>
          <w:lang w:val="ru-RU"/>
        </w:rPr>
        <w:t>овышение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продуктивности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аквакультуры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 xml:space="preserve">и улучшение условий содержания </w:t>
      </w:r>
      <w:r>
        <w:rPr>
          <w:lang w:val="ru-RU"/>
        </w:rPr>
        <w:t>культивируемых видов</w:t>
      </w:r>
      <w:r w:rsidR="005853BE" w:rsidRPr="0006121C">
        <w:rPr>
          <w:lang w:val="ru-RU"/>
        </w:rPr>
        <w:t xml:space="preserve">; </w:t>
      </w:r>
    </w:p>
    <w:p w:rsidR="005853BE" w:rsidRPr="0006121C" w:rsidRDefault="009660D1" w:rsidP="005853BE">
      <w:pPr>
        <w:pStyle w:val="BulletList"/>
        <w:rPr>
          <w:lang w:val="ru-RU"/>
        </w:rPr>
      </w:pPr>
      <w:r>
        <w:rPr>
          <w:lang w:val="ru-RU"/>
        </w:rPr>
        <w:t>и</w:t>
      </w:r>
      <w:r w:rsidR="0006121C">
        <w:rPr>
          <w:lang w:val="ru-RU"/>
        </w:rPr>
        <w:t>нтенсификация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систем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производства</w:t>
      </w:r>
      <w:r w:rsidR="005853BE" w:rsidRPr="0006121C">
        <w:rPr>
          <w:lang w:val="ru-RU"/>
        </w:rPr>
        <w:t xml:space="preserve">; </w:t>
      </w:r>
      <w:r w:rsidR="0006121C">
        <w:rPr>
          <w:lang w:val="ru-RU"/>
        </w:rPr>
        <w:t>выявление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стрессоров</w:t>
      </w:r>
      <w:r w:rsidR="0006121C" w:rsidRPr="0006121C">
        <w:rPr>
          <w:lang w:val="ru-RU"/>
        </w:rPr>
        <w:t xml:space="preserve"> </w:t>
      </w:r>
      <w:r w:rsidR="0006121C">
        <w:rPr>
          <w:lang w:val="ru-RU"/>
        </w:rPr>
        <w:t>в системах культур и принятие мер по смягчению стресса</w:t>
      </w:r>
      <w:r w:rsidR="005853BE" w:rsidRPr="0006121C">
        <w:rPr>
          <w:lang w:val="ru-RU"/>
        </w:rPr>
        <w:t xml:space="preserve">; </w:t>
      </w:r>
      <w:r w:rsidR="0006121C">
        <w:rPr>
          <w:lang w:val="ru-RU"/>
        </w:rPr>
        <w:t>ускорение роста и повышение выживаемости с помощью улучшенных технологий культивирования</w:t>
      </w:r>
      <w:r w:rsidR="005853BE" w:rsidRPr="0006121C">
        <w:rPr>
          <w:lang w:val="ru-RU"/>
        </w:rPr>
        <w:t>;</w:t>
      </w:r>
    </w:p>
    <w:p w:rsidR="005853BE" w:rsidRPr="00020772" w:rsidRDefault="009660D1" w:rsidP="005853BE">
      <w:pPr>
        <w:pStyle w:val="BulletList"/>
        <w:rPr>
          <w:lang w:val="ru-RU"/>
        </w:rPr>
      </w:pPr>
      <w:r>
        <w:rPr>
          <w:lang w:val="ru-RU"/>
        </w:rPr>
        <w:t>у</w:t>
      </w:r>
      <w:r w:rsidR="0006121C">
        <w:rPr>
          <w:lang w:val="ru-RU"/>
        </w:rPr>
        <w:t>лучшение</w:t>
      </w:r>
      <w:r w:rsidR="0006121C" w:rsidRPr="00020772">
        <w:rPr>
          <w:lang w:val="ru-RU"/>
        </w:rPr>
        <w:t xml:space="preserve"> </w:t>
      </w:r>
      <w:r w:rsidR="00020772">
        <w:rPr>
          <w:lang w:val="ru-RU"/>
        </w:rPr>
        <w:t>качества кормов и управления кормлением</w:t>
      </w:r>
      <w:r w:rsidR="005853BE" w:rsidRPr="00020772">
        <w:rPr>
          <w:lang w:val="ru-RU"/>
        </w:rPr>
        <w:t xml:space="preserve">; </w:t>
      </w:r>
    </w:p>
    <w:p w:rsidR="005853BE" w:rsidRPr="00020772" w:rsidRDefault="009660D1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020772">
        <w:rPr>
          <w:lang w:val="ru-RU"/>
        </w:rPr>
        <w:t>птимизация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состава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кормов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в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соответствии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с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видами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и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размерами</w:t>
      </w:r>
      <w:r>
        <w:rPr>
          <w:lang w:val="ru-RU"/>
        </w:rPr>
        <w:t xml:space="preserve"> культивируемых видов</w:t>
      </w:r>
      <w:r w:rsidR="005853BE" w:rsidRPr="00020772">
        <w:rPr>
          <w:lang w:val="ru-RU"/>
        </w:rPr>
        <w:t xml:space="preserve">; </w:t>
      </w:r>
      <w:r w:rsidR="00020772">
        <w:rPr>
          <w:lang w:val="ru-RU"/>
        </w:rPr>
        <w:t>заменители рыбной муки/рыбьего жира</w:t>
      </w:r>
      <w:r w:rsidR="005853BE" w:rsidRPr="00020772">
        <w:rPr>
          <w:lang w:val="ru-RU"/>
        </w:rPr>
        <w:t xml:space="preserve">; </w:t>
      </w:r>
      <w:r w:rsidR="00020772">
        <w:rPr>
          <w:lang w:val="ru-RU"/>
        </w:rPr>
        <w:t>улучшенные технологии производства кормов</w:t>
      </w:r>
      <w:r w:rsidR="005853BE" w:rsidRPr="00020772">
        <w:rPr>
          <w:lang w:val="ru-RU"/>
        </w:rPr>
        <w:t xml:space="preserve">; </w:t>
      </w:r>
      <w:r w:rsidR="00020772">
        <w:rPr>
          <w:lang w:val="ru-RU"/>
        </w:rPr>
        <w:t>оптимизация методов кормления</w:t>
      </w:r>
      <w:r w:rsidR="005853BE" w:rsidRPr="00020772">
        <w:rPr>
          <w:lang w:val="ru-RU"/>
        </w:rPr>
        <w:t xml:space="preserve">; </w:t>
      </w:r>
    </w:p>
    <w:p w:rsidR="005853BE" w:rsidRPr="00020772" w:rsidRDefault="009660D1" w:rsidP="005853BE">
      <w:pPr>
        <w:pStyle w:val="BulletList"/>
        <w:rPr>
          <w:lang w:val="ru-RU"/>
        </w:rPr>
      </w:pPr>
      <w:r>
        <w:rPr>
          <w:lang w:val="ru-RU"/>
        </w:rPr>
        <w:t>н</w:t>
      </w:r>
      <w:r w:rsidR="00020772">
        <w:rPr>
          <w:lang w:val="ru-RU"/>
        </w:rPr>
        <w:t>аращивание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поставок</w:t>
      </w:r>
      <w:r w:rsidR="00020772" w:rsidRPr="00020772">
        <w:rPr>
          <w:lang w:val="ru-RU"/>
        </w:rPr>
        <w:t xml:space="preserve"> </w:t>
      </w:r>
      <w:r w:rsidR="00020772">
        <w:rPr>
          <w:lang w:val="ru-RU"/>
        </w:rPr>
        <w:t>питательных, высококачественных</w:t>
      </w:r>
      <w:r w:rsidR="00020772" w:rsidRPr="00020772">
        <w:rPr>
          <w:lang w:val="ru-RU"/>
        </w:rPr>
        <w:t xml:space="preserve">, </w:t>
      </w:r>
      <w:r w:rsidR="00020772">
        <w:rPr>
          <w:lang w:val="ru-RU"/>
        </w:rPr>
        <w:t>безопасных морепродуктов</w:t>
      </w:r>
      <w:r w:rsidR="005853BE" w:rsidRPr="00020772">
        <w:rPr>
          <w:lang w:val="ru-RU"/>
        </w:rPr>
        <w:t xml:space="preserve">; </w:t>
      </w:r>
    </w:p>
    <w:p w:rsidR="005853BE" w:rsidRPr="00967E68" w:rsidRDefault="009660D1" w:rsidP="005853BE">
      <w:pPr>
        <w:pStyle w:val="BulletList"/>
        <w:rPr>
          <w:lang w:val="ru-RU"/>
        </w:rPr>
      </w:pPr>
      <w:r>
        <w:rPr>
          <w:lang w:val="ru-RU"/>
        </w:rPr>
        <w:t>у</w:t>
      </w:r>
      <w:r w:rsidR="00967E68">
        <w:rPr>
          <w:lang w:val="ru-RU"/>
        </w:rPr>
        <w:t>совершенствованные технологии переработки и послезабойной обработки</w:t>
      </w:r>
      <w:r w:rsidR="005853BE" w:rsidRPr="00967E68">
        <w:rPr>
          <w:lang w:val="ru-RU"/>
        </w:rPr>
        <w:t xml:space="preserve">; </w:t>
      </w:r>
      <w:r w:rsidR="00967E68">
        <w:rPr>
          <w:lang w:val="ru-RU"/>
        </w:rPr>
        <w:t>контроль безопасности продукции (анализы на содержание бактерий, токсинов, остатков ветеринарных препаратов</w:t>
      </w:r>
      <w:r w:rsidR="005853BE" w:rsidRPr="00967E68">
        <w:rPr>
          <w:lang w:val="ru-RU"/>
        </w:rPr>
        <w:t xml:space="preserve">) </w:t>
      </w:r>
      <w:r w:rsidR="00967E68">
        <w:rPr>
          <w:lang w:val="ru-RU"/>
        </w:rPr>
        <w:t>и мониторинг качества</w:t>
      </w:r>
      <w:r w:rsidR="005853BE" w:rsidRPr="00967E68">
        <w:rPr>
          <w:lang w:val="ru-RU"/>
        </w:rPr>
        <w:t xml:space="preserve">; </w:t>
      </w:r>
      <w:r w:rsidR="00967E68">
        <w:rPr>
          <w:lang w:val="ru-RU"/>
        </w:rPr>
        <w:t>увеличение срока годности</w:t>
      </w:r>
      <w:r w:rsidR="005853BE" w:rsidRPr="00967E68">
        <w:rPr>
          <w:lang w:val="ru-RU"/>
        </w:rPr>
        <w:t xml:space="preserve">; </w:t>
      </w:r>
      <w:r w:rsidR="00967E68">
        <w:rPr>
          <w:lang w:val="ru-RU"/>
        </w:rPr>
        <w:t>политика в области продовольствия, законодательство и нормативы</w:t>
      </w:r>
      <w:r w:rsidR="005853BE" w:rsidRPr="00967E68">
        <w:rPr>
          <w:lang w:val="ru-RU"/>
        </w:rPr>
        <w:t xml:space="preserve">; </w:t>
      </w:r>
    </w:p>
    <w:p w:rsidR="005853BE" w:rsidRPr="00967E68" w:rsidRDefault="009660D1" w:rsidP="005853BE">
      <w:pPr>
        <w:pStyle w:val="BulletList"/>
        <w:rPr>
          <w:lang w:val="ru-RU"/>
        </w:rPr>
      </w:pPr>
      <w:r>
        <w:rPr>
          <w:lang w:val="ru-RU"/>
        </w:rPr>
        <w:t>р</w:t>
      </w:r>
      <w:r w:rsidR="00967E68">
        <w:rPr>
          <w:lang w:val="ru-RU"/>
        </w:rPr>
        <w:t>азработка инновационных систем производства аквакультуры, включая меры по снижению воздействия на окружающую среду</w:t>
      </w:r>
      <w:r w:rsidR="005853BE" w:rsidRPr="00967E68">
        <w:rPr>
          <w:lang w:val="ru-RU"/>
        </w:rPr>
        <w:t>;</w:t>
      </w:r>
    </w:p>
    <w:p w:rsidR="005853BE" w:rsidRPr="00DE62A4" w:rsidRDefault="009660D1" w:rsidP="005853BE">
      <w:pPr>
        <w:pStyle w:val="BulletList"/>
        <w:rPr>
          <w:lang w:val="ru-RU"/>
        </w:rPr>
      </w:pPr>
      <w:r>
        <w:rPr>
          <w:lang w:val="ru-RU"/>
        </w:rPr>
        <w:t>э</w:t>
      </w:r>
      <w:r w:rsidR="00DE62A4">
        <w:rPr>
          <w:lang w:val="ru-RU"/>
        </w:rPr>
        <w:t>кономически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эффективные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системы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производства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и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технологии</w:t>
      </w:r>
      <w:r w:rsidR="00DE62A4" w:rsidRPr="00DE62A4">
        <w:rPr>
          <w:lang w:val="ru-RU"/>
        </w:rPr>
        <w:t xml:space="preserve"> – </w:t>
      </w:r>
      <w:r w:rsidR="00DE62A4">
        <w:rPr>
          <w:lang w:val="ru-RU"/>
        </w:rPr>
        <w:t>рециркуляционные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системы, комплексные мультитрофные системы</w:t>
      </w:r>
      <w:r w:rsidR="005853BE" w:rsidRPr="00DE62A4">
        <w:rPr>
          <w:lang w:val="ru-RU"/>
        </w:rPr>
        <w:t xml:space="preserve">, </w:t>
      </w:r>
      <w:r w:rsidR="00DE62A4">
        <w:rPr>
          <w:lang w:val="ru-RU"/>
        </w:rPr>
        <w:t>усовершенствованные системы очистки сточных вод</w:t>
      </w:r>
      <w:r w:rsidR="005853BE" w:rsidRPr="00DE62A4">
        <w:rPr>
          <w:lang w:val="ru-RU"/>
        </w:rPr>
        <w:t xml:space="preserve">; </w:t>
      </w:r>
    </w:p>
    <w:p w:rsidR="005853BE" w:rsidRPr="00DE62A4" w:rsidRDefault="009660D1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DE62A4">
        <w:rPr>
          <w:lang w:val="ru-RU"/>
        </w:rPr>
        <w:t>бъединение экономики и общественных наук в инновационную систему исследований в области аквакультуры</w:t>
      </w:r>
      <w:r w:rsidR="005853BE" w:rsidRPr="00DE62A4">
        <w:rPr>
          <w:lang w:val="ru-RU"/>
        </w:rPr>
        <w:t>;</w:t>
      </w:r>
    </w:p>
    <w:p w:rsidR="005853BE" w:rsidRPr="00DE62A4" w:rsidRDefault="009660D1" w:rsidP="005853BE">
      <w:pPr>
        <w:pStyle w:val="BulletList"/>
        <w:rPr>
          <w:lang w:val="ru-RU"/>
        </w:rPr>
      </w:pPr>
      <w:r>
        <w:rPr>
          <w:lang w:val="ru-RU"/>
        </w:rPr>
        <w:t>л</w:t>
      </w:r>
      <w:r w:rsidR="00DE62A4">
        <w:rPr>
          <w:lang w:val="ru-RU"/>
        </w:rPr>
        <w:t>учшее понимание производственно-сбытовых цепочек и их участников</w:t>
      </w:r>
      <w:r w:rsidR="005853BE" w:rsidRPr="00DE62A4">
        <w:rPr>
          <w:lang w:val="ru-RU"/>
        </w:rPr>
        <w:t xml:space="preserve">; </w:t>
      </w:r>
      <w:r w:rsidR="00DE62A4">
        <w:rPr>
          <w:lang w:val="ru-RU"/>
        </w:rPr>
        <w:t>экономическое моделирование и максимизация прибыли и социального обеспечения</w:t>
      </w:r>
      <w:r w:rsidR="005853BE" w:rsidRPr="00DE62A4">
        <w:rPr>
          <w:lang w:val="ru-RU"/>
        </w:rPr>
        <w:t xml:space="preserve">; </w:t>
      </w:r>
      <w:r w:rsidR="00DE62A4">
        <w:rPr>
          <w:lang w:val="ru-RU"/>
        </w:rPr>
        <w:t>рынки и торговля</w:t>
      </w:r>
      <w:r w:rsidR="005853BE" w:rsidRPr="00DE62A4">
        <w:rPr>
          <w:lang w:val="ru-RU"/>
        </w:rPr>
        <w:t xml:space="preserve">; </w:t>
      </w:r>
      <w:r w:rsidR="00DE62A4">
        <w:rPr>
          <w:lang w:val="ru-RU"/>
        </w:rPr>
        <w:t>сертификация</w:t>
      </w:r>
      <w:r w:rsidR="005853BE" w:rsidRPr="00DE62A4">
        <w:rPr>
          <w:lang w:val="ru-RU"/>
        </w:rPr>
        <w:t xml:space="preserve">; </w:t>
      </w:r>
      <w:r w:rsidR="00DE62A4">
        <w:rPr>
          <w:lang w:val="ru-RU"/>
        </w:rPr>
        <w:t>социальная устойчивость</w:t>
      </w:r>
      <w:r w:rsidR="005853BE" w:rsidRPr="00DE62A4">
        <w:rPr>
          <w:lang w:val="ru-RU"/>
        </w:rPr>
        <w:t>;</w:t>
      </w:r>
      <w:r w:rsidR="00DE62A4">
        <w:rPr>
          <w:lang w:val="ru-RU"/>
        </w:rPr>
        <w:t xml:space="preserve"> создание сетей знаний; вопросы справедливости и гендерного равноправия</w:t>
      </w:r>
      <w:r w:rsidR="005853BE" w:rsidRPr="00DE62A4">
        <w:rPr>
          <w:lang w:val="ru-RU"/>
        </w:rPr>
        <w:t xml:space="preserve">. </w:t>
      </w:r>
    </w:p>
    <w:p w:rsidR="005853BE" w:rsidRPr="00DE62A4" w:rsidRDefault="005853BE" w:rsidP="005853BE">
      <w:pPr>
        <w:rPr>
          <w:lang w:val="ru-RU"/>
        </w:rPr>
      </w:pPr>
    </w:p>
    <w:p w:rsidR="005853BE" w:rsidRPr="00DE62A4" w:rsidRDefault="00DE62A4" w:rsidP="005853BE">
      <w:pPr>
        <w:pStyle w:val="NewPara"/>
        <w:jc w:val="both"/>
        <w:rPr>
          <w:lang w:val="ru-RU"/>
        </w:rPr>
      </w:pPr>
      <w:r>
        <w:rPr>
          <w:lang w:val="ru-RU"/>
        </w:rPr>
        <w:t>Создание</w:t>
      </w:r>
      <w:r w:rsidRPr="00DE62A4">
        <w:rPr>
          <w:lang w:val="ru-RU"/>
        </w:rPr>
        <w:t xml:space="preserve"> </w:t>
      </w:r>
      <w:r>
        <w:rPr>
          <w:lang w:val="ru-RU"/>
        </w:rPr>
        <w:t>сетей</w:t>
      </w:r>
      <w:r w:rsidRPr="00DE62A4">
        <w:rPr>
          <w:lang w:val="ru-RU"/>
        </w:rPr>
        <w:t xml:space="preserve"> </w:t>
      </w:r>
      <w:r>
        <w:rPr>
          <w:lang w:val="ru-RU"/>
        </w:rPr>
        <w:t>в</w:t>
      </w:r>
      <w:r w:rsidRPr="00DE62A4">
        <w:rPr>
          <w:lang w:val="ru-RU"/>
        </w:rPr>
        <w:t xml:space="preserve"> </w:t>
      </w:r>
      <w:r>
        <w:rPr>
          <w:lang w:val="ru-RU"/>
        </w:rPr>
        <w:t>области</w:t>
      </w:r>
      <w:r w:rsidRPr="00DE62A4">
        <w:rPr>
          <w:lang w:val="ru-RU"/>
        </w:rPr>
        <w:t xml:space="preserve"> </w:t>
      </w:r>
      <w:r>
        <w:rPr>
          <w:lang w:val="ru-RU"/>
        </w:rPr>
        <w:t>научных</w:t>
      </w:r>
      <w:r w:rsidRPr="00DE62A4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DE62A4">
        <w:rPr>
          <w:lang w:val="ru-RU"/>
        </w:rPr>
        <w:t xml:space="preserve">: </w:t>
      </w:r>
      <w:r>
        <w:rPr>
          <w:lang w:val="ru-RU"/>
        </w:rPr>
        <w:t>создание</w:t>
      </w:r>
      <w:r w:rsidRPr="00DE62A4">
        <w:rPr>
          <w:lang w:val="ru-RU"/>
        </w:rPr>
        <w:t xml:space="preserve"> </w:t>
      </w:r>
      <w:r>
        <w:rPr>
          <w:lang w:val="ru-RU"/>
        </w:rPr>
        <w:t>сетей</w:t>
      </w:r>
      <w:r w:rsidRPr="00DE62A4">
        <w:rPr>
          <w:lang w:val="ru-RU"/>
        </w:rPr>
        <w:t xml:space="preserve"> </w:t>
      </w:r>
      <w:r>
        <w:rPr>
          <w:lang w:val="ru-RU"/>
        </w:rPr>
        <w:t>в</w:t>
      </w:r>
      <w:r w:rsidRPr="00DE62A4">
        <w:rPr>
          <w:lang w:val="ru-RU"/>
        </w:rPr>
        <w:t xml:space="preserve"> </w:t>
      </w:r>
      <w:r>
        <w:rPr>
          <w:lang w:val="ru-RU"/>
        </w:rPr>
        <w:t>области</w:t>
      </w:r>
      <w:r w:rsidRPr="00DE62A4">
        <w:rPr>
          <w:lang w:val="ru-RU"/>
        </w:rPr>
        <w:t xml:space="preserve"> </w:t>
      </w:r>
      <w:r>
        <w:rPr>
          <w:lang w:val="ru-RU"/>
        </w:rPr>
        <w:t>научных</w:t>
      </w:r>
      <w:r w:rsidRPr="00DE62A4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DE62A4">
        <w:rPr>
          <w:lang w:val="ru-RU"/>
        </w:rPr>
        <w:t xml:space="preserve"> </w:t>
      </w:r>
      <w:r>
        <w:rPr>
          <w:lang w:val="ru-RU"/>
        </w:rPr>
        <w:t>содействовало бы синергии между организациями</w:t>
      </w:r>
      <w:r w:rsidR="005853BE" w:rsidRPr="00DE62A4">
        <w:rPr>
          <w:lang w:val="ru-RU"/>
        </w:rPr>
        <w:t xml:space="preserve">. </w:t>
      </w:r>
      <w:r>
        <w:rPr>
          <w:lang w:val="ru-RU"/>
        </w:rPr>
        <w:t>Можно рассмотреть создание</w:t>
      </w:r>
      <w:r w:rsidRPr="00DE62A4">
        <w:rPr>
          <w:lang w:val="ru-RU"/>
        </w:rPr>
        <w:t xml:space="preserve"> </w:t>
      </w:r>
      <w:r>
        <w:rPr>
          <w:lang w:val="ru-RU"/>
        </w:rPr>
        <w:t>платформ</w:t>
      </w:r>
      <w:r w:rsidRPr="00DE62A4">
        <w:rPr>
          <w:lang w:val="ru-RU"/>
        </w:rPr>
        <w:t xml:space="preserve"> </w:t>
      </w:r>
      <w:r>
        <w:rPr>
          <w:lang w:val="ru-RU"/>
        </w:rPr>
        <w:t>для</w:t>
      </w:r>
      <w:r w:rsidRPr="00DE62A4">
        <w:rPr>
          <w:lang w:val="ru-RU"/>
        </w:rPr>
        <w:t xml:space="preserve"> </w:t>
      </w:r>
      <w:r>
        <w:rPr>
          <w:lang w:val="ru-RU"/>
        </w:rPr>
        <w:t>развития</w:t>
      </w:r>
      <w:r w:rsidRPr="00DE62A4">
        <w:rPr>
          <w:lang w:val="ru-RU"/>
        </w:rPr>
        <w:t xml:space="preserve"> </w:t>
      </w:r>
      <w:r>
        <w:rPr>
          <w:lang w:val="ru-RU"/>
        </w:rPr>
        <w:t>технологий по различным отраслям производства, что позволило бы знать о разработках, ведущихся в разных странах, и определять будущие потребности</w:t>
      </w:r>
      <w:r w:rsidR="005853BE" w:rsidRPr="00DE62A4">
        <w:rPr>
          <w:lang w:val="ru-RU"/>
        </w:rPr>
        <w:t xml:space="preserve">. </w:t>
      </w:r>
      <w:r>
        <w:rPr>
          <w:lang w:val="ru-RU"/>
        </w:rPr>
        <w:t>Хорошим местом для начала такой работы могут стать различные международные симпозиумы, которые собирают ученых, фермеров, представителей частного сектора и т.д</w:t>
      </w:r>
      <w:r w:rsidR="005853BE" w:rsidRPr="00DE62A4">
        <w:rPr>
          <w:lang w:val="ru-RU"/>
        </w:rPr>
        <w:t xml:space="preserve">. </w:t>
      </w:r>
      <w:r>
        <w:rPr>
          <w:lang w:val="ru-RU"/>
        </w:rPr>
        <w:t>Еще одной возможностью для получения опыта и выработки руководящих принципов может стать анализ деятельности существующих исследовательских сетей</w:t>
      </w:r>
      <w:r w:rsidR="005853BE" w:rsidRPr="00DE62A4">
        <w:rPr>
          <w:lang w:val="ru-RU"/>
        </w:rPr>
        <w:t xml:space="preserve">: </w:t>
      </w:r>
    </w:p>
    <w:p w:rsidR="005853BE" w:rsidRPr="00DE62A4" w:rsidRDefault="00F53507" w:rsidP="00F53507">
      <w:pPr>
        <w:pStyle w:val="BulletList"/>
        <w:rPr>
          <w:lang w:val="ru-RU"/>
        </w:rPr>
      </w:pPr>
      <w:r>
        <w:rPr>
          <w:lang w:val="ru-RU"/>
        </w:rPr>
        <w:t>в создании сетей в области научных исследований</w:t>
      </w:r>
      <w:r w:rsidRPr="00F53507">
        <w:rPr>
          <w:lang w:val="ru-RU"/>
        </w:rPr>
        <w:t xml:space="preserve"> </w:t>
      </w:r>
      <w:r>
        <w:rPr>
          <w:lang w:val="ru-RU"/>
        </w:rPr>
        <w:t xml:space="preserve">участвуют </w:t>
      </w:r>
      <w:proofErr w:type="spellStart"/>
      <w:r w:rsidR="005853BE" w:rsidRPr="00A722CB">
        <w:t>WorldFish</w:t>
      </w:r>
      <w:proofErr w:type="spellEnd"/>
      <w:r w:rsidR="005853BE" w:rsidRPr="00DE62A4">
        <w:rPr>
          <w:lang w:val="ru-RU"/>
        </w:rPr>
        <w:t xml:space="preserve">, </w:t>
      </w:r>
      <w:r w:rsidR="005853BE" w:rsidRPr="00A722CB">
        <w:t>Globefish</w:t>
      </w:r>
      <w:r w:rsidR="005853BE" w:rsidRPr="00DE62A4">
        <w:rPr>
          <w:lang w:val="ru-RU"/>
        </w:rPr>
        <w:t xml:space="preserve">, </w:t>
      </w:r>
      <w:r w:rsidR="005853BE" w:rsidRPr="00A722CB">
        <w:t>COPESCAALC</w:t>
      </w:r>
      <w:r w:rsidR="005853BE" w:rsidRPr="0073118D">
        <w:rPr>
          <w:vertAlign w:val="superscript"/>
        </w:rPr>
        <w:footnoteReference w:id="22"/>
      </w:r>
      <w:r w:rsidR="005853BE" w:rsidRPr="00DE62A4">
        <w:rPr>
          <w:lang w:val="ru-RU"/>
        </w:rPr>
        <w:t xml:space="preserve">, </w:t>
      </w:r>
      <w:r w:rsidR="005853BE" w:rsidRPr="006F4A01">
        <w:t>NACA</w:t>
      </w:r>
      <w:r w:rsidR="005853BE" w:rsidRPr="00DE62A4">
        <w:rPr>
          <w:lang w:val="ru-RU"/>
        </w:rPr>
        <w:t>,</w:t>
      </w:r>
      <w:r w:rsidR="0075341A">
        <w:rPr>
          <w:lang w:val="ru-RU"/>
        </w:rPr>
        <w:t xml:space="preserve"> </w:t>
      </w:r>
      <w:r w:rsidR="005853BE" w:rsidRPr="00A722CB">
        <w:t>WIOMSA</w:t>
      </w:r>
      <w:r w:rsidR="005853BE" w:rsidRPr="0073118D">
        <w:rPr>
          <w:vertAlign w:val="superscript"/>
        </w:rPr>
        <w:footnoteReference w:id="23"/>
      </w:r>
      <w:r w:rsidR="005853BE" w:rsidRPr="00DE62A4">
        <w:rPr>
          <w:lang w:val="ru-RU"/>
        </w:rPr>
        <w:t xml:space="preserve"> </w:t>
      </w:r>
      <w:r>
        <w:rPr>
          <w:lang w:val="ru-RU"/>
        </w:rPr>
        <w:t>и другие организации</w:t>
      </w:r>
      <w:r w:rsidR="005853BE" w:rsidRPr="00DE62A4">
        <w:rPr>
          <w:lang w:val="ru-RU"/>
        </w:rPr>
        <w:t xml:space="preserve">. </w:t>
      </w:r>
      <w:r w:rsidR="00DE62A4">
        <w:rPr>
          <w:lang w:val="ru-RU"/>
        </w:rPr>
        <w:t>Есть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ли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необходимость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оценить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эффективность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и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результативность</w:t>
      </w:r>
      <w:r w:rsidR="00DE62A4" w:rsidRPr="00DE62A4">
        <w:rPr>
          <w:lang w:val="ru-RU"/>
        </w:rPr>
        <w:t xml:space="preserve"> </w:t>
      </w:r>
      <w:r w:rsidR="00DE62A4">
        <w:rPr>
          <w:lang w:val="ru-RU"/>
        </w:rPr>
        <w:t>механизмов деятельности этих сетей</w:t>
      </w:r>
      <w:r w:rsidR="005853BE" w:rsidRPr="00DE62A4">
        <w:rPr>
          <w:lang w:val="ru-RU"/>
        </w:rPr>
        <w:t xml:space="preserve">? </w:t>
      </w:r>
    </w:p>
    <w:p w:rsidR="005853BE" w:rsidRPr="003338D4" w:rsidRDefault="0058189E" w:rsidP="005853BE">
      <w:pPr>
        <w:pStyle w:val="BulletList"/>
        <w:rPr>
          <w:lang w:val="ru-RU"/>
        </w:rPr>
      </w:pPr>
      <w:r>
        <w:rPr>
          <w:lang w:val="ru-RU"/>
        </w:rPr>
        <w:lastRenderedPageBreak/>
        <w:t>ФАО</w:t>
      </w:r>
      <w:r w:rsidRPr="003338D4">
        <w:rPr>
          <w:lang w:val="ru-RU"/>
        </w:rPr>
        <w:t xml:space="preserve"> </w:t>
      </w:r>
      <w:r>
        <w:rPr>
          <w:lang w:val="ru-RU"/>
        </w:rPr>
        <w:t>может</w:t>
      </w:r>
      <w:r w:rsidRPr="003338D4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3338D4">
        <w:rPr>
          <w:lang w:val="ru-RU"/>
        </w:rPr>
        <w:t xml:space="preserve"> </w:t>
      </w:r>
      <w:r w:rsidR="003338D4">
        <w:rPr>
          <w:lang w:val="ru-RU"/>
        </w:rPr>
        <w:t>сетевым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взаимодействиям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с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указанными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организациями</w:t>
      </w:r>
      <w:r w:rsidR="003338D4" w:rsidRPr="003338D4">
        <w:rPr>
          <w:lang w:val="ru-RU"/>
        </w:rPr>
        <w:t xml:space="preserve">, </w:t>
      </w:r>
      <w:r w:rsidR="003338D4">
        <w:rPr>
          <w:lang w:val="ru-RU"/>
        </w:rPr>
        <w:t>работать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с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различными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университетами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в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регионах</w:t>
      </w:r>
      <w:r w:rsidR="003338D4" w:rsidRPr="003338D4">
        <w:rPr>
          <w:lang w:val="ru-RU"/>
        </w:rPr>
        <w:t xml:space="preserve">, </w:t>
      </w:r>
      <w:r w:rsidR="003338D4">
        <w:rPr>
          <w:lang w:val="ru-RU"/>
        </w:rPr>
        <w:t>а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также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оказывать странам-членам помощь в определении региональных приоритетов и потребностей частного сектора в развитии аквакультуры</w:t>
      </w:r>
      <w:r w:rsidR="005853BE" w:rsidRPr="003338D4">
        <w:rPr>
          <w:lang w:val="ru-RU"/>
        </w:rPr>
        <w:t>;</w:t>
      </w:r>
    </w:p>
    <w:p w:rsidR="005853BE" w:rsidRPr="00F53507" w:rsidRDefault="0075341A" w:rsidP="005853BE">
      <w:pPr>
        <w:pStyle w:val="BulletList"/>
        <w:rPr>
          <w:lang w:val="ru-RU"/>
        </w:rPr>
      </w:pPr>
      <w:r>
        <w:rPr>
          <w:lang w:val="ru-RU"/>
        </w:rPr>
        <w:t xml:space="preserve">как </w:t>
      </w:r>
      <w:r w:rsidR="003338D4">
        <w:rPr>
          <w:lang w:val="ru-RU"/>
        </w:rPr>
        <w:t>университеты могли бы участвовать в прикладных исследованиях? Это потребовало бы существенного финансирования</w:t>
      </w:r>
      <w:r w:rsidR="005853BE" w:rsidRPr="00F53507">
        <w:rPr>
          <w:lang w:val="ru-RU"/>
        </w:rPr>
        <w:t xml:space="preserve">. </w:t>
      </w:r>
    </w:p>
    <w:p w:rsidR="005853BE" w:rsidRPr="00F53507" w:rsidRDefault="005853BE" w:rsidP="005853BE">
      <w:pPr>
        <w:rPr>
          <w:lang w:val="ru-RU"/>
        </w:rPr>
      </w:pPr>
    </w:p>
    <w:p w:rsidR="005853BE" w:rsidRPr="003338D4" w:rsidRDefault="003338D4" w:rsidP="005853BE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 w:rsidRPr="003338D4">
        <w:rPr>
          <w:rFonts w:ascii="Times New Roman" w:hAnsi="Times New Roman" w:cs="Times New Roman"/>
          <w:lang w:val="ru-RU"/>
        </w:rPr>
        <w:t xml:space="preserve">НАЦИОНАЛЬНЫЕ </w:t>
      </w:r>
      <w:r w:rsidR="00577E66">
        <w:rPr>
          <w:rFonts w:ascii="Times New Roman" w:hAnsi="Times New Roman" w:cs="Times New Roman"/>
          <w:lang w:val="ru-RU"/>
        </w:rPr>
        <w:t xml:space="preserve">СИСТЕМЫ </w:t>
      </w:r>
      <w:r w:rsidRPr="003338D4">
        <w:rPr>
          <w:rFonts w:ascii="Times New Roman" w:hAnsi="Times New Roman" w:cs="Times New Roman"/>
          <w:lang w:val="ru-RU"/>
        </w:rPr>
        <w:t>ИННОВАЦИ</w:t>
      </w:r>
      <w:r w:rsidR="00577E66">
        <w:rPr>
          <w:rFonts w:ascii="Times New Roman" w:hAnsi="Times New Roman" w:cs="Times New Roman"/>
          <w:lang w:val="ru-RU"/>
        </w:rPr>
        <w:t>Й</w:t>
      </w:r>
      <w:r w:rsidRPr="003338D4">
        <w:rPr>
          <w:rFonts w:ascii="Times New Roman" w:hAnsi="Times New Roman" w:cs="Times New Roman"/>
          <w:lang w:val="ru-RU"/>
        </w:rPr>
        <w:t xml:space="preserve"> (Н</w:t>
      </w:r>
      <w:r w:rsidR="00577E66">
        <w:rPr>
          <w:rFonts w:ascii="Times New Roman" w:hAnsi="Times New Roman" w:cs="Times New Roman"/>
          <w:lang w:val="ru-RU"/>
        </w:rPr>
        <w:t>С</w:t>
      </w:r>
      <w:r w:rsidRPr="003338D4">
        <w:rPr>
          <w:rFonts w:ascii="Times New Roman" w:hAnsi="Times New Roman" w:cs="Times New Roman"/>
          <w:lang w:val="ru-RU"/>
        </w:rPr>
        <w:t>И</w:t>
      </w:r>
      <w:r w:rsidR="005853BE" w:rsidRPr="003338D4">
        <w:rPr>
          <w:rFonts w:ascii="Times New Roman" w:hAnsi="Times New Roman" w:cs="Times New Roman"/>
        </w:rPr>
        <w:t>)</w:t>
      </w:r>
    </w:p>
    <w:p w:rsidR="005853BE" w:rsidRDefault="005853BE" w:rsidP="005853BE"/>
    <w:p w:rsidR="005853BE" w:rsidRPr="003338D4" w:rsidRDefault="00020BBF" w:rsidP="005853BE">
      <w:pPr>
        <w:pStyle w:val="NewPara"/>
        <w:jc w:val="both"/>
        <w:rPr>
          <w:lang w:val="ru-RU"/>
        </w:rPr>
      </w:pPr>
      <w:r>
        <w:rPr>
          <w:lang w:val="ru-RU"/>
        </w:rPr>
        <w:t>Инвестиции</w:t>
      </w:r>
      <w:r w:rsidRPr="003338D4">
        <w:rPr>
          <w:lang w:val="ru-RU"/>
        </w:rPr>
        <w:t xml:space="preserve"> </w:t>
      </w:r>
      <w:r>
        <w:rPr>
          <w:lang w:val="ru-RU"/>
        </w:rPr>
        <w:t>в</w:t>
      </w:r>
      <w:r w:rsidRPr="003338D4">
        <w:rPr>
          <w:lang w:val="ru-RU"/>
        </w:rPr>
        <w:t xml:space="preserve"> </w:t>
      </w:r>
      <w:r>
        <w:rPr>
          <w:lang w:val="ru-RU"/>
        </w:rPr>
        <w:t>т</w:t>
      </w:r>
      <w:r w:rsidRPr="003338D4">
        <w:rPr>
          <w:lang w:val="ru-RU"/>
        </w:rPr>
        <w:t>.</w:t>
      </w:r>
      <w:r>
        <w:rPr>
          <w:lang w:val="ru-RU"/>
        </w:rPr>
        <w:t>н</w:t>
      </w:r>
      <w:r w:rsidRPr="003338D4">
        <w:rPr>
          <w:lang w:val="ru-RU"/>
        </w:rPr>
        <w:t xml:space="preserve">. </w:t>
      </w:r>
      <w:r w:rsidR="0075341A">
        <w:rPr>
          <w:lang w:val="ru-RU"/>
        </w:rPr>
        <w:t>"</w:t>
      </w:r>
      <w:proofErr w:type="spellStart"/>
      <w:r>
        <w:rPr>
          <w:lang w:val="ru-RU"/>
        </w:rPr>
        <w:t>проактивное</w:t>
      </w:r>
      <w:proofErr w:type="spellEnd"/>
      <w:r w:rsidR="0075341A">
        <w:rPr>
          <w:lang w:val="ru-RU"/>
        </w:rPr>
        <w:t>"</w:t>
      </w:r>
      <w:r w:rsidR="0075341A" w:rsidRPr="003338D4">
        <w:rPr>
          <w:lang w:val="ru-RU"/>
        </w:rPr>
        <w:t xml:space="preserve">, </w:t>
      </w:r>
      <w:r w:rsidR="003338D4">
        <w:rPr>
          <w:lang w:val="ru-RU"/>
        </w:rPr>
        <w:t>учитывающее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будущие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потребности</w:t>
      </w:r>
      <w:r w:rsidR="003338D4" w:rsidRPr="003338D4">
        <w:rPr>
          <w:lang w:val="ru-RU"/>
        </w:rPr>
        <w:t xml:space="preserve">, </w:t>
      </w:r>
      <w:r w:rsidRPr="003338D4">
        <w:rPr>
          <w:lang w:val="ru-RU"/>
        </w:rPr>
        <w:t xml:space="preserve"> </w:t>
      </w:r>
      <w:r>
        <w:rPr>
          <w:lang w:val="ru-RU"/>
        </w:rPr>
        <w:t>образование</w:t>
      </w:r>
      <w:r w:rsidRPr="003338D4">
        <w:rPr>
          <w:lang w:val="ru-RU"/>
        </w:rPr>
        <w:t xml:space="preserve"> </w:t>
      </w:r>
      <w:r>
        <w:rPr>
          <w:lang w:val="ru-RU"/>
        </w:rPr>
        <w:t>и</w:t>
      </w:r>
      <w:r w:rsidRPr="003338D4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3338D4">
        <w:rPr>
          <w:lang w:val="ru-RU"/>
        </w:rPr>
        <w:t xml:space="preserve"> </w:t>
      </w:r>
      <w:r w:rsidR="003338D4">
        <w:rPr>
          <w:lang w:val="ru-RU"/>
        </w:rPr>
        <w:t>жизненно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необходимы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для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того</w:t>
      </w:r>
      <w:r w:rsidR="003338D4" w:rsidRPr="003338D4">
        <w:rPr>
          <w:lang w:val="ru-RU"/>
        </w:rPr>
        <w:t xml:space="preserve">, </w:t>
      </w:r>
      <w:r w:rsidR="003338D4">
        <w:rPr>
          <w:lang w:val="ru-RU"/>
        </w:rPr>
        <w:t>чтобы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отрасль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удовлетворила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свои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потребности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в</w:t>
      </w:r>
      <w:r w:rsidR="003338D4" w:rsidRPr="003338D4">
        <w:rPr>
          <w:lang w:val="ru-RU"/>
        </w:rPr>
        <w:t xml:space="preserve"> </w:t>
      </w:r>
      <w:r w:rsidR="003338D4">
        <w:rPr>
          <w:lang w:val="ru-RU"/>
        </w:rPr>
        <w:t>развитии и могла удовлетворить потребности общества</w:t>
      </w:r>
      <w:r w:rsidR="005853BE" w:rsidRPr="003338D4">
        <w:rPr>
          <w:lang w:val="ru-RU"/>
        </w:rPr>
        <w:t xml:space="preserve">. </w:t>
      </w:r>
      <w:r w:rsidR="003338D4">
        <w:rPr>
          <w:lang w:val="ru-RU"/>
        </w:rPr>
        <w:t xml:space="preserve">Создание и укрепление </w:t>
      </w:r>
      <w:r w:rsidR="009660D1">
        <w:rPr>
          <w:lang w:val="ru-RU"/>
        </w:rPr>
        <w:t>н</w:t>
      </w:r>
      <w:r w:rsidR="003338D4">
        <w:rPr>
          <w:lang w:val="ru-RU"/>
        </w:rPr>
        <w:t xml:space="preserve">ациональных инновационных систем в области </w:t>
      </w:r>
      <w:proofErr w:type="spellStart"/>
      <w:r w:rsidR="003338D4">
        <w:rPr>
          <w:lang w:val="ru-RU"/>
        </w:rPr>
        <w:t>аквакультуры</w:t>
      </w:r>
      <w:proofErr w:type="spellEnd"/>
      <w:r w:rsidR="003338D4">
        <w:rPr>
          <w:lang w:val="ru-RU"/>
        </w:rPr>
        <w:t xml:space="preserve"> </w:t>
      </w:r>
      <w:r w:rsidR="0075341A">
        <w:rPr>
          <w:lang w:val="ru-RU"/>
        </w:rPr>
        <w:t xml:space="preserve">могут </w:t>
      </w:r>
      <w:r w:rsidR="003338D4">
        <w:rPr>
          <w:lang w:val="ru-RU"/>
        </w:rPr>
        <w:t>стать действенным механизмом ответа на вызовы</w:t>
      </w:r>
      <w:r w:rsidR="005853BE" w:rsidRPr="003338D4">
        <w:rPr>
          <w:lang w:val="ru-RU"/>
        </w:rPr>
        <w:t xml:space="preserve"> </w:t>
      </w:r>
      <w:r>
        <w:rPr>
          <w:lang w:val="ru-RU"/>
        </w:rPr>
        <w:t>основанного</w:t>
      </w:r>
      <w:r w:rsidRPr="003338D4">
        <w:rPr>
          <w:lang w:val="ru-RU"/>
        </w:rPr>
        <w:t xml:space="preserve"> </w:t>
      </w:r>
      <w:r>
        <w:rPr>
          <w:lang w:val="ru-RU"/>
        </w:rPr>
        <w:t>на</w:t>
      </w:r>
      <w:r w:rsidRPr="003338D4">
        <w:rPr>
          <w:lang w:val="ru-RU"/>
        </w:rPr>
        <w:t xml:space="preserve"> </w:t>
      </w:r>
      <w:r>
        <w:rPr>
          <w:lang w:val="ru-RU"/>
        </w:rPr>
        <w:t>знаниях</w:t>
      </w:r>
      <w:r w:rsidRPr="003338D4">
        <w:rPr>
          <w:lang w:val="ru-RU"/>
        </w:rPr>
        <w:t xml:space="preserve"> </w:t>
      </w:r>
      <w:r>
        <w:rPr>
          <w:lang w:val="ru-RU"/>
        </w:rPr>
        <w:t>развития</w:t>
      </w:r>
      <w:r w:rsidRPr="003338D4">
        <w:rPr>
          <w:lang w:val="ru-RU"/>
        </w:rPr>
        <w:t xml:space="preserve"> </w:t>
      </w:r>
      <w:r>
        <w:rPr>
          <w:lang w:val="ru-RU"/>
        </w:rPr>
        <w:t>аквакультуры</w:t>
      </w:r>
      <w:r w:rsidR="005853BE" w:rsidRPr="003338D4">
        <w:rPr>
          <w:lang w:val="ru-RU"/>
        </w:rPr>
        <w:t>.</w:t>
      </w:r>
    </w:p>
    <w:p w:rsidR="005853BE" w:rsidRPr="003338D4" w:rsidRDefault="005853BE" w:rsidP="005853BE">
      <w:pPr>
        <w:rPr>
          <w:lang w:val="ru-RU"/>
        </w:rPr>
      </w:pPr>
    </w:p>
    <w:p w:rsidR="005853BE" w:rsidRPr="00F53507" w:rsidRDefault="00F53507" w:rsidP="00F53507">
      <w:pPr>
        <w:pStyle w:val="NewPara"/>
        <w:jc w:val="both"/>
        <w:rPr>
          <w:lang w:val="ru-RU"/>
        </w:rPr>
      </w:pPr>
      <w:proofErr w:type="gramStart"/>
      <w:r>
        <w:rPr>
          <w:lang w:val="ru-RU"/>
        </w:rPr>
        <w:t>ОЭСР</w:t>
      </w:r>
      <w:r w:rsidRPr="0073118D">
        <w:rPr>
          <w:vertAlign w:val="superscript"/>
        </w:rPr>
        <w:footnoteReference w:id="24"/>
      </w:r>
      <w:r w:rsidRPr="00E15A19">
        <w:rPr>
          <w:vertAlign w:val="superscript"/>
          <w:lang w:val="ru-RU"/>
        </w:rPr>
        <w:t>,</w:t>
      </w:r>
      <w:r w:rsidRPr="0073118D">
        <w:rPr>
          <w:vertAlign w:val="superscript"/>
        </w:rPr>
        <w:footnoteReference w:id="25"/>
      </w:r>
      <w:r w:rsidRPr="00F53507">
        <w:rPr>
          <w:lang w:val="ru-RU"/>
        </w:rPr>
        <w:t xml:space="preserve"> </w:t>
      </w:r>
      <w:r>
        <w:rPr>
          <w:lang w:val="ru-RU"/>
        </w:rPr>
        <w:t>дает различные определения</w:t>
      </w:r>
      <w:r w:rsidRPr="00E15A19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E15A19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 w:rsidR="003338D4">
        <w:rPr>
          <w:lang w:val="ru-RU"/>
        </w:rPr>
        <w:t>инноваци</w:t>
      </w:r>
      <w:r w:rsidR="00577E66">
        <w:rPr>
          <w:lang w:val="ru-RU"/>
        </w:rPr>
        <w:t>й</w:t>
      </w:r>
      <w:r w:rsidR="003338D4" w:rsidRPr="00E15A19">
        <w:rPr>
          <w:lang w:val="ru-RU"/>
        </w:rPr>
        <w:t xml:space="preserve"> </w:t>
      </w:r>
      <w:r w:rsidR="003338D4">
        <w:rPr>
          <w:lang w:val="ru-RU"/>
        </w:rPr>
        <w:t>в</w:t>
      </w:r>
      <w:r w:rsidR="003338D4" w:rsidRPr="00E15A19">
        <w:rPr>
          <w:lang w:val="ru-RU"/>
        </w:rPr>
        <w:t xml:space="preserve">; </w:t>
      </w:r>
      <w:r w:rsidR="003338D4">
        <w:rPr>
          <w:lang w:val="ru-RU"/>
        </w:rPr>
        <w:t>последнее</w:t>
      </w:r>
      <w:r w:rsidR="003338D4" w:rsidRPr="00E15A19">
        <w:rPr>
          <w:lang w:val="ru-RU"/>
        </w:rPr>
        <w:t xml:space="preserve"> </w:t>
      </w:r>
      <w:r w:rsidR="003338D4">
        <w:rPr>
          <w:lang w:val="ru-RU"/>
        </w:rPr>
        <w:t>по</w:t>
      </w:r>
      <w:r w:rsidR="003338D4" w:rsidRPr="00E15A19">
        <w:rPr>
          <w:lang w:val="ru-RU"/>
        </w:rPr>
        <w:t xml:space="preserve"> </w:t>
      </w:r>
      <w:r w:rsidR="003338D4">
        <w:rPr>
          <w:lang w:val="ru-RU"/>
        </w:rPr>
        <w:t>времени</w:t>
      </w:r>
      <w:r w:rsidR="003338D4" w:rsidRPr="00E15A19">
        <w:rPr>
          <w:lang w:val="ru-RU"/>
        </w:rPr>
        <w:t xml:space="preserve"> </w:t>
      </w:r>
      <w:r w:rsidR="003338D4">
        <w:rPr>
          <w:lang w:val="ru-RU"/>
        </w:rPr>
        <w:t>определение</w:t>
      </w:r>
      <w:r w:rsidR="003338D4" w:rsidRPr="00E15A19">
        <w:rPr>
          <w:lang w:val="ru-RU"/>
        </w:rPr>
        <w:t xml:space="preserve"> </w:t>
      </w:r>
      <w:r w:rsidR="00E15A19">
        <w:rPr>
          <w:lang w:val="ru-RU"/>
        </w:rPr>
        <w:t xml:space="preserve">звучит следующим образом: </w:t>
      </w:r>
      <w:r w:rsidR="0075341A">
        <w:rPr>
          <w:lang w:val="ru-RU"/>
        </w:rPr>
        <w:t>"</w:t>
      </w:r>
      <w:r w:rsidR="00E15A19">
        <w:rPr>
          <w:lang w:val="ru-RU"/>
        </w:rPr>
        <w:t>совокупность различных учреждений, которые вместе и по отдельности содействуют созданию и распространению новых технологий и которые обеспечивают основу, в рамках которой правительства формируют и осуществляют меры политики, влияющие на процесс инноваций</w:t>
      </w:r>
      <w:r w:rsidR="005853BE" w:rsidRPr="00E15A19">
        <w:rPr>
          <w:lang w:val="ru-RU"/>
        </w:rPr>
        <w:t>.</w:t>
      </w:r>
      <w:proofErr w:type="gramEnd"/>
      <w:r w:rsidR="005853BE" w:rsidRPr="00E15A19">
        <w:rPr>
          <w:lang w:val="ru-RU"/>
        </w:rPr>
        <w:t xml:space="preserve"> </w:t>
      </w:r>
      <w:r w:rsidR="00E15A19">
        <w:rPr>
          <w:lang w:val="ru-RU"/>
        </w:rPr>
        <w:t>По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существу</w:t>
      </w:r>
      <w:r w:rsidR="00850C01">
        <w:rPr>
          <w:lang w:val="ru-RU"/>
        </w:rPr>
        <w:t>,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это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система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взаимосвязанных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учреждений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для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создания</w:t>
      </w:r>
      <w:r w:rsidR="00E15A19" w:rsidRPr="00E15A19">
        <w:rPr>
          <w:lang w:val="ru-RU"/>
        </w:rPr>
        <w:t xml:space="preserve">, </w:t>
      </w:r>
      <w:r w:rsidR="00E15A19">
        <w:rPr>
          <w:lang w:val="ru-RU"/>
        </w:rPr>
        <w:t>хранения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передачи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знаний, навыков и артефактов, которые определяют новые технологии</w:t>
      </w:r>
      <w:r w:rsidR="0075341A">
        <w:rPr>
          <w:lang w:val="ru-RU"/>
        </w:rPr>
        <w:t>"</w:t>
      </w:r>
      <w:r w:rsidR="005853BE" w:rsidRPr="00FE5A39">
        <w:rPr>
          <w:vertAlign w:val="superscript"/>
        </w:rPr>
        <w:footnoteReference w:id="26"/>
      </w:r>
      <w:r w:rsidR="005853BE" w:rsidRPr="00E15A19">
        <w:rPr>
          <w:lang w:val="ru-RU"/>
        </w:rPr>
        <w:t>.</w:t>
      </w:r>
      <w:r w:rsidR="00E15A19">
        <w:rPr>
          <w:lang w:val="ru-RU"/>
        </w:rPr>
        <w:t xml:space="preserve"> В идеале Н</w:t>
      </w:r>
      <w:r w:rsidR="00577E66">
        <w:rPr>
          <w:lang w:val="ru-RU"/>
        </w:rPr>
        <w:t>С</w:t>
      </w:r>
      <w:r w:rsidR="00E15A19">
        <w:rPr>
          <w:lang w:val="ru-RU"/>
        </w:rPr>
        <w:t>И должна включать</w:t>
      </w:r>
      <w:r w:rsidR="005853BE" w:rsidRPr="00F53507">
        <w:rPr>
          <w:lang w:val="ru-RU"/>
        </w:rPr>
        <w:t>:</w:t>
      </w:r>
    </w:p>
    <w:p w:rsidR="005853BE" w:rsidRPr="00E15A19" w:rsidRDefault="009660D1" w:rsidP="005853BE">
      <w:pPr>
        <w:pStyle w:val="BulletList"/>
        <w:rPr>
          <w:lang w:val="ru-RU"/>
        </w:rPr>
      </w:pPr>
      <w:r>
        <w:rPr>
          <w:lang w:val="ru-RU"/>
        </w:rPr>
        <w:t>у</w:t>
      </w:r>
      <w:r w:rsidR="00387A4E">
        <w:rPr>
          <w:lang w:val="ru-RU"/>
        </w:rPr>
        <w:t>ниверситеты</w:t>
      </w:r>
      <w:r w:rsidR="005853BE" w:rsidRPr="00E15A19">
        <w:rPr>
          <w:lang w:val="ru-RU"/>
        </w:rPr>
        <w:t xml:space="preserve">: </w:t>
      </w:r>
      <w:r w:rsidR="00577E66">
        <w:rPr>
          <w:lang w:val="ru-RU"/>
        </w:rPr>
        <w:t xml:space="preserve">обеспечивают </w:t>
      </w:r>
      <w:r>
        <w:rPr>
          <w:lang w:val="ru-RU"/>
        </w:rPr>
        <w:t>фундаментальные</w:t>
      </w:r>
      <w:r w:rsidR="00E15A19">
        <w:rPr>
          <w:lang w:val="ru-RU"/>
        </w:rPr>
        <w:t xml:space="preserve"> и прикладные исследования, образование</w:t>
      </w:r>
      <w:r w:rsidR="005853BE" w:rsidRPr="00E15A19">
        <w:rPr>
          <w:lang w:val="ru-RU"/>
        </w:rPr>
        <w:t>;</w:t>
      </w:r>
    </w:p>
    <w:p w:rsidR="005853BE" w:rsidRPr="00E15A19" w:rsidRDefault="009660D1" w:rsidP="005853BE">
      <w:pPr>
        <w:pStyle w:val="BulletList"/>
        <w:rPr>
          <w:lang w:val="ru-RU"/>
        </w:rPr>
      </w:pPr>
      <w:r>
        <w:rPr>
          <w:lang w:val="ru-RU"/>
        </w:rPr>
        <w:t>ц</w:t>
      </w:r>
      <w:r w:rsidR="00E15A19">
        <w:rPr>
          <w:lang w:val="ru-RU"/>
        </w:rPr>
        <w:t>ентры и институты НИОКР</w:t>
      </w:r>
      <w:r w:rsidR="005853BE" w:rsidRPr="00E15A19">
        <w:rPr>
          <w:lang w:val="ru-RU"/>
        </w:rPr>
        <w:t xml:space="preserve">: </w:t>
      </w:r>
      <w:r w:rsidR="00E15A19">
        <w:rPr>
          <w:lang w:val="ru-RU"/>
        </w:rPr>
        <w:t>прикладные и адаптированные исследования и профессиональная подготовка</w:t>
      </w:r>
      <w:r w:rsidR="005853BE" w:rsidRPr="00E15A19">
        <w:rPr>
          <w:lang w:val="ru-RU"/>
        </w:rPr>
        <w:t>;</w:t>
      </w:r>
    </w:p>
    <w:p w:rsidR="005853BE" w:rsidRPr="00E15A19" w:rsidRDefault="009660D1" w:rsidP="005853BE">
      <w:pPr>
        <w:pStyle w:val="BulletList"/>
        <w:rPr>
          <w:lang w:val="ru-RU"/>
        </w:rPr>
      </w:pPr>
      <w:r>
        <w:rPr>
          <w:lang w:val="ru-RU"/>
        </w:rPr>
        <w:t>ч</w:t>
      </w:r>
      <w:r w:rsidR="00E15A19">
        <w:rPr>
          <w:lang w:val="ru-RU"/>
        </w:rPr>
        <w:t>астный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сектор</w:t>
      </w:r>
      <w:r w:rsidR="005853BE" w:rsidRPr="00E15A19">
        <w:rPr>
          <w:lang w:val="ru-RU"/>
        </w:rPr>
        <w:t xml:space="preserve">: </w:t>
      </w:r>
      <w:r w:rsidR="00E15A19">
        <w:rPr>
          <w:lang w:val="ru-RU"/>
        </w:rPr>
        <w:t>производители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оборудования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техники</w:t>
      </w:r>
      <w:r w:rsidR="005853BE" w:rsidRPr="00E15A19">
        <w:rPr>
          <w:lang w:val="ru-RU"/>
        </w:rPr>
        <w:t xml:space="preserve">, </w:t>
      </w:r>
      <w:r w:rsidR="00E15A19">
        <w:rPr>
          <w:lang w:val="ru-RU"/>
        </w:rPr>
        <w:t>кормов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лекарственных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препаратов/кормовых добавок – коммерческое применение инноваций, производство и поставка факторов производства</w:t>
      </w:r>
      <w:r w:rsidR="005853BE" w:rsidRPr="00E15A19">
        <w:rPr>
          <w:lang w:val="ru-RU"/>
        </w:rPr>
        <w:t>;</w:t>
      </w:r>
    </w:p>
    <w:p w:rsidR="005853BE" w:rsidRPr="00E15A19" w:rsidRDefault="009660D1" w:rsidP="005853BE">
      <w:pPr>
        <w:pStyle w:val="BulletList"/>
        <w:rPr>
          <w:lang w:val="ru-RU"/>
        </w:rPr>
      </w:pPr>
      <w:r>
        <w:rPr>
          <w:lang w:val="ru-RU"/>
        </w:rPr>
        <w:t>а</w:t>
      </w:r>
      <w:r w:rsidR="00E15A19">
        <w:rPr>
          <w:lang w:val="ru-RU"/>
        </w:rPr>
        <w:t>ссоциации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фермеров</w:t>
      </w:r>
      <w:r w:rsidR="005853BE" w:rsidRPr="00E15A19">
        <w:rPr>
          <w:lang w:val="ru-RU"/>
        </w:rPr>
        <w:t xml:space="preserve">: </w:t>
      </w:r>
      <w:r w:rsidR="00E15A19">
        <w:rPr>
          <w:lang w:val="ru-RU"/>
        </w:rPr>
        <w:t>испытания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в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хозяйствах</w:t>
      </w:r>
      <w:r w:rsidR="00E15A19" w:rsidRPr="00E15A19">
        <w:rPr>
          <w:lang w:val="ru-RU"/>
        </w:rPr>
        <w:t xml:space="preserve">, </w:t>
      </w:r>
      <w:r w:rsidR="00E15A19">
        <w:rPr>
          <w:lang w:val="ru-RU"/>
        </w:rPr>
        <w:t>отзывы</w:t>
      </w:r>
      <w:r w:rsidR="00E15A19" w:rsidRPr="00E15A19">
        <w:rPr>
          <w:lang w:val="ru-RU"/>
        </w:rPr>
        <w:t xml:space="preserve"> </w:t>
      </w:r>
      <w:r w:rsidR="00E15A19">
        <w:rPr>
          <w:lang w:val="ru-RU"/>
        </w:rPr>
        <w:t>производителям и центрам НИОКР</w:t>
      </w:r>
      <w:r w:rsidR="005853BE" w:rsidRPr="00E15A19">
        <w:rPr>
          <w:lang w:val="ru-RU"/>
        </w:rPr>
        <w:t xml:space="preserve">; </w:t>
      </w:r>
      <w:r w:rsidR="00E15A19">
        <w:rPr>
          <w:lang w:val="ru-RU"/>
        </w:rPr>
        <w:t>продавцы – оптовые и розничные</w:t>
      </w:r>
      <w:r w:rsidR="005853BE" w:rsidRPr="00E15A19">
        <w:rPr>
          <w:lang w:val="ru-RU"/>
        </w:rPr>
        <w:t xml:space="preserve">: </w:t>
      </w:r>
      <w:r w:rsidR="00E15A19">
        <w:rPr>
          <w:lang w:val="ru-RU"/>
        </w:rPr>
        <w:t>отзывы о продуктах и услугах</w:t>
      </w:r>
      <w:r w:rsidR="005853BE" w:rsidRPr="00E15A19">
        <w:rPr>
          <w:lang w:val="ru-RU"/>
        </w:rPr>
        <w:t>;</w:t>
      </w:r>
    </w:p>
    <w:p w:rsidR="005853BE" w:rsidRPr="00E15A19" w:rsidRDefault="009660D1" w:rsidP="005853BE">
      <w:pPr>
        <w:pStyle w:val="BulletList"/>
        <w:rPr>
          <w:lang w:val="ru-RU"/>
        </w:rPr>
      </w:pPr>
      <w:r>
        <w:rPr>
          <w:lang w:val="ru-RU"/>
        </w:rPr>
        <w:t>г</w:t>
      </w:r>
      <w:r w:rsidR="00E15A19">
        <w:rPr>
          <w:lang w:val="ru-RU"/>
        </w:rPr>
        <w:t>руппы или ассоциации потребителей</w:t>
      </w:r>
      <w:r w:rsidR="005853BE" w:rsidRPr="00E15A19">
        <w:rPr>
          <w:lang w:val="ru-RU"/>
        </w:rPr>
        <w:t xml:space="preserve">: </w:t>
      </w:r>
      <w:r w:rsidR="00E15A19">
        <w:rPr>
          <w:lang w:val="ru-RU"/>
        </w:rPr>
        <w:t>отзывы об удовлетворенности</w:t>
      </w:r>
      <w:r w:rsidR="005853BE" w:rsidRPr="00E15A19">
        <w:rPr>
          <w:lang w:val="ru-RU"/>
        </w:rPr>
        <w:t>;</w:t>
      </w:r>
    </w:p>
    <w:p w:rsidR="005853BE" w:rsidRPr="00577E66" w:rsidRDefault="009660D1" w:rsidP="005853BE">
      <w:pPr>
        <w:pStyle w:val="BulletList"/>
        <w:rPr>
          <w:lang w:val="ru-RU"/>
        </w:rPr>
      </w:pPr>
      <w:r>
        <w:rPr>
          <w:lang w:val="ru-RU"/>
        </w:rPr>
        <w:t>о</w:t>
      </w:r>
      <w:r w:rsidR="00E15A19">
        <w:rPr>
          <w:lang w:val="ru-RU"/>
        </w:rPr>
        <w:t>рганиз</w:t>
      </w:r>
      <w:r w:rsidR="00577E66">
        <w:rPr>
          <w:lang w:val="ru-RU"/>
        </w:rPr>
        <w:t>а</w:t>
      </w:r>
      <w:r w:rsidR="00E15A19">
        <w:rPr>
          <w:lang w:val="ru-RU"/>
        </w:rPr>
        <w:t>ции</w:t>
      </w:r>
      <w:r w:rsidR="00E15A19" w:rsidRPr="00577E66">
        <w:rPr>
          <w:lang w:val="ru-RU"/>
        </w:rPr>
        <w:t xml:space="preserve"> </w:t>
      </w:r>
      <w:r w:rsidR="00E15A19">
        <w:rPr>
          <w:lang w:val="ru-RU"/>
        </w:rPr>
        <w:t>гражданского</w:t>
      </w:r>
      <w:r w:rsidR="00E15A19" w:rsidRPr="00577E66">
        <w:rPr>
          <w:lang w:val="ru-RU"/>
        </w:rPr>
        <w:t xml:space="preserve"> </w:t>
      </w:r>
      <w:r w:rsidR="00577E66">
        <w:rPr>
          <w:lang w:val="ru-RU"/>
        </w:rPr>
        <w:t>общества</w:t>
      </w:r>
      <w:r w:rsidR="005853BE" w:rsidRPr="00577E66">
        <w:rPr>
          <w:lang w:val="ru-RU"/>
        </w:rPr>
        <w:t xml:space="preserve">: </w:t>
      </w:r>
      <w:r w:rsidR="00577E66">
        <w:rPr>
          <w:lang w:val="ru-RU"/>
        </w:rPr>
        <w:t>иногда представляют потребителей</w:t>
      </w:r>
      <w:r w:rsidR="005853BE" w:rsidRPr="00577E66">
        <w:rPr>
          <w:lang w:val="ru-RU"/>
        </w:rPr>
        <w:t xml:space="preserve">; </w:t>
      </w:r>
    </w:p>
    <w:p w:rsidR="005853BE" w:rsidRPr="00577E66" w:rsidRDefault="009660D1" w:rsidP="005853BE">
      <w:pPr>
        <w:pStyle w:val="BulletList"/>
        <w:rPr>
          <w:lang w:val="ru-RU"/>
        </w:rPr>
      </w:pPr>
      <w:r>
        <w:rPr>
          <w:lang w:val="ru-RU"/>
        </w:rPr>
        <w:t>п</w:t>
      </w:r>
      <w:r w:rsidR="00577E66">
        <w:rPr>
          <w:lang w:val="ru-RU"/>
        </w:rPr>
        <w:t>равительство</w:t>
      </w:r>
      <w:r w:rsidR="005853BE" w:rsidRPr="00577E66">
        <w:rPr>
          <w:lang w:val="ru-RU"/>
        </w:rPr>
        <w:t xml:space="preserve">: </w:t>
      </w:r>
      <w:r w:rsidR="00577E66">
        <w:rPr>
          <w:lang w:val="ru-RU"/>
        </w:rPr>
        <w:t>стимулы для инвестирования в инновации; выработка мер политики и нормативов</w:t>
      </w:r>
      <w:r w:rsidR="005853BE" w:rsidRPr="00577E66">
        <w:rPr>
          <w:lang w:val="ru-RU"/>
        </w:rPr>
        <w:t>.</w:t>
      </w:r>
    </w:p>
    <w:p w:rsidR="005853BE" w:rsidRPr="00577E66" w:rsidRDefault="005853BE" w:rsidP="005853BE">
      <w:pPr>
        <w:rPr>
          <w:lang w:val="ru-RU"/>
        </w:rPr>
      </w:pPr>
    </w:p>
    <w:p w:rsidR="005853BE" w:rsidRPr="00226546" w:rsidRDefault="00577E66" w:rsidP="005853BE">
      <w:pPr>
        <w:pStyle w:val="NewPara"/>
        <w:jc w:val="both"/>
        <w:rPr>
          <w:lang w:val="ru-RU"/>
        </w:rPr>
      </w:pPr>
      <w:r>
        <w:rPr>
          <w:lang w:val="ru-RU"/>
        </w:rPr>
        <w:t>Национальная</w:t>
      </w:r>
      <w:r w:rsidRPr="00577E66">
        <w:rPr>
          <w:lang w:val="ru-RU"/>
        </w:rPr>
        <w:t xml:space="preserve"> </w:t>
      </w:r>
      <w:r>
        <w:rPr>
          <w:lang w:val="ru-RU"/>
        </w:rPr>
        <w:t>система</w:t>
      </w:r>
      <w:r w:rsidRPr="00577E66">
        <w:rPr>
          <w:lang w:val="ru-RU"/>
        </w:rPr>
        <w:t xml:space="preserve"> </w:t>
      </w:r>
      <w:r>
        <w:rPr>
          <w:lang w:val="ru-RU"/>
        </w:rPr>
        <w:t>инноваций</w:t>
      </w:r>
      <w:r w:rsidR="005853BE" w:rsidRPr="00577E66">
        <w:rPr>
          <w:lang w:val="ru-RU"/>
        </w:rPr>
        <w:t xml:space="preserve"> (</w:t>
      </w:r>
      <w:r>
        <w:rPr>
          <w:lang w:val="ru-RU"/>
        </w:rPr>
        <w:t>состоящая</w:t>
      </w:r>
      <w:r w:rsidRPr="00577E66">
        <w:rPr>
          <w:lang w:val="ru-RU"/>
        </w:rPr>
        <w:t xml:space="preserve"> </w:t>
      </w:r>
      <w:r>
        <w:rPr>
          <w:lang w:val="ru-RU"/>
        </w:rPr>
        <w:t>из</w:t>
      </w:r>
      <w:r w:rsidRPr="00577E66">
        <w:rPr>
          <w:lang w:val="ru-RU"/>
        </w:rPr>
        <w:t xml:space="preserve"> </w:t>
      </w:r>
      <w:r>
        <w:rPr>
          <w:lang w:val="ru-RU"/>
        </w:rPr>
        <w:t>консорциума</w:t>
      </w:r>
      <w:r w:rsidRPr="00577E66">
        <w:rPr>
          <w:lang w:val="ru-RU"/>
        </w:rPr>
        <w:t xml:space="preserve"> </w:t>
      </w:r>
      <w:r>
        <w:rPr>
          <w:lang w:val="ru-RU"/>
        </w:rPr>
        <w:t>промышленности</w:t>
      </w:r>
      <w:r w:rsidRPr="00577E66">
        <w:rPr>
          <w:lang w:val="ru-RU"/>
        </w:rPr>
        <w:t xml:space="preserve">, </w:t>
      </w:r>
      <w:r>
        <w:rPr>
          <w:lang w:val="ru-RU"/>
        </w:rPr>
        <w:t>науки, правительства и ассоциаций производителей</w:t>
      </w:r>
      <w:r w:rsidR="005853BE" w:rsidRPr="00577E66">
        <w:rPr>
          <w:lang w:val="ru-RU"/>
        </w:rPr>
        <w:t xml:space="preserve">) </w:t>
      </w:r>
      <w:r>
        <w:rPr>
          <w:lang w:val="ru-RU"/>
        </w:rPr>
        <w:t xml:space="preserve">в области культивирования морских креветок была создана в Таиланде в начале </w:t>
      </w:r>
      <w:r w:rsidR="005853BE" w:rsidRPr="00577E66">
        <w:rPr>
          <w:lang w:val="ru-RU"/>
        </w:rPr>
        <w:t>1990</w:t>
      </w:r>
      <w:r>
        <w:rPr>
          <w:lang w:val="ru-RU"/>
        </w:rPr>
        <w:t xml:space="preserve">-х годов и является примером кластера инноваций на </w:t>
      </w:r>
      <w:r>
        <w:rPr>
          <w:lang w:val="ru-RU"/>
        </w:rPr>
        <w:lastRenderedPageBreak/>
        <w:t>национальном уровне, целью которого была выработка решений для ряда проблем</w:t>
      </w:r>
      <w:r w:rsidR="005853BE" w:rsidRPr="00F54EAA">
        <w:rPr>
          <w:vertAlign w:val="superscript"/>
        </w:rPr>
        <w:footnoteReference w:id="27"/>
      </w:r>
      <w:r w:rsidR="005853BE" w:rsidRPr="00577E66">
        <w:rPr>
          <w:lang w:val="ru-RU"/>
        </w:rPr>
        <w:t>.</w:t>
      </w:r>
      <w:r w:rsidR="00226546">
        <w:rPr>
          <w:lang w:val="ru-RU"/>
        </w:rPr>
        <w:t xml:space="preserve"> Система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начала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свою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программу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с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формирования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маточного стада и генетического улучшения черной тигровой креветки</w:t>
      </w:r>
      <w:r w:rsidR="005853BE" w:rsidRPr="00226546">
        <w:rPr>
          <w:lang w:val="ru-RU"/>
        </w:rPr>
        <w:t xml:space="preserve">, </w:t>
      </w:r>
      <w:r w:rsidR="005853BE" w:rsidRPr="00020BBF">
        <w:rPr>
          <w:i/>
        </w:rPr>
        <w:t>Peneaus</w:t>
      </w:r>
      <w:r w:rsidR="005853BE" w:rsidRPr="00226546">
        <w:rPr>
          <w:i/>
          <w:lang w:val="ru-RU"/>
        </w:rPr>
        <w:t xml:space="preserve"> </w:t>
      </w:r>
      <w:r w:rsidR="005853BE" w:rsidRPr="00020BBF">
        <w:rPr>
          <w:i/>
        </w:rPr>
        <w:t>monodon</w:t>
      </w:r>
      <w:r w:rsidR="005853BE" w:rsidRPr="00226546">
        <w:rPr>
          <w:lang w:val="ru-RU"/>
        </w:rPr>
        <w:t xml:space="preserve">. </w:t>
      </w:r>
      <w:r w:rsidR="00226546">
        <w:rPr>
          <w:lang w:val="ru-RU"/>
        </w:rPr>
        <w:t>Эта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программа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была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организационно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оформлена</w:t>
      </w:r>
      <w:r w:rsidR="00226546" w:rsidRPr="00226546">
        <w:rPr>
          <w:lang w:val="ru-RU"/>
        </w:rPr>
        <w:t xml:space="preserve"> </w:t>
      </w:r>
      <w:r w:rsidR="00226546">
        <w:rPr>
          <w:lang w:val="ru-RU"/>
        </w:rPr>
        <w:t>в Центр генетического улучшения креветок, занимавшийся генетической селекцией черной тигровой креветки</w:t>
      </w:r>
      <w:r w:rsidR="002A419F">
        <w:rPr>
          <w:lang w:val="ru-RU"/>
        </w:rPr>
        <w:t xml:space="preserve"> </w:t>
      </w:r>
      <w:r w:rsidR="005853BE" w:rsidRPr="00A722CB">
        <w:t>SPF</w:t>
      </w:r>
      <w:r w:rsidR="005853BE" w:rsidRPr="00226546">
        <w:rPr>
          <w:vertAlign w:val="superscript"/>
        </w:rPr>
        <w:footnoteReference w:id="28"/>
      </w:r>
      <w:r w:rsidR="005853BE" w:rsidRPr="00226546">
        <w:rPr>
          <w:lang w:val="ru-RU"/>
        </w:rPr>
        <w:t xml:space="preserve">. </w:t>
      </w:r>
    </w:p>
    <w:p w:rsidR="005853BE" w:rsidRPr="00226546" w:rsidRDefault="005853BE" w:rsidP="005853BE">
      <w:pPr>
        <w:rPr>
          <w:lang w:val="ru-RU"/>
        </w:rPr>
      </w:pPr>
    </w:p>
    <w:p w:rsidR="005853BE" w:rsidRPr="00226546" w:rsidRDefault="00226546" w:rsidP="005853BE">
      <w:pPr>
        <w:pStyle w:val="NewPara"/>
        <w:jc w:val="both"/>
        <w:rPr>
          <w:lang w:val="ru-RU"/>
        </w:rPr>
      </w:pPr>
      <w:r>
        <w:rPr>
          <w:lang w:val="ru-RU"/>
        </w:rPr>
        <w:t xml:space="preserve">Сказанное выше иллюстрирует эффективность сотрудничества науки, промышленности и правительства для решения проблем и указывает на необходимость организационно оформленной (в отличие от временной или созданной под конкретный проект) взаимосвязи </w:t>
      </w:r>
      <w:r w:rsidR="005853BE" w:rsidRPr="00226546">
        <w:rPr>
          <w:lang w:val="ru-RU"/>
        </w:rPr>
        <w:t xml:space="preserve"> </w:t>
      </w:r>
      <w:r>
        <w:rPr>
          <w:lang w:val="ru-RU"/>
        </w:rPr>
        <w:t>основных сторон в отрасли для решения широких, специфических, постоянных, а также новых проблем</w:t>
      </w:r>
      <w:r w:rsidR="005853BE" w:rsidRPr="00226546">
        <w:rPr>
          <w:lang w:val="ru-RU"/>
        </w:rPr>
        <w:t xml:space="preserve">. </w:t>
      </w:r>
      <w:r>
        <w:rPr>
          <w:lang w:val="ru-RU"/>
        </w:rPr>
        <w:t>Такое</w:t>
      </w:r>
      <w:r w:rsidRPr="00226546">
        <w:rPr>
          <w:lang w:val="ru-RU"/>
        </w:rPr>
        <w:t xml:space="preserve"> </w:t>
      </w:r>
      <w:r>
        <w:rPr>
          <w:lang w:val="ru-RU"/>
        </w:rPr>
        <w:t>отраслевое</w:t>
      </w:r>
      <w:r w:rsidRPr="00226546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226546">
        <w:rPr>
          <w:lang w:val="ru-RU"/>
        </w:rPr>
        <w:t xml:space="preserve"> </w:t>
      </w:r>
      <w:r>
        <w:rPr>
          <w:lang w:val="ru-RU"/>
        </w:rPr>
        <w:t>охватывает не только технические аспекты проблемы, но и политические, нормативные, управленческие аспекты</w:t>
      </w:r>
      <w:r w:rsidR="00BF32C1">
        <w:rPr>
          <w:lang w:val="ru-RU"/>
        </w:rPr>
        <w:t>,</w:t>
      </w:r>
      <w:r>
        <w:rPr>
          <w:lang w:val="ru-RU"/>
        </w:rPr>
        <w:t xml:space="preserve"> а </w:t>
      </w:r>
      <w:r w:rsidR="009660D1">
        <w:rPr>
          <w:lang w:val="ru-RU"/>
        </w:rPr>
        <w:t>также</w:t>
      </w:r>
      <w:r>
        <w:rPr>
          <w:lang w:val="ru-RU"/>
        </w:rPr>
        <w:t xml:space="preserve"> наращивание потенциала</w:t>
      </w:r>
      <w:r w:rsidR="005853BE" w:rsidRPr="00226546">
        <w:rPr>
          <w:lang w:val="ru-RU"/>
        </w:rPr>
        <w:t>.</w:t>
      </w:r>
    </w:p>
    <w:p w:rsidR="005853BE" w:rsidRPr="00226546" w:rsidRDefault="005853BE" w:rsidP="005853BE">
      <w:pPr>
        <w:rPr>
          <w:lang w:val="ru-RU"/>
        </w:rPr>
      </w:pPr>
    </w:p>
    <w:p w:rsidR="005853BE" w:rsidRPr="00226546" w:rsidRDefault="00226546" w:rsidP="005853BE">
      <w:pPr>
        <w:pStyle w:val="Heading2"/>
        <w:numPr>
          <w:ilvl w:val="0"/>
          <w:numId w:val="0"/>
        </w:numPr>
        <w:jc w:val="left"/>
        <w:rPr>
          <w:rFonts w:ascii="Times New Roman" w:hAnsi="Times New Roman" w:cs="Times New Roman"/>
          <w:lang w:val="ru-RU"/>
        </w:rPr>
      </w:pPr>
      <w:r w:rsidRPr="00226546">
        <w:rPr>
          <w:rFonts w:ascii="Times New Roman" w:hAnsi="Times New Roman" w:cs="Times New Roman"/>
          <w:lang w:val="ru-RU"/>
        </w:rPr>
        <w:t>РЕГИОНАЛЬНЫЕ И ГЛОБАЛЬНЫЕ СВЯЗИ В ЦЕЛЯХ ИННОВАЦИЙ В ОБЛАСТИ АКВАКУЛЬТУРЫ</w:t>
      </w:r>
    </w:p>
    <w:p w:rsidR="005853BE" w:rsidRPr="00226546" w:rsidRDefault="005853BE" w:rsidP="005853BE">
      <w:pPr>
        <w:rPr>
          <w:lang w:val="ru-RU"/>
        </w:rPr>
      </w:pPr>
    </w:p>
    <w:p w:rsidR="005853BE" w:rsidRPr="00EC6339" w:rsidRDefault="00EC6339" w:rsidP="005853BE">
      <w:pPr>
        <w:pStyle w:val="NewPara"/>
        <w:jc w:val="both"/>
        <w:rPr>
          <w:lang w:val="ru-RU"/>
        </w:rPr>
      </w:pPr>
      <w:r>
        <w:rPr>
          <w:lang w:val="ru-RU"/>
        </w:rPr>
        <w:t>Во всех</w:t>
      </w:r>
      <w:r w:rsidRPr="00EC6339">
        <w:rPr>
          <w:lang w:val="ru-RU"/>
        </w:rPr>
        <w:t xml:space="preserve"> </w:t>
      </w:r>
      <w:r>
        <w:rPr>
          <w:lang w:val="ru-RU"/>
        </w:rPr>
        <w:t>регионах</w:t>
      </w:r>
      <w:r w:rsidRPr="00EC6339">
        <w:rPr>
          <w:lang w:val="ru-RU"/>
        </w:rPr>
        <w:t xml:space="preserve"> </w:t>
      </w:r>
      <w:r>
        <w:rPr>
          <w:lang w:val="ru-RU"/>
        </w:rPr>
        <w:t>есть</w:t>
      </w:r>
      <w:r w:rsidRPr="00EC6339">
        <w:rPr>
          <w:lang w:val="ru-RU"/>
        </w:rPr>
        <w:t xml:space="preserve"> </w:t>
      </w:r>
      <w:r>
        <w:rPr>
          <w:lang w:val="ru-RU"/>
        </w:rPr>
        <w:t>образовательные</w:t>
      </w:r>
      <w:r w:rsidRPr="00EC6339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EC6339">
        <w:rPr>
          <w:lang w:val="ru-RU"/>
        </w:rPr>
        <w:t xml:space="preserve">, </w:t>
      </w:r>
      <w:r>
        <w:rPr>
          <w:lang w:val="ru-RU"/>
        </w:rPr>
        <w:t>центры</w:t>
      </w:r>
      <w:r w:rsidRPr="00EC6339">
        <w:rPr>
          <w:lang w:val="ru-RU"/>
        </w:rPr>
        <w:t xml:space="preserve"> </w:t>
      </w:r>
      <w:r>
        <w:rPr>
          <w:lang w:val="ru-RU"/>
        </w:rPr>
        <w:t>НИОКР</w:t>
      </w:r>
      <w:r w:rsidRPr="00EC6339">
        <w:rPr>
          <w:lang w:val="ru-RU"/>
        </w:rPr>
        <w:t xml:space="preserve">, </w:t>
      </w:r>
      <w:r>
        <w:rPr>
          <w:lang w:val="ru-RU"/>
        </w:rPr>
        <w:t>частные</w:t>
      </w:r>
      <w:r w:rsidRPr="00EC6339">
        <w:rPr>
          <w:lang w:val="ru-RU"/>
        </w:rPr>
        <w:t xml:space="preserve"> </w:t>
      </w:r>
      <w:r>
        <w:rPr>
          <w:lang w:val="ru-RU"/>
        </w:rPr>
        <w:t>исследовательские</w:t>
      </w:r>
      <w:r w:rsidRPr="00EC6339">
        <w:rPr>
          <w:lang w:val="ru-RU"/>
        </w:rPr>
        <w:t xml:space="preserve"> </w:t>
      </w:r>
      <w:r>
        <w:rPr>
          <w:lang w:val="ru-RU"/>
        </w:rPr>
        <w:t>организации, занимающиеся аквакультурой, имеющие отношение к аквакультуре в рамках своего круга ведения или работающие в области производства технологий, которые аквакультура может использовать, и готовящие соответствующих специалистов. В</w:t>
      </w:r>
      <w:r w:rsidRPr="00EC6339">
        <w:rPr>
          <w:lang w:val="ru-RU"/>
        </w:rPr>
        <w:t xml:space="preserve"> </w:t>
      </w:r>
      <w:r>
        <w:rPr>
          <w:lang w:val="ru-RU"/>
        </w:rPr>
        <w:t>ряде</w:t>
      </w:r>
      <w:r w:rsidRPr="00EC6339">
        <w:rPr>
          <w:lang w:val="ru-RU"/>
        </w:rPr>
        <w:t xml:space="preserve"> </w:t>
      </w:r>
      <w:r>
        <w:rPr>
          <w:lang w:val="ru-RU"/>
        </w:rPr>
        <w:t>регионов</w:t>
      </w:r>
      <w:r w:rsidRPr="00EC6339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EC6339">
        <w:rPr>
          <w:lang w:val="ru-RU"/>
        </w:rPr>
        <w:t xml:space="preserve"> </w:t>
      </w:r>
      <w:r>
        <w:rPr>
          <w:lang w:val="ru-RU"/>
        </w:rPr>
        <w:t>потенциал</w:t>
      </w:r>
      <w:r w:rsidRPr="00EC6339">
        <w:rPr>
          <w:lang w:val="ru-RU"/>
        </w:rPr>
        <w:t xml:space="preserve"> </w:t>
      </w:r>
      <w:r>
        <w:rPr>
          <w:lang w:val="ru-RU"/>
        </w:rPr>
        <w:t>для</w:t>
      </w:r>
      <w:r w:rsidRPr="00EC6339">
        <w:rPr>
          <w:lang w:val="ru-RU"/>
        </w:rPr>
        <w:t xml:space="preserve"> </w:t>
      </w:r>
      <w:r>
        <w:rPr>
          <w:lang w:val="ru-RU"/>
        </w:rPr>
        <w:t>фундаментальных</w:t>
      </w:r>
      <w:r w:rsidRPr="00EC6339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EC6339">
        <w:rPr>
          <w:lang w:val="ru-RU"/>
        </w:rPr>
        <w:t xml:space="preserve"> </w:t>
      </w:r>
      <w:r>
        <w:rPr>
          <w:lang w:val="ru-RU"/>
        </w:rPr>
        <w:t>и</w:t>
      </w:r>
      <w:r w:rsidRPr="00EC6339">
        <w:rPr>
          <w:lang w:val="ru-RU"/>
        </w:rPr>
        <w:t xml:space="preserve"> </w:t>
      </w:r>
      <w:r>
        <w:rPr>
          <w:lang w:val="ru-RU"/>
        </w:rPr>
        <w:t>учебной</w:t>
      </w:r>
      <w:r w:rsidRPr="00EC6339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EC6339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EC6339">
        <w:rPr>
          <w:lang w:val="ru-RU"/>
        </w:rPr>
        <w:t xml:space="preserve"> </w:t>
      </w:r>
      <w:r>
        <w:rPr>
          <w:lang w:val="ru-RU"/>
        </w:rPr>
        <w:t>высокого</w:t>
      </w:r>
      <w:r w:rsidRPr="00EC6339">
        <w:rPr>
          <w:lang w:val="ru-RU"/>
        </w:rPr>
        <w:t xml:space="preserve"> </w:t>
      </w:r>
      <w:r>
        <w:rPr>
          <w:lang w:val="ru-RU"/>
        </w:rPr>
        <w:t>уровня</w:t>
      </w:r>
      <w:r w:rsidRPr="00EC6339">
        <w:rPr>
          <w:lang w:val="ru-RU"/>
        </w:rPr>
        <w:t xml:space="preserve">, </w:t>
      </w:r>
      <w:r>
        <w:rPr>
          <w:lang w:val="ru-RU"/>
        </w:rPr>
        <w:t>другие регионы обладают потенциалом среднего уровня и направляют усилия на прикладные и адаптированные к местным нуждам исследования, тогда как третьи имеют полномочия на адаптацию исследований для местного применения</w:t>
      </w:r>
      <w:r w:rsidR="005853BE" w:rsidRPr="00EC6339">
        <w:rPr>
          <w:lang w:val="ru-RU"/>
        </w:rPr>
        <w:t xml:space="preserve">. </w:t>
      </w:r>
      <w:r>
        <w:rPr>
          <w:lang w:val="ru-RU"/>
        </w:rPr>
        <w:t>В</w:t>
      </w:r>
      <w:r w:rsidRPr="00EC6339">
        <w:rPr>
          <w:lang w:val="ru-RU"/>
        </w:rPr>
        <w:t xml:space="preserve"> </w:t>
      </w:r>
      <w:r>
        <w:rPr>
          <w:lang w:val="ru-RU"/>
        </w:rPr>
        <w:t>большинстве регионов ведется профессиональная подготовка кадров для исследовательской работы, распространения передового опыта, управления и производства.</w:t>
      </w:r>
    </w:p>
    <w:p w:rsidR="005853BE" w:rsidRPr="00EC6339" w:rsidRDefault="00EC6339" w:rsidP="00F53507">
      <w:pPr>
        <w:pStyle w:val="NewPara"/>
        <w:jc w:val="both"/>
        <w:rPr>
          <w:lang w:val="ru-RU"/>
        </w:rPr>
      </w:pPr>
      <w:r>
        <w:rPr>
          <w:lang w:val="ru-RU"/>
        </w:rPr>
        <w:t>Многочисленные региональные и межрегиональные формы сотрудничества в области науки и технологии (включая профессиональную подготовку трудовых ресурсов), основанные</w:t>
      </w:r>
      <w:r w:rsidRPr="00EC6339">
        <w:rPr>
          <w:lang w:val="ru-RU"/>
        </w:rPr>
        <w:t xml:space="preserve"> </w:t>
      </w:r>
      <w:r>
        <w:rPr>
          <w:lang w:val="ru-RU"/>
        </w:rPr>
        <w:t>на</w:t>
      </w:r>
      <w:r w:rsidRPr="00EC6339">
        <w:rPr>
          <w:lang w:val="ru-RU"/>
        </w:rPr>
        <w:t xml:space="preserve"> </w:t>
      </w:r>
      <w:r>
        <w:rPr>
          <w:lang w:val="ru-RU"/>
        </w:rPr>
        <w:t>различных</w:t>
      </w:r>
      <w:r w:rsidRPr="00EC6339">
        <w:rPr>
          <w:lang w:val="ru-RU"/>
        </w:rPr>
        <w:t xml:space="preserve"> </w:t>
      </w:r>
      <w:r>
        <w:rPr>
          <w:lang w:val="ru-RU"/>
        </w:rPr>
        <w:t>принципах и механизмах финансирования</w:t>
      </w:r>
      <w:r w:rsidR="00F53507">
        <w:rPr>
          <w:lang w:val="ru-RU"/>
        </w:rPr>
        <w:t xml:space="preserve">. Среди них </w:t>
      </w:r>
      <w:r>
        <w:rPr>
          <w:lang w:val="ru-RU"/>
        </w:rPr>
        <w:t xml:space="preserve">включают </w:t>
      </w:r>
      <w:r w:rsidR="00F53507">
        <w:rPr>
          <w:lang w:val="ru-RU"/>
        </w:rPr>
        <w:t>АСЕАН</w:t>
      </w:r>
      <w:r w:rsidR="005853BE" w:rsidRPr="00EC6339">
        <w:rPr>
          <w:lang w:val="ru-RU"/>
        </w:rPr>
        <w:t xml:space="preserve">, </w:t>
      </w:r>
      <w:r w:rsidR="00F53507">
        <w:rPr>
          <w:lang w:val="ru-RU"/>
        </w:rPr>
        <w:t>АТЭС</w:t>
      </w:r>
      <w:r w:rsidR="005853BE" w:rsidRPr="0073118D">
        <w:rPr>
          <w:vertAlign w:val="superscript"/>
        </w:rPr>
        <w:footnoteReference w:id="29"/>
      </w:r>
      <w:r w:rsidR="005853BE" w:rsidRPr="00EC6339">
        <w:rPr>
          <w:lang w:val="ru-RU"/>
        </w:rPr>
        <w:t xml:space="preserve">, </w:t>
      </w:r>
      <w:r w:rsidR="00F53507">
        <w:rPr>
          <w:lang w:val="ru-RU"/>
        </w:rPr>
        <w:t>СААРК</w:t>
      </w:r>
      <w:r w:rsidR="005853BE" w:rsidRPr="0073118D">
        <w:rPr>
          <w:vertAlign w:val="superscript"/>
        </w:rPr>
        <w:footnoteReference w:id="30"/>
      </w:r>
      <w:r w:rsidR="005853BE" w:rsidRPr="00EC6339">
        <w:rPr>
          <w:lang w:val="ru-RU"/>
        </w:rPr>
        <w:t xml:space="preserve">, </w:t>
      </w:r>
      <w:r w:rsidR="00F53507">
        <w:rPr>
          <w:lang w:val="ru-RU"/>
        </w:rPr>
        <w:t>КАРИКОМ</w:t>
      </w:r>
      <w:r w:rsidR="005853BE" w:rsidRPr="0073118D">
        <w:rPr>
          <w:vertAlign w:val="superscript"/>
        </w:rPr>
        <w:footnoteReference w:id="31"/>
      </w:r>
      <w:r w:rsidR="005853BE" w:rsidRPr="00EC6339">
        <w:rPr>
          <w:lang w:val="ru-RU"/>
        </w:rPr>
        <w:t xml:space="preserve">, </w:t>
      </w:r>
      <w:r w:rsidR="00F53507">
        <w:rPr>
          <w:lang w:val="ru-RU"/>
        </w:rPr>
        <w:t>СТС</w:t>
      </w:r>
      <w:r w:rsidR="005853BE" w:rsidRPr="0073118D">
        <w:rPr>
          <w:vertAlign w:val="superscript"/>
        </w:rPr>
        <w:footnoteReference w:id="32"/>
      </w:r>
      <w:r w:rsidR="005853BE" w:rsidRPr="00EC6339">
        <w:rPr>
          <w:lang w:val="ru-RU"/>
        </w:rPr>
        <w:t xml:space="preserve">, </w:t>
      </w:r>
      <w:r w:rsidR="00F53507">
        <w:rPr>
          <w:lang w:val="ru-RU"/>
        </w:rPr>
        <w:t>ФЕПА</w:t>
      </w:r>
      <w:r w:rsidR="005853BE" w:rsidRPr="0073118D">
        <w:rPr>
          <w:vertAlign w:val="superscript"/>
        </w:rPr>
        <w:footnoteReference w:id="33"/>
      </w:r>
      <w:r w:rsidR="005853BE" w:rsidRPr="00EC6339">
        <w:rPr>
          <w:vertAlign w:val="superscript"/>
          <w:lang w:val="ru-RU"/>
        </w:rPr>
        <w:t xml:space="preserve"> </w:t>
      </w:r>
      <w:r>
        <w:rPr>
          <w:lang w:val="ru-RU"/>
        </w:rPr>
        <w:t>и т.д.</w:t>
      </w:r>
    </w:p>
    <w:p w:rsidR="005853BE" w:rsidRPr="00EC6339" w:rsidRDefault="005853BE" w:rsidP="005853BE">
      <w:pPr>
        <w:rPr>
          <w:lang w:val="ru-RU"/>
        </w:rPr>
      </w:pPr>
    </w:p>
    <w:p w:rsidR="005853BE" w:rsidRPr="00CF4697" w:rsidRDefault="00EC6339" w:rsidP="005853BE">
      <w:pPr>
        <w:pStyle w:val="NewPara"/>
        <w:jc w:val="both"/>
        <w:rPr>
          <w:lang w:val="ru-RU"/>
        </w:rPr>
      </w:pPr>
      <w:r>
        <w:rPr>
          <w:lang w:val="ru-RU"/>
        </w:rPr>
        <w:t xml:space="preserve">Основная роль ФАО в этой международной экосистеме исследовательской работы и образования в области аквакультуры и смежных областях состояла бы в </w:t>
      </w:r>
      <w:r w:rsidR="002A419F">
        <w:rPr>
          <w:lang w:val="ru-RU"/>
        </w:rPr>
        <w:t>предоставлении ориентира для их программ</w:t>
      </w:r>
      <w:r w:rsidR="005853BE" w:rsidRPr="00EC6339">
        <w:rPr>
          <w:lang w:val="ru-RU"/>
        </w:rPr>
        <w:t xml:space="preserve">. </w:t>
      </w:r>
      <w:r w:rsidR="002A419F">
        <w:rPr>
          <w:lang w:val="ru-RU"/>
        </w:rPr>
        <w:t>Таким</w:t>
      </w:r>
      <w:r w:rsidR="002A419F" w:rsidRPr="00CF4697">
        <w:rPr>
          <w:lang w:val="ru-RU"/>
        </w:rPr>
        <w:t xml:space="preserve"> </w:t>
      </w:r>
      <w:r w:rsidR="002A419F">
        <w:rPr>
          <w:lang w:val="ru-RU"/>
        </w:rPr>
        <w:t>ориентиром</w:t>
      </w:r>
      <w:r w:rsidR="002A419F" w:rsidRPr="00CF4697">
        <w:rPr>
          <w:lang w:val="ru-RU"/>
        </w:rPr>
        <w:t xml:space="preserve"> </w:t>
      </w:r>
      <w:r w:rsidR="002A419F">
        <w:rPr>
          <w:lang w:val="ru-RU"/>
        </w:rPr>
        <w:t>могла</w:t>
      </w:r>
      <w:r w:rsidR="002A419F" w:rsidRPr="00CF4697">
        <w:rPr>
          <w:lang w:val="ru-RU"/>
        </w:rPr>
        <w:t xml:space="preserve"> </w:t>
      </w:r>
      <w:r w:rsidR="002A419F">
        <w:rPr>
          <w:lang w:val="ru-RU"/>
        </w:rPr>
        <w:t>бы</w:t>
      </w:r>
      <w:r w:rsidR="002A419F" w:rsidRPr="00CF4697">
        <w:rPr>
          <w:lang w:val="ru-RU"/>
        </w:rPr>
        <w:t xml:space="preserve"> </w:t>
      </w:r>
      <w:r w:rsidR="002A419F">
        <w:rPr>
          <w:lang w:val="ru-RU"/>
        </w:rPr>
        <w:t>стать</w:t>
      </w:r>
      <w:r w:rsidR="002A419F" w:rsidRPr="00CF4697">
        <w:rPr>
          <w:lang w:val="ru-RU"/>
        </w:rPr>
        <w:t xml:space="preserve"> </w:t>
      </w:r>
      <w:r w:rsidR="00CF4697">
        <w:rPr>
          <w:lang w:val="ru-RU"/>
        </w:rPr>
        <w:t xml:space="preserve">глобальная поддержка инициативе </w:t>
      </w:r>
      <w:r w:rsidR="000F513C">
        <w:rPr>
          <w:lang w:val="ru-RU"/>
        </w:rPr>
        <w:t>"</w:t>
      </w:r>
      <w:r w:rsidR="00CF4697">
        <w:rPr>
          <w:lang w:val="ru-RU"/>
        </w:rPr>
        <w:t>Голубой рост</w:t>
      </w:r>
      <w:r w:rsidR="000F513C">
        <w:rPr>
          <w:lang w:val="ru-RU"/>
        </w:rPr>
        <w:t>"</w:t>
      </w:r>
      <w:r w:rsidR="005853BE" w:rsidRPr="00CF4697">
        <w:rPr>
          <w:lang w:val="ru-RU"/>
        </w:rPr>
        <w:t xml:space="preserve">. </w:t>
      </w:r>
      <w:r w:rsidR="00CF4697">
        <w:rPr>
          <w:lang w:val="ru-RU"/>
        </w:rPr>
        <w:t>Многие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из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упомянутых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организаций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создали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потенциал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для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решения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проблем, связанных с изменением климата, либо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работают над соответствующими программам</w:t>
      </w:r>
      <w:r w:rsidR="000F513C">
        <w:rPr>
          <w:lang w:val="ru-RU"/>
        </w:rPr>
        <w:t>и</w:t>
      </w:r>
      <w:r w:rsidR="005853BE" w:rsidRPr="00CF4697">
        <w:rPr>
          <w:lang w:val="ru-RU"/>
        </w:rPr>
        <w:t xml:space="preserve">. </w:t>
      </w:r>
      <w:r w:rsidR="00CF4697">
        <w:rPr>
          <w:lang w:val="ru-RU"/>
        </w:rPr>
        <w:t>Они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могли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бы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>также</w:t>
      </w:r>
      <w:r w:rsidR="00CF4697" w:rsidRPr="00CF4697">
        <w:rPr>
          <w:lang w:val="ru-RU"/>
        </w:rPr>
        <w:t xml:space="preserve"> </w:t>
      </w:r>
      <w:r w:rsidR="00CF4697">
        <w:rPr>
          <w:lang w:val="ru-RU"/>
        </w:rPr>
        <w:t xml:space="preserve">обогатить свой опыт исследовательской работы в областях, </w:t>
      </w:r>
      <w:r w:rsidR="00CF4697">
        <w:rPr>
          <w:lang w:val="ru-RU"/>
        </w:rPr>
        <w:lastRenderedPageBreak/>
        <w:t xml:space="preserve">содействующих интенсификации производства и </w:t>
      </w:r>
      <w:r w:rsidR="000F513C">
        <w:rPr>
          <w:lang w:val="ru-RU"/>
        </w:rPr>
        <w:t xml:space="preserve">снижению </w:t>
      </w:r>
      <w:r w:rsidR="00CF4697">
        <w:rPr>
          <w:lang w:val="ru-RU"/>
        </w:rPr>
        <w:t>рисков и воздействий на окружающую среду</w:t>
      </w:r>
      <w:r w:rsidR="005853BE" w:rsidRPr="00CF4697">
        <w:rPr>
          <w:lang w:val="ru-RU"/>
        </w:rPr>
        <w:t xml:space="preserve">. </w:t>
      </w:r>
      <w:r w:rsidR="00387A4E">
        <w:rPr>
          <w:lang w:val="ru-RU"/>
        </w:rPr>
        <w:t>Инициатива</w:t>
      </w:r>
      <w:r w:rsidR="00387A4E" w:rsidRPr="00CF4697">
        <w:rPr>
          <w:lang w:val="ru-RU"/>
        </w:rPr>
        <w:t xml:space="preserve"> </w:t>
      </w:r>
      <w:r w:rsidR="00387A4E">
        <w:rPr>
          <w:lang w:val="ru-RU"/>
        </w:rPr>
        <w:t>ФАО</w:t>
      </w:r>
      <w:r w:rsidR="00387A4E" w:rsidRPr="00CF4697">
        <w:rPr>
          <w:lang w:val="ru-RU"/>
        </w:rPr>
        <w:t xml:space="preserve"> </w:t>
      </w:r>
      <w:r w:rsidR="000F513C">
        <w:rPr>
          <w:lang w:val="ru-RU"/>
        </w:rPr>
        <w:t>"</w:t>
      </w:r>
      <w:r w:rsidR="00387A4E">
        <w:rPr>
          <w:lang w:val="ru-RU"/>
        </w:rPr>
        <w:t>Голубой</w:t>
      </w:r>
      <w:r w:rsidR="00387A4E" w:rsidRPr="00CF4697">
        <w:rPr>
          <w:lang w:val="ru-RU"/>
        </w:rPr>
        <w:t xml:space="preserve"> </w:t>
      </w:r>
      <w:r w:rsidR="00387A4E">
        <w:rPr>
          <w:lang w:val="ru-RU"/>
        </w:rPr>
        <w:t>рост</w:t>
      </w:r>
      <w:r w:rsidR="000F513C">
        <w:rPr>
          <w:lang w:val="ru-RU"/>
        </w:rPr>
        <w:t>"</w:t>
      </w:r>
      <w:r w:rsidR="000F513C" w:rsidRPr="00CF4697">
        <w:rPr>
          <w:lang w:val="ru-RU"/>
        </w:rPr>
        <w:t xml:space="preserve"> </w:t>
      </w:r>
      <w:r w:rsidR="00387A4E" w:rsidRPr="00CF4697">
        <w:rPr>
          <w:lang w:val="ru-RU"/>
        </w:rPr>
        <w:t>(</w:t>
      </w:r>
      <w:r w:rsidR="00387A4E">
        <w:rPr>
          <w:lang w:val="ru-RU"/>
        </w:rPr>
        <w:t>ИГР</w:t>
      </w:r>
      <w:r w:rsidR="00387A4E" w:rsidRPr="00CF4697">
        <w:rPr>
          <w:lang w:val="ru-RU"/>
        </w:rPr>
        <w:t>)</w:t>
      </w:r>
      <w:r w:rsidR="005853BE" w:rsidRPr="00CF4697">
        <w:rPr>
          <w:lang w:val="ru-RU"/>
        </w:rPr>
        <w:t xml:space="preserve"> </w:t>
      </w:r>
      <w:r w:rsidR="00CF4697">
        <w:rPr>
          <w:lang w:val="ru-RU"/>
        </w:rPr>
        <w:t>предлагала бы общее направление для их индивидуальных программ в области науки и технологии и, что более важно, для их совместных программ</w:t>
      </w:r>
      <w:r w:rsidR="005853BE" w:rsidRPr="00CF4697">
        <w:rPr>
          <w:lang w:val="ru-RU"/>
        </w:rPr>
        <w:t xml:space="preserve">. </w:t>
      </w:r>
    </w:p>
    <w:p w:rsidR="005853BE" w:rsidRPr="00CF4697" w:rsidRDefault="005853BE" w:rsidP="005853BE">
      <w:pPr>
        <w:rPr>
          <w:lang w:val="ru-RU"/>
        </w:rPr>
      </w:pPr>
    </w:p>
    <w:p w:rsidR="005853BE" w:rsidRPr="006465D4" w:rsidRDefault="00CF4697" w:rsidP="005853BE">
      <w:pPr>
        <w:pStyle w:val="NewPara"/>
        <w:jc w:val="both"/>
        <w:rPr>
          <w:lang w:val="ru-RU"/>
        </w:rPr>
      </w:pPr>
      <w:r>
        <w:rPr>
          <w:lang w:val="ru-RU"/>
        </w:rPr>
        <w:t>Один</w:t>
      </w:r>
      <w:r w:rsidRPr="00CF4697">
        <w:rPr>
          <w:lang w:val="ru-RU"/>
        </w:rPr>
        <w:t xml:space="preserve"> </w:t>
      </w:r>
      <w:r>
        <w:rPr>
          <w:lang w:val="ru-RU"/>
        </w:rPr>
        <w:t>или</w:t>
      </w:r>
      <w:r w:rsidRPr="00CF4697">
        <w:rPr>
          <w:lang w:val="ru-RU"/>
        </w:rPr>
        <w:t xml:space="preserve"> </w:t>
      </w:r>
      <w:r>
        <w:rPr>
          <w:lang w:val="ru-RU"/>
        </w:rPr>
        <w:t>несколько</w:t>
      </w:r>
      <w:r w:rsidRPr="00CF4697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CF4697">
        <w:rPr>
          <w:lang w:val="ru-RU"/>
        </w:rPr>
        <w:t xml:space="preserve"> </w:t>
      </w:r>
      <w:r>
        <w:rPr>
          <w:lang w:val="ru-RU"/>
        </w:rPr>
        <w:t>ИГР</w:t>
      </w:r>
      <w:r w:rsidRPr="00CF4697">
        <w:rPr>
          <w:lang w:val="ru-RU"/>
        </w:rPr>
        <w:t xml:space="preserve">, </w:t>
      </w:r>
      <w:r>
        <w:rPr>
          <w:lang w:val="ru-RU"/>
        </w:rPr>
        <w:t>по</w:t>
      </w:r>
      <w:r w:rsidRPr="00CF4697">
        <w:rPr>
          <w:lang w:val="ru-RU"/>
        </w:rPr>
        <w:t xml:space="preserve"> </w:t>
      </w:r>
      <w:r>
        <w:rPr>
          <w:lang w:val="ru-RU"/>
        </w:rPr>
        <w:t>всей</w:t>
      </w:r>
      <w:r w:rsidRPr="00CF4697">
        <w:rPr>
          <w:lang w:val="ru-RU"/>
        </w:rPr>
        <w:t xml:space="preserve"> </w:t>
      </w:r>
      <w:r>
        <w:rPr>
          <w:lang w:val="ru-RU"/>
        </w:rPr>
        <w:t>вероятности</w:t>
      </w:r>
      <w:r w:rsidRPr="00CF4697">
        <w:rPr>
          <w:lang w:val="ru-RU"/>
        </w:rPr>
        <w:t xml:space="preserve">, </w:t>
      </w:r>
      <w:r>
        <w:rPr>
          <w:lang w:val="ru-RU"/>
        </w:rPr>
        <w:t>согласовались</w:t>
      </w:r>
      <w:r w:rsidRPr="00CF4697">
        <w:rPr>
          <w:lang w:val="ru-RU"/>
        </w:rPr>
        <w:t xml:space="preserve"> </w:t>
      </w:r>
      <w:r>
        <w:rPr>
          <w:lang w:val="ru-RU"/>
        </w:rPr>
        <w:t>бы</w:t>
      </w:r>
      <w:r w:rsidRPr="00CF4697">
        <w:rPr>
          <w:lang w:val="ru-RU"/>
        </w:rPr>
        <w:t xml:space="preserve"> </w:t>
      </w:r>
      <w:r>
        <w:rPr>
          <w:lang w:val="ru-RU"/>
        </w:rPr>
        <w:t>с</w:t>
      </w:r>
      <w:r w:rsidRPr="00CF4697">
        <w:rPr>
          <w:lang w:val="ru-RU"/>
        </w:rPr>
        <w:t xml:space="preserve"> </w:t>
      </w:r>
      <w:r>
        <w:rPr>
          <w:lang w:val="ru-RU"/>
        </w:rPr>
        <w:t>текущими</w:t>
      </w:r>
      <w:r w:rsidRPr="00CF4697">
        <w:rPr>
          <w:lang w:val="ru-RU"/>
        </w:rPr>
        <w:t xml:space="preserve"> </w:t>
      </w:r>
      <w:r>
        <w:rPr>
          <w:lang w:val="ru-RU"/>
        </w:rPr>
        <w:t>программами, интересами</w:t>
      </w:r>
      <w:r w:rsidRPr="00CF4697">
        <w:rPr>
          <w:lang w:val="ru-RU"/>
        </w:rPr>
        <w:t xml:space="preserve"> </w:t>
      </w:r>
      <w:r>
        <w:rPr>
          <w:lang w:val="ru-RU"/>
        </w:rPr>
        <w:t>или</w:t>
      </w:r>
      <w:r w:rsidRPr="00CF4697">
        <w:rPr>
          <w:lang w:val="ru-RU"/>
        </w:rPr>
        <w:t xml:space="preserve"> </w:t>
      </w:r>
      <w:r>
        <w:rPr>
          <w:lang w:val="ru-RU"/>
        </w:rPr>
        <w:t>возможностями глобальных, региональных и национальных организаций, в круге ведения которых находится аквакультура или смежные с ней области</w:t>
      </w:r>
      <w:r w:rsidR="005853BE" w:rsidRPr="00CF4697">
        <w:rPr>
          <w:lang w:val="ru-RU"/>
        </w:rPr>
        <w:t xml:space="preserve">. </w:t>
      </w:r>
      <w:r>
        <w:rPr>
          <w:lang w:val="ru-RU"/>
        </w:rPr>
        <w:t>В</w:t>
      </w:r>
      <w:r w:rsidRPr="006465D4">
        <w:rPr>
          <w:lang w:val="ru-RU"/>
        </w:rPr>
        <w:t xml:space="preserve"> </w:t>
      </w:r>
      <w:r>
        <w:rPr>
          <w:lang w:val="ru-RU"/>
        </w:rPr>
        <w:t>таком</w:t>
      </w:r>
      <w:r w:rsidRPr="006465D4">
        <w:rPr>
          <w:lang w:val="ru-RU"/>
        </w:rPr>
        <w:t xml:space="preserve"> </w:t>
      </w:r>
      <w:r>
        <w:rPr>
          <w:lang w:val="ru-RU"/>
        </w:rPr>
        <w:t>случае</w:t>
      </w:r>
      <w:r w:rsidRPr="006465D4">
        <w:rPr>
          <w:lang w:val="ru-RU"/>
        </w:rPr>
        <w:t xml:space="preserve"> </w:t>
      </w:r>
      <w:r>
        <w:rPr>
          <w:lang w:val="ru-RU"/>
        </w:rPr>
        <w:t>стратегические</w:t>
      </w:r>
      <w:r w:rsidRPr="006465D4">
        <w:rPr>
          <w:lang w:val="ru-RU"/>
        </w:rPr>
        <w:t xml:space="preserve"> </w:t>
      </w:r>
      <w:r>
        <w:rPr>
          <w:lang w:val="ru-RU"/>
        </w:rPr>
        <w:t>действия</w:t>
      </w:r>
      <w:r w:rsidRPr="006465D4">
        <w:rPr>
          <w:lang w:val="ru-RU"/>
        </w:rPr>
        <w:t xml:space="preserve"> </w:t>
      </w:r>
      <w:r>
        <w:rPr>
          <w:lang w:val="ru-RU"/>
        </w:rPr>
        <w:t>состояли</w:t>
      </w:r>
      <w:r w:rsidRPr="006465D4">
        <w:rPr>
          <w:lang w:val="ru-RU"/>
        </w:rPr>
        <w:t xml:space="preserve"> </w:t>
      </w:r>
      <w:r>
        <w:rPr>
          <w:lang w:val="ru-RU"/>
        </w:rPr>
        <w:t>бы</w:t>
      </w:r>
      <w:r w:rsidRPr="006465D4">
        <w:rPr>
          <w:lang w:val="ru-RU"/>
        </w:rPr>
        <w:t xml:space="preserve"> </w:t>
      </w:r>
      <w:r>
        <w:rPr>
          <w:lang w:val="ru-RU"/>
        </w:rPr>
        <w:t>в</w:t>
      </w:r>
      <w:r w:rsidRPr="006465D4">
        <w:rPr>
          <w:lang w:val="ru-RU"/>
        </w:rPr>
        <w:t xml:space="preserve"> </w:t>
      </w:r>
      <w:r w:rsidR="006465D4">
        <w:rPr>
          <w:lang w:val="ru-RU"/>
        </w:rPr>
        <w:t>налаживании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отношений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сотрудничества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между</w:t>
      </w:r>
      <w:r w:rsidR="006465D4" w:rsidRPr="006465D4">
        <w:rPr>
          <w:lang w:val="ru-RU"/>
        </w:rPr>
        <w:t xml:space="preserve"> </w:t>
      </w:r>
      <w:r>
        <w:rPr>
          <w:lang w:val="ru-RU"/>
        </w:rPr>
        <w:t>этими</w:t>
      </w:r>
      <w:r w:rsidRPr="006465D4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="006465D4" w:rsidRPr="006465D4">
        <w:rPr>
          <w:lang w:val="ru-RU"/>
        </w:rPr>
        <w:t xml:space="preserve">, </w:t>
      </w:r>
      <w:r w:rsidR="006465D4">
        <w:rPr>
          <w:lang w:val="ru-RU"/>
        </w:rPr>
        <w:t>что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позволило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бы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им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упрочить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свой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потенциал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или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заполнить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имеющиеся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пробелы</w:t>
      </w:r>
      <w:r w:rsidR="006465D4" w:rsidRPr="006465D4">
        <w:rPr>
          <w:lang w:val="ru-RU"/>
        </w:rPr>
        <w:t xml:space="preserve"> </w:t>
      </w:r>
      <w:r w:rsidR="006465D4">
        <w:rPr>
          <w:lang w:val="ru-RU"/>
        </w:rPr>
        <w:t>в исследовательской работе и/или образовательной – в тех конкретных областях, которые соответствуют задачам организаций и содействуют реализации ИГР</w:t>
      </w:r>
      <w:r w:rsidR="005853BE" w:rsidRPr="006465D4">
        <w:rPr>
          <w:lang w:val="ru-RU"/>
        </w:rPr>
        <w:t xml:space="preserve">. </w:t>
      </w:r>
    </w:p>
    <w:p w:rsidR="005853BE" w:rsidRPr="006465D4" w:rsidRDefault="005853BE" w:rsidP="005853BE">
      <w:pPr>
        <w:rPr>
          <w:lang w:val="ru-RU"/>
        </w:rPr>
      </w:pPr>
    </w:p>
    <w:p w:rsidR="005853BE" w:rsidRPr="00412266" w:rsidRDefault="006465D4" w:rsidP="005853BE">
      <w:pPr>
        <w:pStyle w:val="NewPara"/>
        <w:jc w:val="both"/>
        <w:rPr>
          <w:lang w:val="ru-RU"/>
        </w:rPr>
      </w:pPr>
      <w:r>
        <w:rPr>
          <w:lang w:val="ru-RU"/>
        </w:rPr>
        <w:t>Очерченная</w:t>
      </w:r>
      <w:r w:rsidRPr="006465D4">
        <w:rPr>
          <w:lang w:val="ru-RU"/>
        </w:rPr>
        <w:t xml:space="preserve"> </w:t>
      </w:r>
      <w:r>
        <w:rPr>
          <w:lang w:val="ru-RU"/>
        </w:rPr>
        <w:t>выше</w:t>
      </w:r>
      <w:r w:rsidRPr="006465D4">
        <w:rPr>
          <w:lang w:val="ru-RU"/>
        </w:rPr>
        <w:t xml:space="preserve"> </w:t>
      </w:r>
      <w:r>
        <w:rPr>
          <w:lang w:val="ru-RU"/>
        </w:rPr>
        <w:t>роль</w:t>
      </w:r>
      <w:r w:rsidRPr="006465D4">
        <w:rPr>
          <w:lang w:val="ru-RU"/>
        </w:rPr>
        <w:t xml:space="preserve"> </w:t>
      </w:r>
      <w:r>
        <w:rPr>
          <w:lang w:val="ru-RU"/>
        </w:rPr>
        <w:t>ФАО</w:t>
      </w:r>
      <w:r w:rsidRPr="006465D4">
        <w:rPr>
          <w:lang w:val="ru-RU"/>
        </w:rPr>
        <w:t xml:space="preserve"> включает и </w:t>
      </w:r>
      <w:r>
        <w:rPr>
          <w:lang w:val="ru-RU"/>
        </w:rPr>
        <w:t>создание</w:t>
      </w:r>
      <w:r w:rsidRPr="006465D4">
        <w:rPr>
          <w:lang w:val="ru-RU"/>
        </w:rPr>
        <w:t xml:space="preserve"> </w:t>
      </w:r>
      <w:r>
        <w:rPr>
          <w:lang w:val="ru-RU"/>
        </w:rPr>
        <w:t xml:space="preserve">НСИ для аквакультуры. ФАО могла бы поощрять образование национальных кластеров (научные круги, правительство, промышленность) или оказывать помощь в укреплении уже существующих кластеров, с </w:t>
      </w:r>
      <w:proofErr w:type="gramStart"/>
      <w:r>
        <w:rPr>
          <w:lang w:val="ru-RU"/>
        </w:rPr>
        <w:t>тем</w:t>
      </w:r>
      <w:proofErr w:type="gramEnd"/>
      <w:r>
        <w:rPr>
          <w:lang w:val="ru-RU"/>
        </w:rPr>
        <w:t xml:space="preserve"> чтобы они развивались в НСИ для аквакультуры, а их научно-технические программы учитывали бы задачи ИГР</w:t>
      </w:r>
      <w:r w:rsidR="005853BE" w:rsidRPr="00412266">
        <w:rPr>
          <w:lang w:val="ru-RU"/>
        </w:rPr>
        <w:t xml:space="preserve">. </w:t>
      </w:r>
    </w:p>
    <w:p w:rsidR="005853BE" w:rsidRPr="00412266" w:rsidRDefault="005853BE" w:rsidP="005853BE">
      <w:pPr>
        <w:rPr>
          <w:lang w:val="ru-RU"/>
        </w:rPr>
      </w:pPr>
    </w:p>
    <w:p w:rsidR="005853BE" w:rsidRPr="00412266" w:rsidRDefault="005853BE" w:rsidP="005853BE">
      <w:pPr>
        <w:pStyle w:val="SummaryBoxText"/>
        <w:rPr>
          <w:lang w:val="ru-RU"/>
        </w:rPr>
      </w:pPr>
    </w:p>
    <w:p w:rsidR="00DC60D2" w:rsidRPr="00412266" w:rsidRDefault="00DC60D2" w:rsidP="005853BE">
      <w:pPr>
        <w:rPr>
          <w:lang w:val="ru-RU"/>
        </w:rPr>
      </w:pPr>
    </w:p>
    <w:sectPr w:rsidR="00DC60D2" w:rsidRPr="00412266" w:rsidSect="005853BE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BF" w:rsidRDefault="001144BF" w:rsidP="005853BE">
      <w:pPr>
        <w:spacing w:after="0"/>
      </w:pPr>
      <w:r>
        <w:separator/>
      </w:r>
    </w:p>
  </w:endnote>
  <w:endnote w:type="continuationSeparator" w:id="0">
    <w:p w:rsidR="001144BF" w:rsidRDefault="001144BF" w:rsidP="005853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75341A" w:rsidRPr="003D5CF1" w:rsidTr="00A27A42">
      <w:tc>
        <w:tcPr>
          <w:tcW w:w="9071" w:type="dxa"/>
        </w:tcPr>
        <w:p w:rsidR="0075341A" w:rsidRPr="00015BFC" w:rsidRDefault="0075341A" w:rsidP="00015BFC">
          <w:pPr>
            <w:pStyle w:val="Note"/>
            <w:textboxTightWrap w:val="allLines"/>
            <w:rPr>
              <w:lang w:val="ru-RU"/>
            </w:rPr>
          </w:pPr>
          <w:bookmarkStart w:id="11" w:name="NotesBookmark"/>
          <w:r w:rsidRPr="00015BFC">
            <w:rPr>
              <w:lang w:val="ru-RU"/>
            </w:rPr>
            <w:t xml:space="preserve"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документов и не запрашивать дополнительных копий. Большинство документов к заседаниям ФАО размещено в Интернете по адресу: </w:t>
          </w:r>
          <w:r w:rsidRPr="00015BFC">
            <w:rPr>
              <w:lang w:val="en-US"/>
            </w:rPr>
            <w:t>www</w:t>
          </w:r>
          <w:r w:rsidRPr="00015BFC">
            <w:rPr>
              <w:lang w:val="ru-RU"/>
            </w:rPr>
            <w:t>.</w:t>
          </w:r>
          <w:r w:rsidRPr="00015BFC">
            <w:rPr>
              <w:lang w:val="en-US"/>
            </w:rPr>
            <w:t>fao</w:t>
          </w:r>
          <w:r w:rsidRPr="00015BFC">
            <w:rPr>
              <w:lang w:val="ru-RU"/>
            </w:rPr>
            <w:t>.</w:t>
          </w:r>
          <w:r w:rsidRPr="00015BFC">
            <w:rPr>
              <w:lang w:val="en-US"/>
            </w:rPr>
            <w:t>org</w:t>
          </w:r>
          <w:r w:rsidRPr="00015BFC">
            <w:rPr>
              <w:lang w:val="ru-RU"/>
            </w:rPr>
            <w:t xml:space="preserve">  </w:t>
          </w:r>
          <w:bookmarkEnd w:id="11"/>
        </w:p>
      </w:tc>
    </w:tr>
  </w:tbl>
  <w:p w:rsidR="0075341A" w:rsidRPr="00015BFC" w:rsidRDefault="0075341A" w:rsidP="00A27A42">
    <w:pPr>
      <w:rPr>
        <w:lang w:val="ru-RU"/>
      </w:rPr>
    </w:pPr>
    <w:bookmarkStart w:id="12" w:name="FooterInformationBookmark"/>
    <w:r w:rsidRPr="00015BFC">
      <w:rPr>
        <w:lang w:val="ru-RU"/>
      </w:rPr>
      <w:t xml:space="preserve"> </w:t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BF" w:rsidRDefault="001144BF" w:rsidP="005853BE">
      <w:pPr>
        <w:spacing w:after="0"/>
      </w:pPr>
      <w:r>
        <w:separator/>
      </w:r>
    </w:p>
  </w:footnote>
  <w:footnote w:type="continuationSeparator" w:id="0">
    <w:p w:rsidR="001144BF" w:rsidRDefault="001144BF" w:rsidP="005853BE">
      <w:pPr>
        <w:spacing w:after="0"/>
      </w:pPr>
      <w:r>
        <w:continuationSeparator/>
      </w:r>
    </w:p>
  </w:footnote>
  <w:footnote w:id="1">
    <w:p w:rsidR="0075341A" w:rsidRPr="007101E3" w:rsidRDefault="0075341A" w:rsidP="005853BE">
      <w:pPr>
        <w:pStyle w:val="FootnoteText"/>
        <w:rPr>
          <w:sz w:val="18"/>
          <w:szCs w:val="18"/>
        </w:rPr>
      </w:pPr>
      <w:r w:rsidRPr="007101E3">
        <w:rPr>
          <w:sz w:val="18"/>
          <w:szCs w:val="18"/>
          <w:vertAlign w:val="superscript"/>
        </w:rPr>
        <w:footnoteRef/>
      </w:r>
      <w:r w:rsidR="00D7768F" w:rsidRPr="007101E3">
        <w:rPr>
          <w:sz w:val="18"/>
          <w:szCs w:val="18"/>
          <w:lang w:val="fr-FR"/>
        </w:rPr>
        <w:t xml:space="preserve"> </w:t>
      </w:r>
      <w:r w:rsidRPr="007101E3">
        <w:rPr>
          <w:sz w:val="18"/>
          <w:szCs w:val="18"/>
          <w:lang w:val="fr-FR"/>
        </w:rPr>
        <w:t>FAO. 2015a. Fishstat Plus, Vers. 2.32. Rome, FAO. (www.fao.org/fishery/ statistics/software/fishstat/en).</w:t>
      </w:r>
    </w:p>
  </w:footnote>
  <w:footnote w:id="2">
    <w:p w:rsidR="0075341A" w:rsidRDefault="0075341A" w:rsidP="005853BE">
      <w:pPr>
        <w:pStyle w:val="FootnoteText"/>
      </w:pPr>
      <w:r w:rsidRPr="007101E3">
        <w:rPr>
          <w:sz w:val="18"/>
          <w:szCs w:val="18"/>
          <w:vertAlign w:val="superscript"/>
        </w:rPr>
        <w:footnoteRef/>
      </w:r>
      <w:r w:rsidRPr="007101E3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7101E3">
        <w:rPr>
          <w:sz w:val="18"/>
          <w:szCs w:val="18"/>
          <w:lang w:val="en-US"/>
        </w:rPr>
        <w:t>Urdes</w:t>
      </w:r>
      <w:proofErr w:type="spellEnd"/>
      <w:r w:rsidRPr="007101E3">
        <w:rPr>
          <w:sz w:val="18"/>
          <w:szCs w:val="18"/>
          <w:lang w:val="en-US"/>
        </w:rPr>
        <w:t xml:space="preserve">, L-D., </w:t>
      </w:r>
      <w:proofErr w:type="spellStart"/>
      <w:r w:rsidRPr="007101E3">
        <w:rPr>
          <w:sz w:val="18"/>
          <w:szCs w:val="18"/>
          <w:lang w:val="en-US"/>
        </w:rPr>
        <w:t>Diaconescu</w:t>
      </w:r>
      <w:proofErr w:type="spellEnd"/>
      <w:r w:rsidRPr="007101E3">
        <w:rPr>
          <w:sz w:val="18"/>
          <w:szCs w:val="18"/>
          <w:lang w:val="en-US"/>
        </w:rPr>
        <w:t xml:space="preserve">, C., Marin, M. and </w:t>
      </w:r>
      <w:proofErr w:type="spellStart"/>
      <w:r w:rsidRPr="007101E3">
        <w:rPr>
          <w:sz w:val="18"/>
          <w:szCs w:val="18"/>
          <w:lang w:val="en-US"/>
        </w:rPr>
        <w:t>Dinita</w:t>
      </w:r>
      <w:proofErr w:type="spellEnd"/>
      <w:r w:rsidRPr="007101E3">
        <w:rPr>
          <w:sz w:val="18"/>
          <w:szCs w:val="18"/>
          <w:lang w:val="en-US"/>
        </w:rPr>
        <w:t>, G., 2013.</w:t>
      </w:r>
      <w:proofErr w:type="gramEnd"/>
      <w:r w:rsidRPr="007101E3">
        <w:rPr>
          <w:sz w:val="18"/>
          <w:szCs w:val="18"/>
          <w:lang w:val="en-US"/>
        </w:rPr>
        <w:t xml:space="preserve"> </w:t>
      </w:r>
      <w:proofErr w:type="gramStart"/>
      <w:r w:rsidRPr="007101E3">
        <w:rPr>
          <w:sz w:val="18"/>
          <w:szCs w:val="18"/>
        </w:rPr>
        <w:t>The role of veterinary education in fostering aquaculture development.</w:t>
      </w:r>
      <w:proofErr w:type="gramEnd"/>
      <w:r w:rsidRPr="007101E3">
        <w:rPr>
          <w:sz w:val="18"/>
          <w:szCs w:val="18"/>
        </w:rPr>
        <w:t xml:space="preserve"> </w:t>
      </w:r>
      <w:proofErr w:type="gramStart"/>
      <w:r w:rsidRPr="007101E3">
        <w:rPr>
          <w:sz w:val="18"/>
          <w:szCs w:val="18"/>
        </w:rPr>
        <w:t>Procedia – Social and Behaviral Sciences.</w:t>
      </w:r>
      <w:proofErr w:type="gramEnd"/>
      <w:r w:rsidRPr="007101E3">
        <w:rPr>
          <w:sz w:val="18"/>
          <w:szCs w:val="18"/>
        </w:rPr>
        <w:t xml:space="preserve"> </w:t>
      </w:r>
      <w:proofErr w:type="gramStart"/>
      <w:r w:rsidRPr="007101E3">
        <w:rPr>
          <w:sz w:val="18"/>
          <w:szCs w:val="18"/>
        </w:rPr>
        <w:t>106: 3091 – 3094.</w:t>
      </w:r>
      <w:proofErr w:type="gramEnd"/>
    </w:p>
  </w:footnote>
  <w:footnote w:id="3">
    <w:p w:rsidR="0075341A" w:rsidRDefault="0075341A" w:rsidP="005853BE">
      <w:pPr>
        <w:pStyle w:val="FootnoteText"/>
      </w:pPr>
      <w:r>
        <w:rPr>
          <w:vertAlign w:val="superscript"/>
        </w:rPr>
        <w:footnoteRef/>
      </w:r>
      <w:r>
        <w:rPr>
          <w:lang w:val="sv-SE"/>
        </w:rPr>
        <w:t xml:space="preserve"> </w:t>
      </w:r>
      <w:r w:rsidRPr="00A2347D">
        <w:rPr>
          <w:sz w:val="18"/>
          <w:szCs w:val="18"/>
          <w:lang w:val="sv-SE"/>
        </w:rPr>
        <w:t>FAO. 2015b. The Blue Growth Initiative. Fisheries and Aquaculture Department. Rome, FAO. 47 pp</w:t>
      </w:r>
      <w:r w:rsidRPr="007101E3">
        <w:rPr>
          <w:sz w:val="18"/>
          <w:szCs w:val="18"/>
          <w:lang w:val="sv-SE"/>
        </w:rPr>
        <w:t>.</w:t>
      </w:r>
    </w:p>
  </w:footnote>
  <w:footnote w:id="4">
    <w:p w:rsidR="0075341A" w:rsidRPr="00EB2303" w:rsidRDefault="0075341A" w:rsidP="005853BE">
      <w:pPr>
        <w:spacing w:after="0"/>
      </w:pPr>
      <w:r w:rsidRPr="00A2347D">
        <w:rPr>
          <w:sz w:val="18"/>
          <w:szCs w:val="18"/>
          <w:vertAlign w:val="superscript"/>
        </w:rPr>
        <w:footnoteRef/>
      </w:r>
      <w:r w:rsidRPr="00A2347D">
        <w:rPr>
          <w:sz w:val="18"/>
          <w:szCs w:val="18"/>
        </w:rPr>
        <w:t xml:space="preserve"> http://www.globalsalmoninitiative.org/sustainability-report/</w:t>
      </w:r>
      <w:r w:rsidRPr="007101E3">
        <w:rPr>
          <w:sz w:val="18"/>
          <w:szCs w:val="18"/>
        </w:rPr>
        <w:t>.</w:t>
      </w:r>
    </w:p>
  </w:footnote>
  <w:footnote w:id="5">
    <w:p w:rsidR="0075341A" w:rsidRPr="00EB2303" w:rsidRDefault="0075341A" w:rsidP="005853BE">
      <w:pPr>
        <w:spacing w:after="0"/>
      </w:pPr>
      <w:r w:rsidRPr="00A2347D">
        <w:rPr>
          <w:sz w:val="18"/>
          <w:szCs w:val="18"/>
          <w:vertAlign w:val="superscript"/>
        </w:rPr>
        <w:footnoteRef/>
      </w:r>
      <w:r w:rsidRPr="00A2347D">
        <w:rPr>
          <w:sz w:val="18"/>
          <w:szCs w:val="18"/>
        </w:rPr>
        <w:t xml:space="preserve"> Anon, 2014. National Aquaculture Research and Development Strategic Plan. National Program 106: Aquaculture. Agricultural</w:t>
      </w:r>
      <w:r>
        <w:rPr>
          <w:sz w:val="18"/>
          <w:szCs w:val="18"/>
        </w:rPr>
        <w:t xml:space="preserve"> Research Service, USDA. 22 pp.</w:t>
      </w:r>
      <w:r>
        <w:t xml:space="preserve"> </w:t>
      </w:r>
      <w:hyperlink r:id="rId1" w:history="1">
        <w:r w:rsidRPr="00A2347D">
          <w:rPr>
            <w:sz w:val="18"/>
            <w:szCs w:val="18"/>
          </w:rPr>
          <w:t>http://www.nmfs.noaa.gov/aquaculture/docs/research/jsa_draft_aq_research_plan.pdf</w:t>
        </w:r>
      </w:hyperlink>
      <w:r w:rsidRPr="007101E3">
        <w:rPr>
          <w:sz w:val="18"/>
          <w:szCs w:val="18"/>
        </w:rPr>
        <w:t>.</w:t>
      </w:r>
    </w:p>
  </w:footnote>
  <w:footnote w:id="6">
    <w:p w:rsidR="0075341A" w:rsidRDefault="0075341A" w:rsidP="005853BE">
      <w:pPr>
        <w:pStyle w:val="FootnoteText"/>
      </w:pPr>
      <w:r w:rsidRPr="00A2347D">
        <w:rPr>
          <w:sz w:val="18"/>
          <w:szCs w:val="18"/>
          <w:vertAlign w:val="superscript"/>
        </w:rPr>
        <w:footnoteRef/>
      </w:r>
      <w:r w:rsidRPr="00A2347D">
        <w:rPr>
          <w:sz w:val="18"/>
          <w:szCs w:val="18"/>
        </w:rPr>
        <w:t xml:space="preserve"> </w:t>
      </w:r>
      <w:proofErr w:type="gramStart"/>
      <w:r w:rsidRPr="00A2347D">
        <w:rPr>
          <w:sz w:val="18"/>
          <w:szCs w:val="18"/>
        </w:rPr>
        <w:t>Ahmed, M. and Lorica, M.H., 2002.</w:t>
      </w:r>
      <w:proofErr w:type="gramEnd"/>
      <w:r w:rsidRPr="00A2347D">
        <w:rPr>
          <w:sz w:val="18"/>
          <w:szCs w:val="18"/>
        </w:rPr>
        <w:t xml:space="preserve"> Improving developing country food security through aquaculture development – lessons from Asia. Food Policy, 27: 125-141.</w:t>
      </w:r>
    </w:p>
  </w:footnote>
  <w:footnote w:id="7">
    <w:p w:rsidR="0075341A" w:rsidRPr="007101E3" w:rsidRDefault="0075341A" w:rsidP="005853BE">
      <w:pPr>
        <w:pStyle w:val="FootnoteText"/>
        <w:rPr>
          <w:rFonts w:cs="Times New Roman"/>
          <w:lang w:val="en-US"/>
        </w:rPr>
      </w:pPr>
      <w:r w:rsidRPr="00A2347D">
        <w:rPr>
          <w:sz w:val="18"/>
          <w:szCs w:val="18"/>
          <w:vertAlign w:val="superscript"/>
        </w:rPr>
        <w:footnoteRef/>
      </w:r>
      <w:r w:rsidRPr="00A2347D">
        <w:rPr>
          <w:sz w:val="18"/>
          <w:szCs w:val="18"/>
        </w:rPr>
        <w:t xml:space="preserve">Asian </w:t>
      </w:r>
      <w:r w:rsidRPr="00713D04">
        <w:rPr>
          <w:rFonts w:cs="Times New Roman"/>
          <w:sz w:val="18"/>
          <w:szCs w:val="18"/>
        </w:rPr>
        <w:t>Development Bank. 2005. An impact evaluation of GIFT. http://www.adb.org/sites/default/files/publication/29623/ies-tilapia-dissemination.pdf</w:t>
      </w:r>
      <w:r w:rsidRPr="007101E3">
        <w:rPr>
          <w:rFonts w:cs="Times New Roman"/>
          <w:sz w:val="18"/>
          <w:szCs w:val="18"/>
          <w:lang w:val="en-US"/>
        </w:rPr>
        <w:t>.</w:t>
      </w:r>
    </w:p>
  </w:footnote>
  <w:footnote w:id="8">
    <w:p w:rsidR="0075341A" w:rsidRPr="00942B17" w:rsidRDefault="0075341A" w:rsidP="005853BE">
      <w:pPr>
        <w:pStyle w:val="FootnoteText"/>
        <w:rPr>
          <w:lang w:val="ru-RU"/>
        </w:rPr>
      </w:pPr>
      <w:r w:rsidRPr="00713D04">
        <w:rPr>
          <w:rFonts w:cs="Times New Roman"/>
          <w:sz w:val="18"/>
          <w:szCs w:val="18"/>
          <w:vertAlign w:val="superscript"/>
        </w:rPr>
        <w:footnoteRef/>
      </w:r>
      <w:r w:rsidRPr="00942B17">
        <w:rPr>
          <w:rFonts w:eastAsia="Arial Unicode MS" w:cs="Times New Roman"/>
          <w:sz w:val="18"/>
          <w:szCs w:val="18"/>
          <w:lang w:val="ru-RU"/>
        </w:rPr>
        <w:t xml:space="preserve"> </w:t>
      </w:r>
      <w:r w:rsidRPr="00713D04">
        <w:rPr>
          <w:rFonts w:eastAsia="Arial Unicode MS" w:cs="Times New Roman"/>
          <w:sz w:val="18"/>
          <w:szCs w:val="18"/>
          <w:lang w:val="ru-RU"/>
        </w:rPr>
        <w:t xml:space="preserve">Генетически улучшенная </w:t>
      </w:r>
      <w:r>
        <w:rPr>
          <w:rFonts w:eastAsia="Arial Unicode MS" w:cs="Times New Roman"/>
          <w:sz w:val="18"/>
          <w:szCs w:val="18"/>
          <w:lang w:val="ru-RU"/>
        </w:rPr>
        <w:t>культивируемая тилапия.</w:t>
      </w:r>
    </w:p>
  </w:footnote>
  <w:footnote w:id="9">
    <w:p w:rsidR="0075341A" w:rsidRPr="00942B17" w:rsidRDefault="0075341A" w:rsidP="005853BE">
      <w:pPr>
        <w:pStyle w:val="FootnoteText"/>
        <w:rPr>
          <w:lang w:val="ru-RU"/>
        </w:rPr>
      </w:pPr>
      <w:r w:rsidRPr="00506BCF">
        <w:rPr>
          <w:sz w:val="18"/>
          <w:szCs w:val="18"/>
          <w:vertAlign w:val="superscript"/>
        </w:rPr>
        <w:footnoteRef/>
      </w:r>
      <w:r w:rsidRPr="00942B17">
        <w:rPr>
          <w:rFonts w:eastAsia="Arial Unicode MS" w:hAnsi="Arial Unicode MS" w:cs="Arial Unicode MS"/>
          <w:sz w:val="18"/>
          <w:szCs w:val="18"/>
          <w:lang w:val="ru-RU"/>
        </w:rPr>
        <w:t xml:space="preserve"> </w:t>
      </w:r>
      <w:r w:rsidRPr="00713D04">
        <w:rPr>
          <w:rFonts w:eastAsia="Arial Unicode MS" w:cs="Times New Roman"/>
          <w:sz w:val="18"/>
          <w:szCs w:val="18"/>
          <w:lang w:val="ru-RU"/>
        </w:rPr>
        <w:t>Программа развития ООН.</w:t>
      </w:r>
    </w:p>
  </w:footnote>
  <w:footnote w:id="10">
    <w:p w:rsidR="0075341A" w:rsidRPr="007101E3" w:rsidRDefault="0075341A" w:rsidP="005853BE">
      <w:pPr>
        <w:pStyle w:val="FootnoteText"/>
        <w:rPr>
          <w:lang w:val="en-US"/>
        </w:rPr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0B22FA">
        <w:rPr>
          <w:rFonts w:cs="Times New Roman"/>
          <w:sz w:val="18"/>
          <w:szCs w:val="18"/>
          <w:lang w:val="en-US"/>
        </w:rPr>
        <w:t xml:space="preserve"> </w:t>
      </w:r>
      <w:r w:rsidRPr="00A2347D">
        <w:rPr>
          <w:rFonts w:cs="Times New Roman"/>
          <w:sz w:val="18"/>
          <w:szCs w:val="18"/>
        </w:rPr>
        <w:t>FAO Fisheries Department</w:t>
      </w:r>
      <w:r w:rsidRPr="000B22FA">
        <w:rPr>
          <w:rFonts w:cs="Times New Roman"/>
          <w:sz w:val="18"/>
          <w:szCs w:val="18"/>
          <w:lang w:val="en-US"/>
        </w:rPr>
        <w:t xml:space="preserve">. </w:t>
      </w:r>
      <w:r w:rsidRPr="00A2347D">
        <w:rPr>
          <w:rFonts w:cs="Times New Roman"/>
          <w:sz w:val="18"/>
          <w:szCs w:val="18"/>
        </w:rPr>
        <w:t>State</w:t>
      </w:r>
      <w:r w:rsidRPr="000B22FA">
        <w:rPr>
          <w:rFonts w:cs="Times New Roman"/>
          <w:sz w:val="18"/>
          <w:szCs w:val="18"/>
          <w:lang w:val="en-US"/>
        </w:rPr>
        <w:t xml:space="preserve"> </w:t>
      </w:r>
      <w:r w:rsidRPr="00A2347D">
        <w:rPr>
          <w:rFonts w:cs="Times New Roman"/>
          <w:sz w:val="18"/>
          <w:szCs w:val="18"/>
        </w:rPr>
        <w:t>of</w:t>
      </w:r>
      <w:r w:rsidRPr="000B22FA">
        <w:rPr>
          <w:rFonts w:cs="Times New Roman"/>
          <w:sz w:val="18"/>
          <w:szCs w:val="18"/>
          <w:lang w:val="en-US"/>
        </w:rPr>
        <w:t xml:space="preserve"> </w:t>
      </w:r>
      <w:r w:rsidRPr="00A2347D">
        <w:rPr>
          <w:rFonts w:cs="Times New Roman"/>
          <w:sz w:val="18"/>
          <w:szCs w:val="18"/>
        </w:rPr>
        <w:t>world</w:t>
      </w:r>
      <w:r w:rsidRPr="000B22FA">
        <w:rPr>
          <w:rFonts w:cs="Times New Roman"/>
          <w:sz w:val="18"/>
          <w:szCs w:val="18"/>
          <w:lang w:val="en-US"/>
        </w:rPr>
        <w:t xml:space="preserve"> </w:t>
      </w:r>
      <w:r w:rsidRPr="00A2347D">
        <w:rPr>
          <w:rFonts w:cs="Times New Roman"/>
          <w:sz w:val="18"/>
          <w:szCs w:val="18"/>
        </w:rPr>
        <w:t>aquaculture</w:t>
      </w:r>
      <w:r w:rsidRPr="000B22FA">
        <w:rPr>
          <w:rFonts w:cs="Times New Roman"/>
          <w:sz w:val="18"/>
          <w:szCs w:val="18"/>
          <w:lang w:val="en-US"/>
        </w:rPr>
        <w:t xml:space="preserve"> 2006. </w:t>
      </w:r>
      <w:r w:rsidRPr="00A2347D">
        <w:rPr>
          <w:rFonts w:cs="Times New Roman"/>
          <w:sz w:val="18"/>
          <w:szCs w:val="18"/>
        </w:rPr>
        <w:t>FAO Fisheries Technical Paper. No. 500. Rome, FAO. 2006. 134 pp. http://www.fao.org/3/a-</w:t>
      </w:r>
      <w:proofErr w:type="gramStart"/>
      <w:r w:rsidRPr="00A2347D">
        <w:rPr>
          <w:rFonts w:cs="Times New Roman"/>
          <w:sz w:val="18"/>
          <w:szCs w:val="18"/>
        </w:rPr>
        <w:t xml:space="preserve">a0874e.pdf </w:t>
      </w:r>
      <w:r w:rsidRPr="007101E3">
        <w:rPr>
          <w:rFonts w:cs="Times New Roman"/>
          <w:sz w:val="18"/>
          <w:szCs w:val="18"/>
          <w:lang w:val="en-US"/>
        </w:rPr>
        <w:t>.</w:t>
      </w:r>
      <w:proofErr w:type="gramEnd"/>
    </w:p>
  </w:footnote>
  <w:footnote w:id="11">
    <w:p w:rsidR="0075341A" w:rsidRDefault="0075341A" w:rsidP="005853BE">
      <w:pPr>
        <w:pStyle w:val="FootnoteText"/>
      </w:pPr>
      <w:r w:rsidRPr="00A2347D">
        <w:rPr>
          <w:rStyle w:val="FootnoteReference"/>
          <w:rFonts w:cs="Times New Roman"/>
          <w:sz w:val="18"/>
          <w:szCs w:val="18"/>
        </w:rPr>
        <w:footnoteRef/>
      </w:r>
      <w:r w:rsidRPr="00A2347D">
        <w:rPr>
          <w:rFonts w:cs="Times New Roman"/>
          <w:sz w:val="18"/>
          <w:szCs w:val="18"/>
        </w:rPr>
        <w:t xml:space="preserve"> Davy, F.B., Soto, D., Bhat, V., Umesh, N.R., Yucel-Gier, G., Hough, C.A.M., Derun, Y., Infante, R., Ingram, B., </w:t>
      </w:r>
      <w:proofErr w:type="spellStart"/>
      <w:r w:rsidRPr="00A2347D">
        <w:rPr>
          <w:rFonts w:cs="Times New Roman"/>
          <w:sz w:val="18"/>
          <w:szCs w:val="18"/>
        </w:rPr>
        <w:t>Phoung</w:t>
      </w:r>
      <w:proofErr w:type="spellEnd"/>
      <w:r w:rsidRPr="00A2347D">
        <w:rPr>
          <w:rFonts w:cs="Times New Roman"/>
          <w:sz w:val="18"/>
          <w:szCs w:val="18"/>
        </w:rPr>
        <w:t xml:space="preserve">, N.T., Wilkinson, S. &amp; De Silva, S.S. 2012. </w:t>
      </w:r>
      <w:proofErr w:type="gramStart"/>
      <w:r w:rsidRPr="00A2347D">
        <w:rPr>
          <w:rFonts w:cs="Times New Roman"/>
          <w:sz w:val="18"/>
          <w:szCs w:val="18"/>
        </w:rPr>
        <w:t>Investing in knowledge, communications and training/extension for responsible aquaculture.</w:t>
      </w:r>
      <w:proofErr w:type="gramEnd"/>
      <w:r w:rsidRPr="00A2347D">
        <w:rPr>
          <w:rFonts w:cs="Times New Roman"/>
          <w:sz w:val="18"/>
          <w:szCs w:val="18"/>
        </w:rPr>
        <w:t xml:space="preserve"> </w:t>
      </w:r>
      <w:r w:rsidRPr="00A2347D">
        <w:rPr>
          <w:rFonts w:cs="Times New Roman"/>
          <w:i/>
          <w:sz w:val="18"/>
          <w:szCs w:val="18"/>
        </w:rPr>
        <w:t>In</w:t>
      </w:r>
      <w:r w:rsidRPr="00A2347D">
        <w:rPr>
          <w:rFonts w:cs="Times New Roman"/>
          <w:sz w:val="18"/>
          <w:szCs w:val="18"/>
        </w:rPr>
        <w:t xml:space="preserve"> R.P. </w:t>
      </w:r>
      <w:proofErr w:type="spellStart"/>
      <w:r w:rsidRPr="00A2347D">
        <w:rPr>
          <w:rFonts w:cs="Times New Roman"/>
          <w:sz w:val="18"/>
          <w:szCs w:val="18"/>
        </w:rPr>
        <w:t>Subasinghe</w:t>
      </w:r>
      <w:proofErr w:type="spellEnd"/>
      <w:r w:rsidRPr="00A2347D">
        <w:rPr>
          <w:rFonts w:cs="Times New Roman"/>
          <w:sz w:val="18"/>
          <w:szCs w:val="18"/>
        </w:rPr>
        <w:t xml:space="preserve">, J.R. Arthur, D.M. Bartley, S.S. De Silva, M. </w:t>
      </w:r>
      <w:proofErr w:type="spellStart"/>
      <w:r w:rsidRPr="00A2347D">
        <w:rPr>
          <w:rFonts w:cs="Times New Roman"/>
          <w:sz w:val="18"/>
          <w:szCs w:val="18"/>
        </w:rPr>
        <w:t>Halwart</w:t>
      </w:r>
      <w:proofErr w:type="spellEnd"/>
      <w:r w:rsidRPr="00A2347D">
        <w:rPr>
          <w:rFonts w:cs="Times New Roman"/>
          <w:sz w:val="18"/>
          <w:szCs w:val="18"/>
        </w:rPr>
        <w:t xml:space="preserve">, N. </w:t>
      </w:r>
      <w:proofErr w:type="spellStart"/>
      <w:r w:rsidRPr="00A2347D">
        <w:rPr>
          <w:rFonts w:cs="Times New Roman"/>
          <w:sz w:val="18"/>
          <w:szCs w:val="18"/>
        </w:rPr>
        <w:t>Hishamunda</w:t>
      </w:r>
      <w:proofErr w:type="spellEnd"/>
      <w:r w:rsidRPr="00A2347D">
        <w:rPr>
          <w:rFonts w:cs="Times New Roman"/>
          <w:sz w:val="18"/>
          <w:szCs w:val="18"/>
        </w:rPr>
        <w:t xml:space="preserve">, C.V. Mohan &amp; P. </w:t>
      </w:r>
      <w:proofErr w:type="spellStart"/>
      <w:r w:rsidRPr="00A2347D">
        <w:rPr>
          <w:rFonts w:cs="Times New Roman"/>
          <w:sz w:val="18"/>
          <w:szCs w:val="18"/>
        </w:rPr>
        <w:t>Sorgeloos</w:t>
      </w:r>
      <w:proofErr w:type="spellEnd"/>
      <w:r w:rsidRPr="00A2347D">
        <w:rPr>
          <w:rFonts w:cs="Times New Roman"/>
          <w:sz w:val="18"/>
          <w:szCs w:val="18"/>
        </w:rPr>
        <w:t xml:space="preserve">, eds. Farming the Waters for People and Food. </w:t>
      </w:r>
      <w:proofErr w:type="gramStart"/>
      <w:r w:rsidRPr="00A2347D">
        <w:rPr>
          <w:rFonts w:cs="Times New Roman"/>
          <w:sz w:val="18"/>
          <w:szCs w:val="18"/>
        </w:rPr>
        <w:t>Proceedings of the Global Conference on Aquaculture 2010, Phuket, Thailand.</w:t>
      </w:r>
      <w:proofErr w:type="gramEnd"/>
      <w:r w:rsidRPr="00A2347D">
        <w:rPr>
          <w:rFonts w:cs="Times New Roman"/>
          <w:sz w:val="18"/>
          <w:szCs w:val="18"/>
        </w:rPr>
        <w:t xml:space="preserve"> 22–25 September 2010. pp. 569 – 625. FAO, Rome and NACA, Bangkok.</w:t>
      </w:r>
    </w:p>
  </w:footnote>
  <w:footnote w:id="12">
    <w:p w:rsidR="0075341A" w:rsidRPr="00105B5D" w:rsidRDefault="0075341A" w:rsidP="005853BE">
      <w:pPr>
        <w:pStyle w:val="FootnoteText"/>
      </w:pPr>
      <w:r w:rsidRPr="00A2347D">
        <w:rPr>
          <w:rStyle w:val="FootnoteReference"/>
          <w:rFonts w:cs="Times New Roman"/>
          <w:sz w:val="18"/>
          <w:szCs w:val="18"/>
        </w:rPr>
        <w:footnoteRef/>
      </w:r>
      <w:r w:rsidRPr="00A2347D">
        <w:rPr>
          <w:rFonts w:cs="Times New Roman"/>
          <w:sz w:val="18"/>
          <w:szCs w:val="18"/>
        </w:rPr>
        <w:t xml:space="preserve"> </w:t>
      </w:r>
      <w:hyperlink r:id="rId2" w:history="1">
        <w:r w:rsidRPr="00A2347D">
          <w:rPr>
            <w:rFonts w:cs="Times New Roman"/>
            <w:sz w:val="18"/>
            <w:szCs w:val="18"/>
            <w:lang w:eastAsia="en-GB"/>
          </w:rPr>
          <w:t>http://www.fao.org/3/a-ad351e.pdf</w:t>
        </w:r>
      </w:hyperlink>
      <w:r w:rsidRPr="007101E3">
        <w:rPr>
          <w:rFonts w:cs="Times New Roman"/>
          <w:sz w:val="18"/>
          <w:szCs w:val="18"/>
          <w:lang w:eastAsia="en-GB"/>
        </w:rPr>
        <w:t>.</w:t>
      </w:r>
    </w:p>
  </w:footnote>
  <w:footnote w:id="13">
    <w:p w:rsidR="0075341A" w:rsidRDefault="0075341A" w:rsidP="005853BE">
      <w:pPr>
        <w:spacing w:after="0"/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rFonts w:cs="Times New Roman"/>
          <w:sz w:val="18"/>
          <w:szCs w:val="18"/>
        </w:rPr>
        <w:t xml:space="preserve"> Kaushik, S.J.</w:t>
      </w:r>
      <w:r w:rsidRPr="00A2347D">
        <w:rPr>
          <w:rFonts w:cs="Times New Roman"/>
          <w:b/>
          <w:bCs/>
          <w:sz w:val="18"/>
          <w:szCs w:val="18"/>
        </w:rPr>
        <w:t xml:space="preserve"> </w:t>
      </w:r>
      <w:r w:rsidRPr="00A2347D">
        <w:rPr>
          <w:rFonts w:cs="Times New Roman"/>
          <w:sz w:val="18"/>
          <w:szCs w:val="18"/>
        </w:rPr>
        <w:t xml:space="preserve">2013. Feed management and on-farm feeding practices of temperate fish with special reference to salmonids. </w:t>
      </w:r>
      <w:proofErr w:type="gramStart"/>
      <w:r w:rsidRPr="00A2347D">
        <w:rPr>
          <w:rFonts w:cs="Times New Roman"/>
          <w:i/>
          <w:iCs/>
          <w:sz w:val="18"/>
          <w:szCs w:val="18"/>
        </w:rPr>
        <w:t xml:space="preserve">In </w:t>
      </w:r>
      <w:r w:rsidRPr="00A2347D">
        <w:rPr>
          <w:rFonts w:cs="Times New Roman"/>
          <w:sz w:val="18"/>
          <w:szCs w:val="18"/>
        </w:rPr>
        <w:t>M.R. Hasan &amp; M.B.</w:t>
      </w:r>
      <w:proofErr w:type="gramEnd"/>
      <w:r w:rsidRPr="00A2347D">
        <w:rPr>
          <w:rFonts w:cs="Times New Roman"/>
          <w:sz w:val="18"/>
          <w:szCs w:val="18"/>
        </w:rPr>
        <w:t xml:space="preserve"> </w:t>
      </w:r>
      <w:proofErr w:type="gramStart"/>
      <w:r w:rsidRPr="00A2347D">
        <w:rPr>
          <w:rFonts w:cs="Times New Roman"/>
          <w:sz w:val="18"/>
          <w:szCs w:val="18"/>
        </w:rPr>
        <w:t xml:space="preserve">New, eds. </w:t>
      </w:r>
      <w:r w:rsidRPr="00A2347D">
        <w:rPr>
          <w:rFonts w:cs="Times New Roman"/>
          <w:i/>
          <w:iCs/>
          <w:sz w:val="18"/>
          <w:szCs w:val="18"/>
        </w:rPr>
        <w:t>On-farm</w:t>
      </w:r>
      <w:r w:rsidRPr="00A2347D">
        <w:rPr>
          <w:rFonts w:cs="Times New Roman"/>
          <w:sz w:val="18"/>
          <w:szCs w:val="18"/>
        </w:rPr>
        <w:t xml:space="preserve"> </w:t>
      </w:r>
      <w:r w:rsidRPr="00A2347D">
        <w:rPr>
          <w:rFonts w:cs="Times New Roman"/>
          <w:i/>
          <w:iCs/>
          <w:sz w:val="18"/>
          <w:szCs w:val="18"/>
        </w:rPr>
        <w:t xml:space="preserve">feeding and feed management in aquaculture, </w:t>
      </w:r>
      <w:r w:rsidRPr="00A2347D">
        <w:rPr>
          <w:rFonts w:cs="Times New Roman"/>
          <w:sz w:val="18"/>
          <w:szCs w:val="18"/>
        </w:rPr>
        <w:t>pp. 519 – 551.</w:t>
      </w:r>
      <w:proofErr w:type="gramEnd"/>
      <w:r w:rsidRPr="00A2347D">
        <w:rPr>
          <w:rFonts w:cs="Times New Roman"/>
          <w:sz w:val="18"/>
          <w:szCs w:val="18"/>
        </w:rPr>
        <w:t xml:space="preserve"> FAO Fisheries and Aquaculture Technical Paper No. 583. Rome, FAO. </w:t>
      </w:r>
      <w:proofErr w:type="gramStart"/>
      <w:r w:rsidRPr="00A2347D">
        <w:rPr>
          <w:rFonts w:cs="Times New Roman"/>
          <w:sz w:val="18"/>
          <w:szCs w:val="18"/>
        </w:rPr>
        <w:t>585 pp.</w:t>
      </w:r>
      <w:proofErr w:type="gramEnd"/>
    </w:p>
  </w:footnote>
  <w:footnote w:id="14">
    <w:p w:rsidR="0075341A" w:rsidRDefault="0075341A" w:rsidP="005853BE">
      <w:pPr>
        <w:spacing w:after="0"/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rFonts w:cs="Times New Roman"/>
          <w:sz w:val="18"/>
          <w:szCs w:val="18"/>
        </w:rPr>
        <w:t xml:space="preserve"> </w:t>
      </w:r>
      <w:proofErr w:type="gramStart"/>
      <w:r w:rsidRPr="00A2347D">
        <w:rPr>
          <w:rFonts w:cs="Times New Roman"/>
          <w:sz w:val="18"/>
          <w:szCs w:val="18"/>
        </w:rPr>
        <w:t>Robb, D.H.F. and Crampton, V.O.</w:t>
      </w:r>
      <w:r w:rsidRPr="00A2347D">
        <w:rPr>
          <w:rFonts w:cs="Times New Roman"/>
          <w:b/>
          <w:bCs/>
          <w:sz w:val="18"/>
          <w:szCs w:val="18"/>
        </w:rPr>
        <w:t xml:space="preserve"> </w:t>
      </w:r>
      <w:r w:rsidRPr="00A2347D">
        <w:rPr>
          <w:rFonts w:cs="Times New Roman"/>
          <w:sz w:val="18"/>
          <w:szCs w:val="18"/>
        </w:rPr>
        <w:t>2013.</w:t>
      </w:r>
      <w:proofErr w:type="gramEnd"/>
      <w:r w:rsidRPr="00A2347D">
        <w:rPr>
          <w:rFonts w:cs="Times New Roman"/>
          <w:sz w:val="18"/>
          <w:szCs w:val="18"/>
        </w:rPr>
        <w:t xml:space="preserve"> On-farm feeding and feed management: perspectives from the fish feed industry. </w:t>
      </w:r>
      <w:proofErr w:type="gramStart"/>
      <w:r w:rsidRPr="00A2347D">
        <w:rPr>
          <w:rFonts w:cs="Times New Roman"/>
          <w:i/>
          <w:iCs/>
          <w:sz w:val="18"/>
          <w:szCs w:val="18"/>
        </w:rPr>
        <w:t xml:space="preserve">In </w:t>
      </w:r>
      <w:r w:rsidRPr="00A2347D">
        <w:rPr>
          <w:rFonts w:cs="Times New Roman"/>
          <w:sz w:val="18"/>
          <w:szCs w:val="18"/>
        </w:rPr>
        <w:t>M.R. Hasan and M.B.</w:t>
      </w:r>
      <w:proofErr w:type="gramEnd"/>
      <w:r w:rsidRPr="00A2347D">
        <w:rPr>
          <w:rFonts w:cs="Times New Roman"/>
          <w:sz w:val="18"/>
          <w:szCs w:val="18"/>
        </w:rPr>
        <w:t xml:space="preserve"> </w:t>
      </w:r>
      <w:proofErr w:type="gramStart"/>
      <w:r w:rsidRPr="00A2347D">
        <w:rPr>
          <w:rFonts w:cs="Times New Roman"/>
          <w:sz w:val="18"/>
          <w:szCs w:val="18"/>
        </w:rPr>
        <w:t xml:space="preserve">New, eds. </w:t>
      </w:r>
      <w:r w:rsidRPr="00A2347D">
        <w:rPr>
          <w:rFonts w:cs="Times New Roman"/>
          <w:i/>
          <w:iCs/>
          <w:sz w:val="18"/>
          <w:szCs w:val="18"/>
        </w:rPr>
        <w:t>On-farm feeding and feed management in</w:t>
      </w:r>
      <w:r w:rsidRPr="00A2347D">
        <w:rPr>
          <w:rFonts w:cs="Times New Roman"/>
          <w:sz w:val="18"/>
          <w:szCs w:val="18"/>
        </w:rPr>
        <w:t xml:space="preserve"> </w:t>
      </w:r>
      <w:r w:rsidRPr="00A2347D">
        <w:rPr>
          <w:rFonts w:cs="Times New Roman"/>
          <w:i/>
          <w:iCs/>
          <w:sz w:val="18"/>
          <w:szCs w:val="18"/>
        </w:rPr>
        <w:t xml:space="preserve">aquaculture, </w:t>
      </w:r>
      <w:r w:rsidRPr="00A2347D">
        <w:rPr>
          <w:rFonts w:cs="Times New Roman"/>
          <w:sz w:val="18"/>
          <w:szCs w:val="18"/>
        </w:rPr>
        <w:t>pp. pp. 489 – 518</w:t>
      </w:r>
      <w:r w:rsidRPr="00A2347D">
        <w:rPr>
          <w:rFonts w:cs="Times New Roman"/>
          <w:i/>
          <w:iCs/>
          <w:sz w:val="18"/>
          <w:szCs w:val="18"/>
        </w:rPr>
        <w:t>.</w:t>
      </w:r>
      <w:proofErr w:type="gramEnd"/>
      <w:r w:rsidRPr="00A2347D">
        <w:rPr>
          <w:rFonts w:cs="Times New Roman"/>
          <w:i/>
          <w:iCs/>
          <w:sz w:val="18"/>
          <w:szCs w:val="18"/>
        </w:rPr>
        <w:t xml:space="preserve"> </w:t>
      </w:r>
      <w:r w:rsidRPr="00A2347D">
        <w:rPr>
          <w:rFonts w:cs="Times New Roman"/>
          <w:sz w:val="18"/>
          <w:szCs w:val="18"/>
        </w:rPr>
        <w:t xml:space="preserve">FAO Fisheries and Aquaculture Technical Paper No. 583. Rome, FAO. </w:t>
      </w:r>
      <w:proofErr w:type="gramStart"/>
      <w:r w:rsidRPr="00A2347D">
        <w:rPr>
          <w:rFonts w:cs="Times New Roman"/>
          <w:sz w:val="18"/>
          <w:szCs w:val="18"/>
        </w:rPr>
        <w:t>585 pp.</w:t>
      </w:r>
      <w:proofErr w:type="gramEnd"/>
    </w:p>
  </w:footnote>
  <w:footnote w:id="15">
    <w:p w:rsidR="0075341A" w:rsidRDefault="0075341A" w:rsidP="005853BE">
      <w:pPr>
        <w:pStyle w:val="FootnoteText"/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rFonts w:cs="Times New Roman"/>
          <w:sz w:val="18"/>
          <w:szCs w:val="18"/>
        </w:rPr>
        <w:t xml:space="preserve"> http://www.wri.org/events/2014/06/improving-productivity-and-environmental-performance</w:t>
      </w:r>
      <w:r w:rsidRPr="007101E3">
        <w:rPr>
          <w:rFonts w:cs="Times New Roman"/>
          <w:sz w:val="18"/>
          <w:szCs w:val="18"/>
        </w:rPr>
        <w:t>.</w:t>
      </w:r>
      <w:r w:rsidRPr="00A2347D">
        <w:rPr>
          <w:rFonts w:cs="Times New Roman"/>
          <w:sz w:val="18"/>
          <w:szCs w:val="18"/>
        </w:rPr>
        <w:t xml:space="preserve"> </w:t>
      </w:r>
    </w:p>
  </w:footnote>
  <w:footnote w:id="16">
    <w:p w:rsidR="0075341A" w:rsidRPr="007101E3" w:rsidRDefault="0075341A" w:rsidP="005853BE">
      <w:pPr>
        <w:pStyle w:val="FootnoteText"/>
        <w:rPr>
          <w:lang w:val="en-US"/>
        </w:rPr>
      </w:pPr>
      <w:r w:rsidRPr="00A2347D">
        <w:rPr>
          <w:rStyle w:val="FootnoteReference"/>
          <w:rFonts w:cs="Times New Roman"/>
          <w:sz w:val="18"/>
          <w:szCs w:val="18"/>
        </w:rPr>
        <w:footnoteRef/>
      </w:r>
      <w:r w:rsidRPr="00A2347D">
        <w:rPr>
          <w:rFonts w:cs="Times New Roman"/>
          <w:sz w:val="18"/>
          <w:szCs w:val="18"/>
        </w:rPr>
        <w:t xml:space="preserve"> </w:t>
      </w:r>
      <w:proofErr w:type="spellStart"/>
      <w:r w:rsidRPr="00A2347D">
        <w:rPr>
          <w:rFonts w:cs="Times New Roman"/>
          <w:sz w:val="18"/>
          <w:szCs w:val="18"/>
        </w:rPr>
        <w:t>Tacon</w:t>
      </w:r>
      <w:proofErr w:type="spellEnd"/>
      <w:r w:rsidRPr="00A2347D">
        <w:rPr>
          <w:rFonts w:cs="Times New Roman"/>
          <w:sz w:val="18"/>
          <w:szCs w:val="18"/>
        </w:rPr>
        <w:t xml:space="preserve">, A.G.J., Hasan, M.R. and </w:t>
      </w:r>
      <w:proofErr w:type="spellStart"/>
      <w:r w:rsidRPr="00A2347D">
        <w:rPr>
          <w:rFonts w:cs="Times New Roman"/>
          <w:sz w:val="18"/>
          <w:szCs w:val="18"/>
        </w:rPr>
        <w:t>Metian</w:t>
      </w:r>
      <w:proofErr w:type="spellEnd"/>
      <w:r w:rsidRPr="00A2347D">
        <w:rPr>
          <w:rFonts w:cs="Times New Roman"/>
          <w:sz w:val="18"/>
          <w:szCs w:val="18"/>
        </w:rPr>
        <w:t xml:space="preserve">, M. 2011. </w:t>
      </w:r>
      <w:r w:rsidRPr="00A2347D">
        <w:rPr>
          <w:rFonts w:cs="Times New Roman"/>
          <w:i/>
          <w:iCs/>
          <w:sz w:val="18"/>
          <w:szCs w:val="18"/>
        </w:rPr>
        <w:t>Demand and supply of feed ingredients for farmed fish and crustaceans: trends and</w:t>
      </w:r>
      <w:r w:rsidRPr="00A2347D">
        <w:rPr>
          <w:rFonts w:cs="Times New Roman"/>
          <w:sz w:val="18"/>
          <w:szCs w:val="18"/>
        </w:rPr>
        <w:t xml:space="preserve"> </w:t>
      </w:r>
      <w:r w:rsidRPr="00A2347D">
        <w:rPr>
          <w:rFonts w:cs="Times New Roman"/>
          <w:i/>
          <w:iCs/>
          <w:sz w:val="18"/>
          <w:szCs w:val="18"/>
        </w:rPr>
        <w:t>prospects</w:t>
      </w:r>
      <w:r w:rsidRPr="00A2347D">
        <w:rPr>
          <w:rFonts w:cs="Times New Roman"/>
          <w:sz w:val="18"/>
          <w:szCs w:val="18"/>
        </w:rPr>
        <w:t xml:space="preserve">. FAO Fisheries and Aquaculture Technical Paper No. 564. </w:t>
      </w:r>
      <w:proofErr w:type="gramStart"/>
      <w:r w:rsidRPr="00A2347D">
        <w:rPr>
          <w:rFonts w:cs="Times New Roman"/>
          <w:sz w:val="18"/>
          <w:szCs w:val="18"/>
        </w:rPr>
        <w:t>FAO.</w:t>
      </w:r>
      <w:proofErr w:type="gramEnd"/>
      <w:r w:rsidRPr="00A2347D">
        <w:rPr>
          <w:rFonts w:cs="Times New Roman"/>
          <w:sz w:val="18"/>
          <w:szCs w:val="18"/>
        </w:rPr>
        <w:t xml:space="preserve"> </w:t>
      </w:r>
      <w:proofErr w:type="gramStart"/>
      <w:r w:rsidRPr="00A2347D">
        <w:rPr>
          <w:rFonts w:cs="Times New Roman"/>
          <w:sz w:val="18"/>
          <w:szCs w:val="18"/>
        </w:rPr>
        <w:t>87 pp</w:t>
      </w:r>
      <w:r w:rsidRPr="007101E3">
        <w:rPr>
          <w:rFonts w:cs="Times New Roman"/>
          <w:sz w:val="18"/>
          <w:szCs w:val="18"/>
          <w:lang w:val="en-US"/>
        </w:rPr>
        <w:t>.</w:t>
      </w:r>
      <w:proofErr w:type="gramEnd"/>
    </w:p>
  </w:footnote>
  <w:footnote w:id="17">
    <w:p w:rsidR="0075341A" w:rsidRPr="007101E3" w:rsidRDefault="0075341A" w:rsidP="005853BE">
      <w:pPr>
        <w:spacing w:after="0"/>
        <w:rPr>
          <w:lang w:val="en-US"/>
        </w:rPr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rFonts w:cs="Times New Roman"/>
          <w:sz w:val="18"/>
          <w:szCs w:val="18"/>
        </w:rPr>
        <w:t xml:space="preserve"> </w:t>
      </w:r>
      <w:proofErr w:type="spellStart"/>
      <w:proofErr w:type="gramStart"/>
      <w:r w:rsidRPr="00A2347D">
        <w:rPr>
          <w:rFonts w:cs="Times New Roman"/>
          <w:sz w:val="18"/>
          <w:szCs w:val="18"/>
        </w:rPr>
        <w:t>Asche</w:t>
      </w:r>
      <w:proofErr w:type="spellEnd"/>
      <w:r w:rsidRPr="00A2347D">
        <w:rPr>
          <w:rFonts w:cs="Times New Roman"/>
          <w:sz w:val="18"/>
          <w:szCs w:val="18"/>
        </w:rPr>
        <w:t>, F. and Roll, K.H. 2013.</w:t>
      </w:r>
      <w:proofErr w:type="gramEnd"/>
      <w:r w:rsidRPr="00A2347D">
        <w:rPr>
          <w:rFonts w:cs="Times New Roman"/>
          <w:sz w:val="18"/>
          <w:szCs w:val="18"/>
        </w:rPr>
        <w:t xml:space="preserve"> </w:t>
      </w:r>
      <w:proofErr w:type="gramStart"/>
      <w:r w:rsidRPr="00A2347D">
        <w:rPr>
          <w:rFonts w:cs="Times New Roman"/>
          <w:sz w:val="18"/>
          <w:szCs w:val="18"/>
        </w:rPr>
        <w:t>Determinants of inefficiency in Norwegian salmon aquaculture.</w:t>
      </w:r>
      <w:proofErr w:type="gramEnd"/>
      <w:r w:rsidRPr="00A2347D">
        <w:rPr>
          <w:rFonts w:cs="Times New Roman"/>
          <w:sz w:val="18"/>
          <w:szCs w:val="18"/>
        </w:rPr>
        <w:t xml:space="preserve"> Aquaculture Economics &amp; Management, 17(3): 300-321</w:t>
      </w:r>
      <w:r w:rsidRPr="007101E3">
        <w:rPr>
          <w:rFonts w:cs="Times New Roman"/>
          <w:sz w:val="18"/>
          <w:szCs w:val="18"/>
          <w:lang w:val="en-US"/>
        </w:rPr>
        <w:t>.</w:t>
      </w:r>
    </w:p>
  </w:footnote>
  <w:footnote w:id="18">
    <w:p w:rsidR="0075341A" w:rsidRPr="007101E3" w:rsidRDefault="0075341A" w:rsidP="005853BE">
      <w:pPr>
        <w:pStyle w:val="FootnoteText"/>
        <w:rPr>
          <w:lang w:val="en-US"/>
        </w:rPr>
      </w:pPr>
      <w:r w:rsidRPr="006F4A01">
        <w:rPr>
          <w:sz w:val="18"/>
          <w:szCs w:val="18"/>
          <w:vertAlign w:val="superscript"/>
        </w:rPr>
        <w:footnoteRef/>
      </w:r>
      <w:r w:rsidRPr="006F4A01">
        <w:rPr>
          <w:sz w:val="18"/>
          <w:szCs w:val="18"/>
        </w:rPr>
        <w:t xml:space="preserve"> </w:t>
      </w:r>
      <w:proofErr w:type="gramStart"/>
      <w:r w:rsidRPr="006F4A01">
        <w:rPr>
          <w:sz w:val="18"/>
          <w:szCs w:val="18"/>
        </w:rPr>
        <w:t>NACA/FAO.</w:t>
      </w:r>
      <w:proofErr w:type="gramEnd"/>
      <w:r w:rsidRPr="006F4A01">
        <w:rPr>
          <w:sz w:val="18"/>
          <w:szCs w:val="18"/>
        </w:rPr>
        <w:t xml:space="preserve"> 2000. Aquaculture Development Beyond 2000: the Bangkok Declaration and Strategy. </w:t>
      </w:r>
      <w:proofErr w:type="gramStart"/>
      <w:r w:rsidRPr="006F4A01">
        <w:rPr>
          <w:sz w:val="18"/>
          <w:szCs w:val="18"/>
        </w:rPr>
        <w:t>Conference on Aquaculture in the Third Millennium, 20-25 February 2000, Bangkok, Thailand.</w:t>
      </w:r>
      <w:proofErr w:type="gramEnd"/>
      <w:r w:rsidRPr="006F4A01">
        <w:rPr>
          <w:sz w:val="18"/>
          <w:szCs w:val="18"/>
        </w:rPr>
        <w:t xml:space="preserve"> NACA, Bangkok and FAO, Rome. </w:t>
      </w:r>
      <w:proofErr w:type="gramStart"/>
      <w:r w:rsidRPr="006F4A01">
        <w:rPr>
          <w:sz w:val="18"/>
          <w:szCs w:val="18"/>
        </w:rPr>
        <w:t>27 pp. http://www.fao.org/3/a-ad351e.pdf</w:t>
      </w:r>
      <w:r w:rsidRPr="007101E3">
        <w:rPr>
          <w:sz w:val="18"/>
          <w:szCs w:val="18"/>
          <w:lang w:val="en-US"/>
        </w:rPr>
        <w:t>.</w:t>
      </w:r>
      <w:proofErr w:type="gramEnd"/>
    </w:p>
  </w:footnote>
  <w:footnote w:id="19">
    <w:p w:rsidR="0075341A" w:rsidRPr="007101E3" w:rsidRDefault="0075341A" w:rsidP="005853BE">
      <w:pPr>
        <w:pStyle w:val="FootnoteText"/>
        <w:rPr>
          <w:lang w:val="ru-RU"/>
        </w:rPr>
      </w:pPr>
      <w:r>
        <w:rPr>
          <w:vertAlign w:val="superscript"/>
        </w:rPr>
        <w:footnoteRef/>
      </w:r>
      <w:r w:rsidRPr="007101E3">
        <w:rPr>
          <w:lang w:val="en-US"/>
        </w:rPr>
        <w:t xml:space="preserve"> </w:t>
      </w:r>
      <w:proofErr w:type="spellStart"/>
      <w:r>
        <w:t>Nandeesha</w:t>
      </w:r>
      <w:proofErr w:type="spellEnd"/>
      <w:r>
        <w:t xml:space="preserve">, M.C. 2003. </w:t>
      </w:r>
      <w:proofErr w:type="gramStart"/>
      <w:r>
        <w:t>Aquaculture Education in India – opportunities for global partnership.</w:t>
      </w:r>
      <w:proofErr w:type="gramEnd"/>
      <w:r>
        <w:t xml:space="preserve"> Aquaculture</w:t>
      </w:r>
      <w:r w:rsidRPr="007101E3">
        <w:rPr>
          <w:lang w:val="ru-RU"/>
        </w:rPr>
        <w:t xml:space="preserve"> </w:t>
      </w:r>
      <w:r>
        <w:t>Asia</w:t>
      </w:r>
      <w:r w:rsidRPr="007101E3">
        <w:rPr>
          <w:lang w:val="ru-RU"/>
        </w:rPr>
        <w:t xml:space="preserve">, </w:t>
      </w:r>
      <w:r>
        <w:t>VIII</w:t>
      </w:r>
      <w:r w:rsidRPr="007101E3">
        <w:rPr>
          <w:lang w:val="ru-RU"/>
        </w:rPr>
        <w:t xml:space="preserve"> (2): 26-31.</w:t>
      </w:r>
    </w:p>
  </w:footnote>
  <w:footnote w:id="20">
    <w:p w:rsidR="0075341A" w:rsidRPr="000B22FA" w:rsidRDefault="0075341A" w:rsidP="005853BE">
      <w:pPr>
        <w:pStyle w:val="FootnoteText"/>
        <w:rPr>
          <w:lang w:val="ru-RU"/>
        </w:rPr>
      </w:pPr>
      <w:r>
        <w:rPr>
          <w:vertAlign w:val="superscript"/>
        </w:rPr>
        <w:footnoteRef/>
      </w:r>
      <w:r w:rsidRPr="000B22FA">
        <w:rPr>
          <w:rFonts w:eastAsia="Arial Unicode MS" w:hAnsi="Arial Unicode MS" w:cs="Arial Unicode MS"/>
          <w:lang w:val="ru-RU"/>
        </w:rPr>
        <w:t xml:space="preserve"> </w:t>
      </w:r>
      <w:r w:rsidRPr="000B22FA">
        <w:rPr>
          <w:rFonts w:eastAsia="Arial Unicode MS" w:cs="Times New Roman"/>
          <w:sz w:val="18"/>
          <w:szCs w:val="18"/>
          <w:lang w:val="ru-RU"/>
        </w:rPr>
        <w:t>Центр по развитию рыболовства в Юго-Восточной Азии</w:t>
      </w:r>
      <w:r>
        <w:rPr>
          <w:rFonts w:eastAsia="Arial Unicode MS" w:cs="Times New Roman"/>
          <w:sz w:val="18"/>
          <w:szCs w:val="18"/>
          <w:lang w:val="ru-RU"/>
        </w:rPr>
        <w:t>.</w:t>
      </w:r>
    </w:p>
  </w:footnote>
  <w:footnote w:id="21">
    <w:p w:rsidR="0075341A" w:rsidRPr="00DE62A4" w:rsidRDefault="0075341A" w:rsidP="007101E3">
      <w:pPr>
        <w:pStyle w:val="FootnoteText"/>
        <w:rPr>
          <w:lang w:val="ru-RU"/>
        </w:rPr>
      </w:pPr>
      <w:r>
        <w:rPr>
          <w:vertAlign w:val="superscript"/>
        </w:rPr>
        <w:footnoteRef/>
      </w:r>
      <w:r w:rsidRPr="00DE62A4">
        <w:rPr>
          <w:rFonts w:eastAsia="Arial Unicode MS" w:hAnsi="Arial Unicode MS" w:cs="Arial Unicode MS"/>
          <w:lang w:val="ru-RU"/>
        </w:rPr>
        <w:t xml:space="preserve"> </w:t>
      </w:r>
      <w:r w:rsidR="007101E3" w:rsidRPr="007101E3">
        <w:rPr>
          <w:rFonts w:eastAsia="Arial Unicode MS" w:cs="Times New Roman"/>
          <w:lang w:val="ru-RU"/>
        </w:rPr>
        <w:t xml:space="preserve">Сеть центров по </w:t>
      </w:r>
      <w:proofErr w:type="spellStart"/>
      <w:r w:rsidR="007101E3" w:rsidRPr="007101E3">
        <w:rPr>
          <w:rFonts w:eastAsia="Arial Unicode MS" w:cs="Times New Roman"/>
          <w:lang w:val="ru-RU"/>
        </w:rPr>
        <w:t>аквакультуре</w:t>
      </w:r>
      <w:proofErr w:type="spellEnd"/>
      <w:r w:rsidR="007101E3" w:rsidRPr="007101E3">
        <w:rPr>
          <w:rFonts w:eastAsia="Arial Unicode MS" w:cs="Times New Roman"/>
          <w:lang w:val="ru-RU"/>
        </w:rPr>
        <w:t xml:space="preserve"> в Азиатско-Тихоокеанском регионе</w:t>
      </w:r>
      <w:r w:rsidRPr="00DE62A4">
        <w:rPr>
          <w:rFonts w:eastAsia="Arial Unicode MS" w:cs="Times New Roman"/>
          <w:lang w:val="ru-RU"/>
        </w:rPr>
        <w:t>.</w:t>
      </w:r>
    </w:p>
  </w:footnote>
  <w:footnote w:id="22">
    <w:p w:rsidR="0075341A" w:rsidRPr="00DE62A4" w:rsidRDefault="0075341A" w:rsidP="005853BE">
      <w:pPr>
        <w:pStyle w:val="FootnoteText"/>
        <w:rPr>
          <w:rFonts w:cs="Times New Roman"/>
          <w:lang w:val="ru-RU"/>
        </w:rPr>
      </w:pPr>
      <w:r w:rsidRPr="00A2347D">
        <w:rPr>
          <w:sz w:val="18"/>
          <w:szCs w:val="18"/>
          <w:vertAlign w:val="superscript"/>
        </w:rPr>
        <w:footnoteRef/>
      </w:r>
      <w:r w:rsidRPr="00DE62A4">
        <w:rPr>
          <w:rFonts w:eastAsia="Arial Unicode MS" w:hAnsi="Arial Unicode MS" w:cs="Arial Unicode MS"/>
          <w:sz w:val="18"/>
          <w:szCs w:val="18"/>
          <w:lang w:val="ru-RU"/>
        </w:rPr>
        <w:t xml:space="preserve"> </w:t>
      </w:r>
      <w:r w:rsidRPr="00DE62A4">
        <w:rPr>
          <w:rFonts w:eastAsia="Arial Unicode MS" w:cs="Times New Roman"/>
          <w:sz w:val="18"/>
          <w:szCs w:val="18"/>
          <w:lang w:val="ru-RU"/>
        </w:rPr>
        <w:t>Комиссия по рыболовству и аквакультуре во внутренних водоемах для стран Латинской Америки и Карибского бассейна</w:t>
      </w:r>
      <w:r>
        <w:rPr>
          <w:rFonts w:eastAsia="Arial Unicode MS" w:cs="Times New Roman"/>
          <w:sz w:val="18"/>
          <w:szCs w:val="18"/>
          <w:lang w:val="ru-RU"/>
        </w:rPr>
        <w:t>.</w:t>
      </w:r>
    </w:p>
  </w:footnote>
  <w:footnote w:id="23">
    <w:p w:rsidR="0075341A" w:rsidRPr="00DE62A4" w:rsidRDefault="0075341A" w:rsidP="005853BE">
      <w:pPr>
        <w:pStyle w:val="FootnoteText"/>
        <w:rPr>
          <w:lang w:val="ru-RU"/>
        </w:rPr>
      </w:pPr>
      <w:r w:rsidRPr="00DE62A4">
        <w:rPr>
          <w:rFonts w:cs="Times New Roman"/>
          <w:sz w:val="18"/>
          <w:szCs w:val="18"/>
          <w:vertAlign w:val="superscript"/>
        </w:rPr>
        <w:footnoteRef/>
      </w:r>
      <w:r w:rsidRPr="00DE62A4">
        <w:rPr>
          <w:rFonts w:eastAsia="Arial Unicode MS" w:cs="Times New Roman"/>
          <w:sz w:val="18"/>
          <w:szCs w:val="18"/>
          <w:lang w:val="ru-RU"/>
        </w:rPr>
        <w:t xml:space="preserve"> </w:t>
      </w:r>
      <w:r>
        <w:rPr>
          <w:rFonts w:eastAsia="Arial Unicode MS" w:cs="Times New Roman"/>
          <w:sz w:val="18"/>
          <w:szCs w:val="18"/>
          <w:lang w:val="ru-RU"/>
        </w:rPr>
        <w:t>Ассоциация</w:t>
      </w:r>
      <w:r w:rsidRPr="00DE62A4">
        <w:rPr>
          <w:rFonts w:eastAsia="Arial Unicode MS" w:cs="Times New Roman"/>
          <w:sz w:val="18"/>
          <w:szCs w:val="18"/>
          <w:lang w:val="ru-RU"/>
        </w:rPr>
        <w:t xml:space="preserve"> </w:t>
      </w:r>
      <w:r>
        <w:rPr>
          <w:rFonts w:eastAsia="Arial Unicode MS" w:cs="Times New Roman"/>
          <w:sz w:val="18"/>
          <w:szCs w:val="18"/>
          <w:lang w:val="ru-RU"/>
        </w:rPr>
        <w:t>морских наук западной части Индийского океана.</w:t>
      </w:r>
    </w:p>
  </w:footnote>
  <w:footnote w:id="24">
    <w:p w:rsidR="00F53507" w:rsidRPr="009660D1" w:rsidRDefault="00F53507" w:rsidP="00F53507">
      <w:pPr>
        <w:pStyle w:val="FootnoteText"/>
        <w:rPr>
          <w:lang w:val="ru-RU"/>
        </w:rPr>
      </w:pPr>
      <w:r w:rsidRPr="00A2347D">
        <w:rPr>
          <w:sz w:val="18"/>
          <w:szCs w:val="18"/>
          <w:vertAlign w:val="superscript"/>
        </w:rPr>
        <w:footnoteRef/>
      </w:r>
      <w:r w:rsidRPr="009660D1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Организация экономического сотрудничества и развития.</w:t>
      </w:r>
    </w:p>
  </w:footnote>
  <w:footnote w:id="25">
    <w:p w:rsidR="00F53507" w:rsidRPr="00AE58AF" w:rsidRDefault="00F53507" w:rsidP="00F53507">
      <w:pPr>
        <w:spacing w:after="0"/>
        <w:rPr>
          <w:lang w:val="fr-FR"/>
        </w:rPr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sz w:val="18"/>
          <w:szCs w:val="18"/>
          <w:lang w:val="fr-FR"/>
        </w:rPr>
        <w:t xml:space="preserve"> OECD. 1997. National Innovation Systems. Centre Français d’Exploitation du Droit de Copie (CFC), 3, rue Hautefeuille, 75006 Paris, 48 pp. http://www.oecd.org/science/inno/2101733.pdf</w:t>
      </w:r>
      <w:r w:rsidRPr="00AE58AF">
        <w:rPr>
          <w:sz w:val="18"/>
          <w:szCs w:val="18"/>
          <w:lang w:val="fr-FR"/>
        </w:rPr>
        <w:t>.</w:t>
      </w:r>
      <w:r w:rsidRPr="00A2347D">
        <w:rPr>
          <w:sz w:val="18"/>
          <w:szCs w:val="18"/>
          <w:u w:val="single"/>
          <w:lang w:val="fr-FR"/>
        </w:rPr>
        <w:t xml:space="preserve"> </w:t>
      </w:r>
    </w:p>
  </w:footnote>
  <w:footnote w:id="26">
    <w:p w:rsidR="0075341A" w:rsidRDefault="0075341A" w:rsidP="005853BE">
      <w:pPr>
        <w:spacing w:after="0"/>
      </w:pPr>
      <w:r w:rsidRPr="00A2347D">
        <w:rPr>
          <w:sz w:val="18"/>
          <w:szCs w:val="18"/>
          <w:vertAlign w:val="superscript"/>
        </w:rPr>
        <w:footnoteRef/>
      </w:r>
      <w:r w:rsidRPr="007101E3">
        <w:rPr>
          <w:sz w:val="18"/>
          <w:szCs w:val="18"/>
          <w:lang w:val="en-US"/>
        </w:rPr>
        <w:t xml:space="preserve"> Metcalfe, J.S. 1995. </w:t>
      </w:r>
      <w:r w:rsidRPr="00A2347D">
        <w:rPr>
          <w:sz w:val="18"/>
          <w:szCs w:val="18"/>
          <w:lang w:val="en-US"/>
        </w:rPr>
        <w:t xml:space="preserve">The economic foundations of technology policy: equilibrium and evolutionary perspectives. </w:t>
      </w:r>
      <w:r w:rsidRPr="00A2347D">
        <w:rPr>
          <w:i/>
          <w:iCs/>
          <w:sz w:val="18"/>
          <w:szCs w:val="18"/>
          <w:lang w:val="en-US"/>
        </w:rPr>
        <w:t>In</w:t>
      </w:r>
      <w:r w:rsidRPr="00A2347D">
        <w:rPr>
          <w:sz w:val="18"/>
          <w:szCs w:val="18"/>
          <w:lang w:val="en-US"/>
        </w:rPr>
        <w:t xml:space="preserve"> P. </w:t>
      </w:r>
      <w:proofErr w:type="spellStart"/>
      <w:r w:rsidRPr="00A2347D">
        <w:rPr>
          <w:sz w:val="18"/>
          <w:szCs w:val="18"/>
          <w:lang w:val="en-US"/>
        </w:rPr>
        <w:t>Stoneman</w:t>
      </w:r>
      <w:proofErr w:type="spellEnd"/>
      <w:r w:rsidRPr="00A2347D">
        <w:rPr>
          <w:sz w:val="18"/>
          <w:szCs w:val="18"/>
          <w:lang w:val="en-US"/>
        </w:rPr>
        <w:t xml:space="preserve">, ed. </w:t>
      </w:r>
      <w:r w:rsidRPr="00A2347D">
        <w:rPr>
          <w:i/>
          <w:iCs/>
          <w:sz w:val="18"/>
          <w:szCs w:val="18"/>
          <w:lang w:val="en-US"/>
        </w:rPr>
        <w:t xml:space="preserve">Handbook of the Economics of Innovation and Technological </w:t>
      </w:r>
      <w:proofErr w:type="spellStart"/>
      <w:r w:rsidRPr="00A2347D">
        <w:rPr>
          <w:i/>
          <w:iCs/>
          <w:sz w:val="18"/>
          <w:szCs w:val="18"/>
          <w:lang w:val="en-US"/>
        </w:rPr>
        <w:t>Change</w:t>
      </w:r>
      <w:proofErr w:type="gramStart"/>
      <w:r w:rsidRPr="00A2347D">
        <w:rPr>
          <w:i/>
          <w:iCs/>
          <w:sz w:val="18"/>
          <w:szCs w:val="18"/>
          <w:lang w:val="en-US"/>
        </w:rPr>
        <w:t>,</w:t>
      </w:r>
      <w:r w:rsidRPr="00A2347D">
        <w:rPr>
          <w:sz w:val="18"/>
          <w:szCs w:val="18"/>
          <w:lang w:val="en-US"/>
        </w:rPr>
        <w:t>pp</w:t>
      </w:r>
      <w:proofErr w:type="spellEnd"/>
      <w:proofErr w:type="gramEnd"/>
      <w:r w:rsidRPr="00A2347D">
        <w:rPr>
          <w:sz w:val="18"/>
          <w:szCs w:val="18"/>
          <w:lang w:val="en-US"/>
        </w:rPr>
        <w:t xml:space="preserve">. 409–512. </w:t>
      </w:r>
      <w:proofErr w:type="gramStart"/>
      <w:r w:rsidRPr="00A2347D">
        <w:rPr>
          <w:sz w:val="18"/>
          <w:szCs w:val="18"/>
          <w:lang w:val="en-US"/>
        </w:rPr>
        <w:t>Blackwell Publishers, Oxford (UK)/Cambridge (USA).</w:t>
      </w:r>
      <w:proofErr w:type="gramEnd"/>
      <w:r w:rsidRPr="00A2347D">
        <w:rPr>
          <w:sz w:val="18"/>
          <w:szCs w:val="18"/>
          <w:lang w:val="en-US"/>
        </w:rPr>
        <w:t xml:space="preserve"> </w:t>
      </w:r>
      <w:proofErr w:type="gramStart"/>
      <w:r w:rsidRPr="00A2347D">
        <w:rPr>
          <w:sz w:val="18"/>
          <w:szCs w:val="18"/>
          <w:lang w:val="en-US"/>
        </w:rPr>
        <w:t>583 pp.</w:t>
      </w:r>
      <w:proofErr w:type="gramEnd"/>
    </w:p>
  </w:footnote>
  <w:footnote w:id="27">
    <w:p w:rsidR="0075341A" w:rsidRPr="002A419F" w:rsidRDefault="0075341A" w:rsidP="005853BE">
      <w:pPr>
        <w:spacing w:after="0"/>
        <w:rPr>
          <w:rFonts w:cs="Times New Roman"/>
        </w:rPr>
      </w:pPr>
      <w:r w:rsidRPr="00A2347D">
        <w:rPr>
          <w:rFonts w:cs="Times New Roman"/>
          <w:sz w:val="18"/>
          <w:szCs w:val="18"/>
          <w:vertAlign w:val="superscript"/>
        </w:rPr>
        <w:footnoteRef/>
      </w:r>
      <w:r w:rsidRPr="00A2347D">
        <w:rPr>
          <w:sz w:val="18"/>
          <w:szCs w:val="18"/>
        </w:rPr>
        <w:t xml:space="preserve"> </w:t>
      </w:r>
      <w:proofErr w:type="gramStart"/>
      <w:r w:rsidRPr="00A2347D">
        <w:rPr>
          <w:sz w:val="18"/>
          <w:szCs w:val="18"/>
        </w:rPr>
        <w:t>READI.</w:t>
      </w:r>
      <w:proofErr w:type="gramEnd"/>
      <w:r w:rsidRPr="00A2347D">
        <w:rPr>
          <w:sz w:val="18"/>
          <w:szCs w:val="18"/>
        </w:rPr>
        <w:t xml:space="preserve"> 2014. </w:t>
      </w:r>
      <w:r w:rsidRPr="00A2347D">
        <w:rPr>
          <w:color w:val="070C09"/>
          <w:sz w:val="18"/>
          <w:szCs w:val="18"/>
        </w:rPr>
        <w:t xml:space="preserve">ASEAN Research Landscape in </w:t>
      </w:r>
      <w:r w:rsidRPr="002A419F">
        <w:rPr>
          <w:rFonts w:cs="Times New Roman"/>
          <w:color w:val="070C09"/>
          <w:sz w:val="18"/>
          <w:szCs w:val="18"/>
        </w:rPr>
        <w:t xml:space="preserve">Aquaculture: Opportunities for Investments and Cooperation in Science and Technology. </w:t>
      </w:r>
      <w:proofErr w:type="gramStart"/>
      <w:r w:rsidRPr="007101E3">
        <w:rPr>
          <w:rFonts w:cs="Times New Roman"/>
          <w:color w:val="070C09"/>
          <w:sz w:val="18"/>
          <w:szCs w:val="18"/>
        </w:rPr>
        <w:t>REGIONAL EU-ASEAN DIALOGUE INSTRUMENT.</w:t>
      </w:r>
      <w:proofErr w:type="gramEnd"/>
      <w:r w:rsidRPr="007101E3">
        <w:rPr>
          <w:rFonts w:cs="Times New Roman"/>
          <w:color w:val="070C09"/>
          <w:sz w:val="18"/>
          <w:szCs w:val="18"/>
        </w:rPr>
        <w:t xml:space="preserve"> </w:t>
      </w:r>
      <w:proofErr w:type="gramStart"/>
      <w:r w:rsidRPr="007101E3">
        <w:rPr>
          <w:rFonts w:cs="Times New Roman"/>
          <w:color w:val="070C09"/>
          <w:sz w:val="18"/>
          <w:szCs w:val="18"/>
        </w:rPr>
        <w:t xml:space="preserve">59 pp. </w:t>
      </w:r>
      <w:r w:rsidRPr="007101E3">
        <w:rPr>
          <w:rFonts w:cs="Times New Roman"/>
          <w:sz w:val="18"/>
          <w:szCs w:val="18"/>
        </w:rPr>
        <w:t>http://readi.asean.org/news/155-asean-research-landscape-in-aquaculture-opportunities-for-investments-and-cooperation-in-science-and-technology</w:t>
      </w:r>
      <w:r w:rsidR="000F513C" w:rsidRPr="007101E3">
        <w:rPr>
          <w:rFonts w:cs="Times New Roman"/>
          <w:sz w:val="18"/>
          <w:szCs w:val="18"/>
          <w:lang w:val="en-US"/>
        </w:rPr>
        <w:t>.</w:t>
      </w:r>
      <w:proofErr w:type="gramEnd"/>
      <w:r w:rsidRPr="007101E3">
        <w:rPr>
          <w:rFonts w:cs="Times New Roman"/>
          <w:sz w:val="18"/>
          <w:szCs w:val="18"/>
          <w:u w:val="single"/>
        </w:rPr>
        <w:t xml:space="preserve"> </w:t>
      </w:r>
    </w:p>
  </w:footnote>
  <w:footnote w:id="28">
    <w:p w:rsidR="0075341A" w:rsidRPr="002A419F" w:rsidRDefault="0075341A" w:rsidP="005853BE">
      <w:pPr>
        <w:pStyle w:val="FootnoteText"/>
        <w:rPr>
          <w:rFonts w:cs="Times New Roman"/>
          <w:lang w:val="ru-RU"/>
        </w:rPr>
      </w:pPr>
      <w:r w:rsidRPr="002A419F">
        <w:rPr>
          <w:rFonts w:cs="Times New Roman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Не зараженн</w:t>
      </w:r>
      <w:r>
        <w:rPr>
          <w:rFonts w:eastAsia="Arial Unicode MS" w:cs="Times New Roman"/>
          <w:sz w:val="18"/>
          <w:szCs w:val="18"/>
          <w:lang w:val="ru-RU"/>
        </w:rPr>
        <w:t>ой</w:t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специфическими патогенами.</w:t>
      </w:r>
    </w:p>
  </w:footnote>
  <w:footnote w:id="29">
    <w:p w:rsidR="0075341A" w:rsidRPr="002A419F" w:rsidRDefault="0075341A" w:rsidP="005853BE">
      <w:pPr>
        <w:pStyle w:val="FootnoteText"/>
        <w:rPr>
          <w:rFonts w:cs="Times New Roman"/>
          <w:lang w:val="ru-RU"/>
        </w:rPr>
      </w:pPr>
      <w:r w:rsidRPr="002A419F">
        <w:rPr>
          <w:rFonts w:cs="Times New Roman"/>
          <w:color w:val="070C09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Азиатско-Тихоокеанское экономическое сотрудничество.</w:t>
      </w:r>
    </w:p>
  </w:footnote>
  <w:footnote w:id="30">
    <w:p w:rsidR="0075341A" w:rsidRPr="002A419F" w:rsidRDefault="0075341A" w:rsidP="005853BE">
      <w:pPr>
        <w:pStyle w:val="FootnoteText"/>
        <w:rPr>
          <w:rFonts w:cs="Times New Roman"/>
          <w:lang w:val="ru-RU"/>
        </w:rPr>
      </w:pPr>
      <w:r w:rsidRPr="002A419F">
        <w:rPr>
          <w:rFonts w:cs="Times New Roman"/>
          <w:color w:val="070C09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Ассоциация регионального сотрудничества стран Южной Азии.</w:t>
      </w:r>
    </w:p>
  </w:footnote>
  <w:footnote w:id="31">
    <w:p w:rsidR="0075341A" w:rsidRPr="002A419F" w:rsidRDefault="0075341A" w:rsidP="005853BE">
      <w:pPr>
        <w:pStyle w:val="FootnoteText"/>
        <w:rPr>
          <w:rFonts w:cs="Times New Roman"/>
          <w:lang w:val="ru-RU"/>
        </w:rPr>
      </w:pPr>
      <w:r w:rsidRPr="002A419F">
        <w:rPr>
          <w:rFonts w:cs="Times New Roman"/>
          <w:color w:val="070C09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Секретариат Карибского </w:t>
      </w:r>
      <w:r>
        <w:rPr>
          <w:rFonts w:eastAsia="Arial Unicode MS" w:cs="Times New Roman"/>
          <w:sz w:val="18"/>
          <w:szCs w:val="18"/>
          <w:lang w:val="ru-RU"/>
        </w:rPr>
        <w:t>с</w:t>
      </w:r>
      <w:r w:rsidRPr="002A419F">
        <w:rPr>
          <w:rFonts w:eastAsia="Arial Unicode MS" w:cs="Times New Roman"/>
          <w:sz w:val="18"/>
          <w:szCs w:val="18"/>
          <w:lang w:val="ru-RU"/>
        </w:rPr>
        <w:t>ообщества.</w:t>
      </w:r>
    </w:p>
  </w:footnote>
  <w:footnote w:id="32">
    <w:p w:rsidR="0075341A" w:rsidRPr="002A419F" w:rsidRDefault="0075341A" w:rsidP="005853BE">
      <w:pPr>
        <w:pStyle w:val="FootnoteText"/>
        <w:rPr>
          <w:rFonts w:cs="Times New Roman"/>
          <w:lang w:val="ru-RU"/>
        </w:rPr>
      </w:pPr>
      <w:r w:rsidRPr="002A419F">
        <w:rPr>
          <w:rFonts w:cs="Times New Roman"/>
          <w:color w:val="070C09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Секретариат Тихоокеанского </w:t>
      </w:r>
      <w:r>
        <w:rPr>
          <w:rFonts w:eastAsia="Arial Unicode MS" w:cs="Times New Roman"/>
          <w:sz w:val="18"/>
          <w:szCs w:val="18"/>
          <w:lang w:val="ru-RU"/>
        </w:rPr>
        <w:t>с</w:t>
      </w:r>
      <w:r w:rsidRPr="002A419F">
        <w:rPr>
          <w:rFonts w:eastAsia="Arial Unicode MS" w:cs="Times New Roman"/>
          <w:sz w:val="18"/>
          <w:szCs w:val="18"/>
          <w:lang w:val="ru-RU"/>
        </w:rPr>
        <w:t>ообщества.</w:t>
      </w:r>
    </w:p>
  </w:footnote>
  <w:footnote w:id="33">
    <w:p w:rsidR="0075341A" w:rsidRPr="002A419F" w:rsidRDefault="0075341A" w:rsidP="005853BE">
      <w:pPr>
        <w:pStyle w:val="FootnoteText"/>
        <w:rPr>
          <w:lang w:val="ru-RU"/>
        </w:rPr>
      </w:pPr>
      <w:r w:rsidRPr="002A419F">
        <w:rPr>
          <w:rFonts w:cs="Times New Roman"/>
          <w:color w:val="070C09"/>
          <w:sz w:val="18"/>
          <w:szCs w:val="18"/>
          <w:shd w:val="clear" w:color="auto" w:fill="FFFFFF"/>
          <w:vertAlign w:val="superscript"/>
        </w:rPr>
        <w:footnoteRef/>
      </w:r>
      <w:r w:rsidRPr="002A419F">
        <w:rPr>
          <w:rFonts w:eastAsia="Arial Unicode MS" w:cs="Times New Roman"/>
          <w:sz w:val="18"/>
          <w:szCs w:val="18"/>
          <w:lang w:val="ru-RU"/>
        </w:rPr>
        <w:t xml:space="preserve"> Федерация европейских производителей аквакультуры</w:t>
      </w:r>
      <w:r>
        <w:rPr>
          <w:rFonts w:eastAsia="Arial Unicode MS" w:hAnsi="Arial Unicode MS" w:cs="Arial Unicode MS"/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1A" w:rsidRPr="001A0BFF" w:rsidRDefault="0075341A" w:rsidP="00A27A42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3D5CF1">
      <w:rPr>
        <w:noProof/>
      </w:rPr>
      <w:t>10</w:t>
    </w:r>
    <w:r>
      <w:rPr>
        <w:noProof/>
      </w:rPr>
      <w:fldChar w:fldCharType="end"/>
    </w:r>
    <w:r>
      <w:ptab w:relativeTo="margin" w:alignment="right" w:leader="none"/>
    </w:r>
    <w:r w:rsidRPr="00172E88">
      <w:t xml:space="preserve"> </w:t>
    </w:r>
    <w:bookmarkStart w:id="5" w:name="EvenIdentificationBookmark"/>
    <w:r>
      <w:t>COFI</w:t>
    </w:r>
    <w:proofErr w:type="gramStart"/>
    <w:r>
      <w:t>:AQ</w:t>
    </w:r>
    <w:proofErr w:type="gramEnd"/>
    <w:r>
      <w:t xml:space="preserve">/VIII/2015/8 </w:t>
    </w:r>
    <w:bookmarkEnd w:id="5"/>
  </w:p>
  <w:p w:rsidR="0075341A" w:rsidRPr="0011363D" w:rsidRDefault="0075341A" w:rsidP="00A27A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1A" w:rsidRPr="001A0BFF" w:rsidRDefault="0075341A" w:rsidP="00A27A42">
    <w:pPr>
      <w:pStyle w:val="Underlined"/>
    </w:pPr>
    <w:bookmarkStart w:id="6" w:name="OddIdentificationBookmark"/>
    <w:r>
      <w:t>COFI</w:t>
    </w:r>
    <w:proofErr w:type="gramStart"/>
    <w:r>
      <w:t>:AQ</w:t>
    </w:r>
    <w:proofErr w:type="gramEnd"/>
    <w:r>
      <w:t xml:space="preserve">/VIII/2015/8 </w:t>
    </w:r>
    <w:bookmarkEnd w:id="6"/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3D5CF1">
      <w:rPr>
        <w:noProof/>
      </w:rPr>
      <w:t>9</w:t>
    </w:r>
    <w:r>
      <w:rPr>
        <w:noProof/>
      </w:rPr>
      <w:fldChar w:fldCharType="end"/>
    </w:r>
  </w:p>
  <w:p w:rsidR="0075341A" w:rsidRPr="0011363D" w:rsidRDefault="0075341A" w:rsidP="00A27A42">
    <w:pPr>
      <w:pStyle w:val="Header"/>
      <w:rPr>
        <w:rStyle w:val="PageNumber"/>
        <w:rFonts w:cs="Akhbar M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41A" w:rsidRPr="00407FCD" w:rsidRDefault="0075341A" w:rsidP="00A27A42">
    <w:pPr>
      <w:pStyle w:val="LanguageSymbol"/>
      <w:framePr w:wrap="around"/>
      <w:rPr>
        <w:lang w:val="ru-RU"/>
      </w:rPr>
    </w:pPr>
    <w:bookmarkStart w:id="7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75341A" w:rsidTr="00A27A42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75341A" w:rsidRPr="00407FCD" w:rsidRDefault="0075341A" w:rsidP="00407FCD">
          <w:pPr>
            <w:rPr>
              <w:lang w:val="ru-RU"/>
            </w:rPr>
          </w:pPr>
          <w:bookmarkStart w:id="8" w:name="PublicationDateBookmark"/>
          <w:bookmarkEnd w:id="7"/>
          <w:r>
            <w:rPr>
              <w:lang w:val="ru-RU"/>
            </w:rPr>
            <w:t>Июль</w:t>
          </w:r>
          <w:r>
            <w:t xml:space="preserve"> 2015 </w:t>
          </w:r>
          <w:bookmarkEnd w:id="8"/>
          <w:r>
            <w:rPr>
              <w:lang w:val="ru-RU"/>
            </w:rPr>
            <w:t>года</w:t>
          </w:r>
        </w:p>
      </w:tc>
      <w:tc>
        <w:tcPr>
          <w:tcW w:w="2500" w:type="pct"/>
          <w:noWrap/>
          <w:tcMar>
            <w:right w:w="0" w:type="dxa"/>
          </w:tcMar>
        </w:tcPr>
        <w:p w:rsidR="0075341A" w:rsidRDefault="0075341A" w:rsidP="00A27A42">
          <w:pPr>
            <w:jc w:val="right"/>
          </w:pPr>
          <w:bookmarkStart w:id="9" w:name="FirstCoverIdentificationBookmark"/>
          <w:r>
            <w:t xml:space="preserve">COFI:AQ/VIII/2015/8 </w:t>
          </w:r>
          <w:bookmarkEnd w:id="9"/>
        </w:p>
      </w:tc>
    </w:tr>
  </w:tbl>
  <w:p w:rsidR="0075341A" w:rsidRPr="008E01CD" w:rsidRDefault="0075341A" w:rsidP="00A27A42">
    <w:pPr>
      <w:pBdr>
        <w:bottom w:val="single" w:sz="12" w:space="0" w:color="auto"/>
      </w:pBdr>
      <w:contextualSpacing/>
      <w:rPr>
        <w:sz w:val="4"/>
      </w:rPr>
    </w:pPr>
  </w:p>
  <w:p w:rsidR="0075341A" w:rsidRDefault="0075341A" w:rsidP="00A27A42">
    <w:pPr>
      <w:jc w:val="center"/>
    </w:pPr>
    <w:bookmarkStart w:id="10" w:name="LogoBookmark"/>
    <w:r>
      <w:rPr>
        <w:noProof/>
        <w:lang w:eastAsia="en-GB"/>
      </w:rPr>
      <w:drawing>
        <wp:inline distT="0" distB="0" distL="0" distR="0">
          <wp:extent cx="5648325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C7670CA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1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  <w:rPr>
        <w:rFonts w:cs="Times New Roman"/>
      </w:r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92321282"/>
    <w:lvl w:ilvl="0">
      <w:start w:val="1"/>
      <w:numFmt w:val="decimal"/>
      <w:pStyle w:val="NewPara"/>
      <w:lvlText w:val="%1."/>
      <w:lvlJc w:val="left"/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32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04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BE"/>
    <w:rsid w:val="00015BFC"/>
    <w:rsid w:val="00020772"/>
    <w:rsid w:val="00020BBF"/>
    <w:rsid w:val="000475CD"/>
    <w:rsid w:val="0006121C"/>
    <w:rsid w:val="00063D8D"/>
    <w:rsid w:val="00076ECF"/>
    <w:rsid w:val="000B22FA"/>
    <w:rsid w:val="000E3CAA"/>
    <w:rsid w:val="000F513C"/>
    <w:rsid w:val="00105B5D"/>
    <w:rsid w:val="001144BF"/>
    <w:rsid w:val="00140C64"/>
    <w:rsid w:val="0017331B"/>
    <w:rsid w:val="001C5BD5"/>
    <w:rsid w:val="002017B1"/>
    <w:rsid w:val="00226546"/>
    <w:rsid w:val="002637C2"/>
    <w:rsid w:val="002A0BA4"/>
    <w:rsid w:val="002A0C03"/>
    <w:rsid w:val="002A419F"/>
    <w:rsid w:val="003338D4"/>
    <w:rsid w:val="00360B7D"/>
    <w:rsid w:val="003779A2"/>
    <w:rsid w:val="00387A4E"/>
    <w:rsid w:val="003D5CF1"/>
    <w:rsid w:val="00407FCD"/>
    <w:rsid w:val="00412266"/>
    <w:rsid w:val="00466415"/>
    <w:rsid w:val="004738F5"/>
    <w:rsid w:val="0048093C"/>
    <w:rsid w:val="004B0970"/>
    <w:rsid w:val="004C6C7F"/>
    <w:rsid w:val="005160E7"/>
    <w:rsid w:val="0052495B"/>
    <w:rsid w:val="00577E66"/>
    <w:rsid w:val="0058189E"/>
    <w:rsid w:val="005853BE"/>
    <w:rsid w:val="005C161E"/>
    <w:rsid w:val="005F7525"/>
    <w:rsid w:val="00615CDA"/>
    <w:rsid w:val="00615D82"/>
    <w:rsid w:val="006465D4"/>
    <w:rsid w:val="00656DA6"/>
    <w:rsid w:val="006B3093"/>
    <w:rsid w:val="006D6C36"/>
    <w:rsid w:val="007101E3"/>
    <w:rsid w:val="00713D04"/>
    <w:rsid w:val="0073144A"/>
    <w:rsid w:val="00732F66"/>
    <w:rsid w:val="0075341A"/>
    <w:rsid w:val="00755845"/>
    <w:rsid w:val="00793B67"/>
    <w:rsid w:val="00795C36"/>
    <w:rsid w:val="007C2C2B"/>
    <w:rsid w:val="00835AC2"/>
    <w:rsid w:val="008374F3"/>
    <w:rsid w:val="00850C01"/>
    <w:rsid w:val="00870819"/>
    <w:rsid w:val="008B4E6A"/>
    <w:rsid w:val="008B5791"/>
    <w:rsid w:val="008C2E7F"/>
    <w:rsid w:val="008C630C"/>
    <w:rsid w:val="008F6748"/>
    <w:rsid w:val="00942B17"/>
    <w:rsid w:val="009660D1"/>
    <w:rsid w:val="00967D4F"/>
    <w:rsid w:val="00967E68"/>
    <w:rsid w:val="0098369D"/>
    <w:rsid w:val="00995A85"/>
    <w:rsid w:val="009E3A2D"/>
    <w:rsid w:val="00A27A42"/>
    <w:rsid w:val="00A3518B"/>
    <w:rsid w:val="00A72D2E"/>
    <w:rsid w:val="00A72DDC"/>
    <w:rsid w:val="00A75C43"/>
    <w:rsid w:val="00A862C1"/>
    <w:rsid w:val="00AB35C5"/>
    <w:rsid w:val="00AB7F59"/>
    <w:rsid w:val="00AE7080"/>
    <w:rsid w:val="00B07D80"/>
    <w:rsid w:val="00B65BD6"/>
    <w:rsid w:val="00B70C6C"/>
    <w:rsid w:val="00B81F99"/>
    <w:rsid w:val="00BA2F54"/>
    <w:rsid w:val="00BC760D"/>
    <w:rsid w:val="00BF0511"/>
    <w:rsid w:val="00BF32C1"/>
    <w:rsid w:val="00C1714B"/>
    <w:rsid w:val="00C31C0D"/>
    <w:rsid w:val="00C501DD"/>
    <w:rsid w:val="00C5044F"/>
    <w:rsid w:val="00CC1F01"/>
    <w:rsid w:val="00CE65DC"/>
    <w:rsid w:val="00CF4697"/>
    <w:rsid w:val="00D6003B"/>
    <w:rsid w:val="00D7768F"/>
    <w:rsid w:val="00DC60D2"/>
    <w:rsid w:val="00DE62A4"/>
    <w:rsid w:val="00E15A19"/>
    <w:rsid w:val="00E46F5E"/>
    <w:rsid w:val="00E509C9"/>
    <w:rsid w:val="00E87184"/>
    <w:rsid w:val="00E9531F"/>
    <w:rsid w:val="00EA344F"/>
    <w:rsid w:val="00EB2303"/>
    <w:rsid w:val="00EC6339"/>
    <w:rsid w:val="00EE1E99"/>
    <w:rsid w:val="00F23077"/>
    <w:rsid w:val="00F33788"/>
    <w:rsid w:val="00F50F98"/>
    <w:rsid w:val="00F53507"/>
    <w:rsid w:val="00F57784"/>
    <w:rsid w:val="00F86F22"/>
    <w:rsid w:val="00F871AC"/>
    <w:rsid w:val="00FA27DB"/>
    <w:rsid w:val="00FD66FA"/>
    <w:rsid w:val="00FE314E"/>
    <w:rsid w:val="00FF0D32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53BE"/>
    <w:pPr>
      <w:spacing w:line="240" w:lineRule="auto"/>
    </w:pPr>
    <w:rPr>
      <w:rFonts w:ascii="Times New Roman" w:eastAsia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5853BE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5853BE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3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5853BE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5853BE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53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BE"/>
    <w:rPr>
      <w:rFonts w:ascii="Times New Roman" w:eastAsia="Times New Roman" w:hAnsi="Times New Roman" w:cs="Akhbar MT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53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5853BE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5853BE"/>
    <w:rPr>
      <w:rFonts w:ascii="Times New Roman" w:eastAsia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5853BE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5853BE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ListParagraph"/>
    <w:link w:val="NewParaChar"/>
    <w:qFormat/>
    <w:rsid w:val="005853BE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5853BE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5853BE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5853BE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5853BE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5853BE"/>
    <w:rPr>
      <w:rFonts w:ascii="Times New Roman Bold" w:eastAsia="Times New Roman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5853BE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5853BE"/>
    <w:rPr>
      <w:rFonts w:ascii="Times New Roman" w:eastAsia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5853BE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5853BE"/>
    <w:rPr>
      <w:rFonts w:ascii="Times New Roman" w:eastAsia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5853BE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853B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85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53BE"/>
    <w:rPr>
      <w:rFonts w:ascii="Times New Roman" w:eastAsia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aliases w:val="stylish"/>
    <w:basedOn w:val="DefaultParagraphFont"/>
    <w:uiPriority w:val="99"/>
    <w:rsid w:val="005853BE"/>
    <w:rPr>
      <w:rFonts w:ascii="Book Antiqua" w:eastAsia="SimSun" w:hAnsi="Book Antiqua"/>
      <w:smallCaps/>
      <w:sz w:val="24"/>
      <w:vertAlign w:val="superscript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3BE"/>
    <w:rPr>
      <w:rFonts w:asciiTheme="majorHAnsi" w:eastAsiaTheme="majorEastAsia" w:hAnsiTheme="majorHAnsi" w:cstheme="majorBidi"/>
      <w:b/>
      <w:bCs/>
      <w:color w:val="4F81BD" w:themeColor="accent1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585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5CD"/>
    <w:rPr>
      <w:rFonts w:ascii="Times New Roman" w:eastAsia="Times New Roman" w:hAnsi="Times New Roman" w:cs="Akhbar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CD"/>
    <w:rPr>
      <w:rFonts w:ascii="Times New Roman" w:eastAsia="Times New Roman" w:hAnsi="Times New Roman" w:cs="Akhbar MT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53BE"/>
    <w:pPr>
      <w:spacing w:line="240" w:lineRule="auto"/>
    </w:pPr>
    <w:rPr>
      <w:rFonts w:ascii="Times New Roman" w:eastAsia="Times New Roman" w:hAnsi="Times New Roman" w:cs="Akhbar MT"/>
      <w:szCs w:val="30"/>
      <w:lang w:val="en-GB"/>
    </w:rPr>
  </w:style>
  <w:style w:type="paragraph" w:styleId="Heading1">
    <w:name w:val="heading 1"/>
    <w:aliases w:val="Part"/>
    <w:basedOn w:val="Normal"/>
    <w:next w:val="Heading2"/>
    <w:link w:val="Heading1Char"/>
    <w:uiPriority w:val="9"/>
    <w:qFormat/>
    <w:rsid w:val="005853BE"/>
    <w:pPr>
      <w:keepNext/>
      <w:numPr>
        <w:numId w:val="1"/>
      </w:numPr>
      <w:spacing w:before="240"/>
      <w:jc w:val="center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uiPriority w:val="9"/>
    <w:qFormat/>
    <w:rsid w:val="005853BE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3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5853BE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Heading2Char">
    <w:name w:val="Heading 2 Char"/>
    <w:aliases w:val="Chpt Char"/>
    <w:basedOn w:val="DefaultParagraphFont"/>
    <w:link w:val="Heading2"/>
    <w:uiPriority w:val="9"/>
    <w:rsid w:val="005853BE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53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BE"/>
    <w:rPr>
      <w:rFonts w:ascii="Times New Roman" w:eastAsia="Times New Roman" w:hAnsi="Times New Roman" w:cs="Akhbar MT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53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Note">
    <w:name w:val="Note"/>
    <w:basedOn w:val="Normal"/>
    <w:link w:val="NoteChar"/>
    <w:autoRedefine/>
    <w:qFormat/>
    <w:rsid w:val="005853BE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locked/>
    <w:rsid w:val="005853BE"/>
    <w:rPr>
      <w:rFonts w:ascii="Times New Roman" w:eastAsia="Times New Roman" w:hAnsi="Times New Roman" w:cs="Akhbar MT"/>
      <w:i/>
      <w:sz w:val="20"/>
      <w:szCs w:val="28"/>
      <w:lang w:val="en-GB"/>
    </w:rPr>
  </w:style>
  <w:style w:type="paragraph" w:customStyle="1" w:styleId="DocTitle">
    <w:name w:val="DocTitle"/>
    <w:basedOn w:val="Normal"/>
    <w:link w:val="DocTitleChar"/>
    <w:qFormat/>
    <w:rsid w:val="005853BE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locked/>
    <w:rsid w:val="005853BE"/>
    <w:rPr>
      <w:rFonts w:ascii="Times New Roman" w:eastAsia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ListParagraph"/>
    <w:link w:val="NewParaChar"/>
    <w:qFormat/>
    <w:rsid w:val="005853BE"/>
    <w:pPr>
      <w:numPr>
        <w:numId w:val="2"/>
      </w:numPr>
      <w:ind w:left="0"/>
      <w:contextualSpacing w:val="0"/>
    </w:pPr>
  </w:style>
  <w:style w:type="character" w:customStyle="1" w:styleId="NewParaChar">
    <w:name w:val="NewPara Char"/>
    <w:basedOn w:val="DefaultParagraphFont"/>
    <w:link w:val="NewPara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BulletList">
    <w:name w:val="Bullet List"/>
    <w:basedOn w:val="ListParagraph"/>
    <w:link w:val="BulletListChar"/>
    <w:qFormat/>
    <w:rsid w:val="005853BE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SummaryBoxText">
    <w:name w:val="Summary Box Text"/>
    <w:basedOn w:val="Normal"/>
    <w:link w:val="SummaryBoxTextChar"/>
    <w:qFormat/>
    <w:rsid w:val="005853BE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"/>
    <w:link w:val="UnderlinedChar"/>
    <w:qFormat/>
    <w:rsid w:val="005853BE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locked/>
    <w:rsid w:val="005853BE"/>
    <w:rPr>
      <w:rFonts w:ascii="Times New Roman" w:eastAsia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"/>
    <w:link w:val="MeetingInfoChar"/>
    <w:qFormat/>
    <w:rsid w:val="005853BE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locked/>
    <w:rsid w:val="005853BE"/>
    <w:rPr>
      <w:rFonts w:ascii="Times New Roman Bold" w:eastAsia="Times New Roman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"/>
    <w:link w:val="HiddenChar"/>
    <w:qFormat/>
    <w:rsid w:val="005853BE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locked/>
    <w:rsid w:val="005853BE"/>
    <w:rPr>
      <w:rFonts w:ascii="Times New Roman" w:eastAsia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"/>
    <w:link w:val="LanguageSymbolChar"/>
    <w:qFormat/>
    <w:rsid w:val="005853BE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locked/>
    <w:rsid w:val="005853BE"/>
    <w:rPr>
      <w:rFonts w:ascii="Times New Roman" w:eastAsia="Times New Roman" w:hAnsi="Times New Roman" w:cs="Akhbar MT"/>
      <w:b/>
      <w:color w:val="808080"/>
      <w:sz w:val="56"/>
      <w:szCs w:val="56"/>
      <w:lang w:val="en-GB"/>
    </w:rPr>
  </w:style>
  <w:style w:type="table" w:styleId="TableGrid">
    <w:name w:val="Table Grid"/>
    <w:basedOn w:val="TableNormal"/>
    <w:uiPriority w:val="59"/>
    <w:rsid w:val="005853BE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853B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85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53BE"/>
    <w:rPr>
      <w:rFonts w:ascii="Times New Roman" w:eastAsia="Times New Roman" w:hAnsi="Times New Roman" w:cs="Akhbar MT"/>
      <w:sz w:val="20"/>
      <w:szCs w:val="20"/>
      <w:lang w:val="en-GB"/>
    </w:rPr>
  </w:style>
  <w:style w:type="character" w:styleId="FootnoteReference">
    <w:name w:val="footnote reference"/>
    <w:aliases w:val="stylish"/>
    <w:basedOn w:val="DefaultParagraphFont"/>
    <w:uiPriority w:val="99"/>
    <w:rsid w:val="005853BE"/>
    <w:rPr>
      <w:rFonts w:ascii="Book Antiqua" w:eastAsia="SimSun" w:hAnsi="Book Antiqua"/>
      <w:smallCaps/>
      <w:sz w:val="24"/>
      <w:vertAlign w:val="superscript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3BE"/>
    <w:rPr>
      <w:rFonts w:asciiTheme="majorHAnsi" w:eastAsiaTheme="majorEastAsia" w:hAnsiTheme="majorHAnsi" w:cstheme="majorBidi"/>
      <w:b/>
      <w:bCs/>
      <w:color w:val="4F81BD" w:themeColor="accent1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585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B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B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7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5CD"/>
    <w:rPr>
      <w:rFonts w:ascii="Times New Roman" w:eastAsia="Times New Roman" w:hAnsi="Times New Roman" w:cs="Akhbar M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CD"/>
    <w:rPr>
      <w:rFonts w:ascii="Times New Roman" w:eastAsia="Times New Roman" w:hAnsi="Times New Roman" w:cs="Akhbar M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o.org/3/a-ad351e.pdf" TargetMode="External"/><Relationship Id="rId1" Type="http://schemas.openxmlformats.org/officeDocument/2006/relationships/hyperlink" Target="http://www.nmfs.noaa.gov/aquaculture/docs/research/jsa_draft_aq_research_plan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2490-D384-4C11-8AD4-A19E8AB9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5102</Words>
  <Characters>29082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34116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 DiNicola (CPAM)</dc:creator>
  <cp:lastModifiedBy>Marina Uvarova (CPAM)</cp:lastModifiedBy>
  <cp:revision>9</cp:revision>
  <dcterms:created xsi:type="dcterms:W3CDTF">2015-08-06T09:13:00Z</dcterms:created>
  <dcterms:modified xsi:type="dcterms:W3CDTF">2015-08-11T12:30:00Z</dcterms:modified>
</cp:coreProperties>
</file>