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FBC" w:rsidRPr="001D3BA6" w:rsidRDefault="00571FBC" w:rsidP="00C21534">
      <w:pPr>
        <w:pStyle w:val="Hidden"/>
      </w:pPr>
    </w:p>
    <w:p w:rsidR="00571FBC" w:rsidRPr="007675BB" w:rsidRDefault="00571FBC" w:rsidP="00C21534">
      <w:pPr>
        <w:pStyle w:val="DocTitle"/>
        <w:rPr>
          <w:smallCaps/>
          <w:lang w:val="en-GB" w:eastAsia="en-US" w:bidi="ar-SA"/>
        </w:rPr>
      </w:pPr>
      <w:bookmarkStart w:id="0" w:name="CoverTitleBookmark"/>
      <w:bookmarkStart w:id="1" w:name="CoverBookmark"/>
      <w:r w:rsidRPr="007675BB">
        <w:rPr>
          <w:smallCaps/>
          <w:lang w:val="en-GB" w:eastAsia="en-US" w:bidi="ar-SA"/>
        </w:rPr>
        <w:t>Comité de Pesca</w:t>
      </w:r>
    </w:p>
    <w:bookmarkEnd w:id="0"/>
    <w:p w:rsidR="00571FBC" w:rsidRPr="001D3BA6" w:rsidRDefault="00571FBC" w:rsidP="00C21534">
      <w:pPr>
        <w:pStyle w:val="MeetingInfo"/>
      </w:pPr>
      <w:r w:rsidRPr="001D3BA6">
        <w:t>SUBCOMITÉ DE ACUICULTURA</w:t>
      </w:r>
    </w:p>
    <w:p w:rsidR="00571FBC" w:rsidRPr="001D3BA6" w:rsidRDefault="00571FBC" w:rsidP="00C21534">
      <w:pPr>
        <w:pStyle w:val="MeetingInfo"/>
      </w:pPr>
      <w:r w:rsidRPr="001D3BA6">
        <w:t>Octava reunión</w:t>
      </w:r>
    </w:p>
    <w:p w:rsidR="00571FBC" w:rsidRPr="001D3BA6" w:rsidRDefault="00571FBC" w:rsidP="00C21534">
      <w:pPr>
        <w:pStyle w:val="MeetingInfo"/>
      </w:pPr>
      <w:r w:rsidRPr="001D3BA6">
        <w:t>Brasilia (Brasil), 5-9 de octubre de 2015</w:t>
      </w:r>
    </w:p>
    <w:p w:rsidR="00571FBC" w:rsidRPr="001D3BA6" w:rsidRDefault="00571FBC" w:rsidP="00C21534">
      <w:pPr>
        <w:pStyle w:val="MeetingInfo"/>
      </w:pPr>
      <w:r w:rsidRPr="001D3BA6">
        <w:t xml:space="preserve">ESFUERZOS POR MEJORAR LOS DATOS, INFORMACIÓN Y ESTADÍSTICAS SOBRE ACUICULTURA: PASADO, PRESENTE Y </w:t>
      </w:r>
      <w:r w:rsidR="007675BB">
        <w:t>FUTURO: PARA DEBATE Y DECISIÓN</w:t>
      </w:r>
    </w:p>
    <w:bookmarkEnd w:id="1"/>
    <w:p w:rsidR="007675BB" w:rsidRDefault="007675BB" w:rsidP="007675BB"/>
    <w:tbl>
      <w:tblPr>
        <w:tblStyle w:val="TableGrid"/>
        <w:tblW w:w="0" w:type="auto"/>
        <w:tblLook w:val="04A0" w:firstRow="1" w:lastRow="0" w:firstColumn="1" w:lastColumn="0" w:noHBand="0" w:noVBand="1"/>
      </w:tblPr>
      <w:tblGrid>
        <w:gridCol w:w="9211"/>
      </w:tblGrid>
      <w:tr w:rsidR="007675BB" w:rsidTr="007675BB">
        <w:tc>
          <w:tcPr>
            <w:tcW w:w="9211" w:type="dxa"/>
          </w:tcPr>
          <w:p w:rsidR="007675BB" w:rsidRDefault="007675BB" w:rsidP="007675BB">
            <w:pPr>
              <w:spacing w:before="120" w:after="120"/>
              <w:jc w:val="center"/>
            </w:pPr>
            <w:r>
              <w:rPr>
                <w:b/>
              </w:rPr>
              <w:t>RESUMEN</w:t>
            </w:r>
          </w:p>
          <w:p w:rsidR="007675BB" w:rsidRDefault="007675BB" w:rsidP="007675BB">
            <w:r>
              <w:t xml:space="preserve">En el presente documento se resumen las actividades encaminadas a </w:t>
            </w:r>
            <w:r w:rsidRPr="00A60728">
              <w:t>mejorar los datos, la información y las estadísticas sobre acuicultura</w:t>
            </w:r>
            <w:r>
              <w:t xml:space="preserve"> realizadas recientemente por la FAO en colaboración con varias organizaciones clave. Se brinda asimismo información sobre la revisión reciente de las clasificaciones mundiales para las estadísticas, durante la cual se introdujeron puntos relacionados directamente con la acuicultura. Se presentan las actividades en curso de la FAO en apoyo de la ejecución de la Iniciativa sobre el crecimiento azul a través de la mejora de la recopilación, coherencia, comparabilidad y comunicación de la información y se invita a colaborar y participar.</w:t>
            </w:r>
          </w:p>
          <w:p w:rsidR="007675BB" w:rsidRDefault="007675BB" w:rsidP="007675BB"/>
          <w:p w:rsidR="007675BB" w:rsidRDefault="007675BB" w:rsidP="007675BB">
            <w:pPr>
              <w:rPr>
                <w:b/>
              </w:rPr>
            </w:pPr>
            <w:r>
              <w:rPr>
                <w:b/>
              </w:rPr>
              <w:t>Se invita al Subcomité a que:</w:t>
            </w:r>
          </w:p>
          <w:p w:rsidR="007675BB" w:rsidRPr="00755740" w:rsidRDefault="008D002A" w:rsidP="008D002A">
            <w:pPr>
              <w:spacing w:before="120"/>
            </w:pPr>
            <w:r>
              <w:t>e</w:t>
            </w:r>
            <w:r w:rsidR="007675BB">
              <w:t xml:space="preserve">xamine el documento y proporcione observaciones sobre las actividades en curso y las finalizadas; </w:t>
            </w:r>
          </w:p>
          <w:p w:rsidR="007675BB" w:rsidRDefault="008D002A" w:rsidP="008D002A">
            <w:pPr>
              <w:spacing w:before="120"/>
            </w:pPr>
            <w:r>
              <w:t>a</w:t>
            </w:r>
            <w:r w:rsidR="007675BB">
              <w:t xml:space="preserve">sesore sobre el modo </w:t>
            </w:r>
            <w:r w:rsidR="007675BB" w:rsidRPr="00A60728">
              <w:t>de mejorar los datos, la información y las estadísticas sobre acuicultura</w:t>
            </w:r>
            <w:r w:rsidR="007675BB">
              <w:t xml:space="preserve"> utilizando diferentes mecanismos y estrategias, con inclusión del Grupo de Trabajo de Coordinación sobre Estadísticas Acuícola</w:t>
            </w:r>
            <w:bookmarkStart w:id="2" w:name="_GoBack"/>
            <w:bookmarkEnd w:id="2"/>
            <w:r w:rsidR="007675BB">
              <w:t>s (CWP-AS) en beneficio de los Estados Miembros;</w:t>
            </w:r>
          </w:p>
          <w:p w:rsidR="007675BB" w:rsidRDefault="007675BB" w:rsidP="008D002A">
            <w:pPr>
              <w:spacing w:before="120" w:after="120"/>
            </w:pPr>
            <w:proofErr w:type="gramStart"/>
            <w:r>
              <w:t>manifieste</w:t>
            </w:r>
            <w:proofErr w:type="gramEnd"/>
            <w:r>
              <w:t xml:space="preserve"> su interés en participar e involucrarse en las actividades, en particular en la aplicación práctica de la mejora de las competencias básicas en materia de información en apoyo de la asistencia técnica de la FAO orientada al desarrollo sostenible y responsable de la acuicultura.</w:t>
            </w:r>
          </w:p>
        </w:tc>
      </w:tr>
    </w:tbl>
    <w:p w:rsidR="007675BB" w:rsidRPr="007675BB" w:rsidRDefault="007675BB" w:rsidP="007675BB"/>
    <w:p w:rsidR="00571FBC" w:rsidRPr="001D3BA6" w:rsidRDefault="00571FBC" w:rsidP="00C21534">
      <w:pPr>
        <w:pStyle w:val="Heading1"/>
        <w:numPr>
          <w:ilvl w:val="0"/>
          <w:numId w:val="0"/>
        </w:numPr>
        <w:ind w:left="1"/>
        <w:jc w:val="left"/>
      </w:pPr>
      <w:r w:rsidRPr="001D3BA6">
        <w:lastRenderedPageBreak/>
        <w:t>SITUACIÓN ACTUAL DE LOS TRABAJOS DE RECOPILACIÓN Y DIVULGACIÓN DE DATOS E INFORMACIÓN POR PARTE DE LA FAO</w:t>
      </w:r>
    </w:p>
    <w:p w:rsidR="00571FBC" w:rsidRPr="001D3BA6" w:rsidRDefault="00571FBC" w:rsidP="007675BB">
      <w:pPr>
        <w:pStyle w:val="NewPara"/>
      </w:pPr>
      <w:r w:rsidRPr="001D3BA6">
        <w:t xml:space="preserve">La contribución de la acuicultura a la seguridad alimentaria ha aumentado de forma rápida y constante hasta alcanzar prácticamente el 50 % de la producción pesquera total destinada al consumo humano directo. En consecuencia, tal como señaló en varias ocasiones el Subcomité de Acuicultura del Comité de Pesca (COFI), cada vez es más necesario contar con estadísticas nacionales e internacionales fiables que contengan información de mayor calidad facilitada en modo oportuno, no solo sobre la producción sino también sobre los aspectos generales del sector, incluidas las repercusiones socioeconómicas, ambientales y en la seguridad alimentaria, como base fáctica para el seguimiento eficaz del desarrollo del sector de la acuicultura y para los procesos de adopción de decisiones fundamentadas a la hora de formular y planificar políticas en todos los ámbitos. Sin embargo, la situación mundial de las estadísticas relativas a la acuicultura no ha indicado una mejora clara durante los últimos años. </w:t>
      </w:r>
    </w:p>
    <w:p w:rsidR="00571FBC" w:rsidRPr="001D3BA6" w:rsidRDefault="00571FBC" w:rsidP="007675BB">
      <w:pPr>
        <w:pStyle w:val="NewPara"/>
      </w:pPr>
      <w:r w:rsidRPr="001D3BA6">
        <w:t>Actualmente la FAO recopila estadísticas de producción acuícola mediante dos conjuntos de cuestionarios: uno relativo a la producción acuícola total según especies y el otro orientado a recoger información más desglosada de la producción separada por instalaciones de cría así como producción de viveros y criaderos. Si bien la última base de datos mundial de la FAO recogía la información sobre la producción acuícola de 199 países y territorios, solo unas dos terceras partes de los países presentan periódicamente datos estadísticos nacionales a la FAO. Alrededor de 70 países no responden a la FAO y algunos de ellos son de hecho los principales productores acuícolas del mundo y de las regiones. Esta proporción y las cifras sobre los importantes países que no presentan información no ha cambiado en unos cinco años. Los estadísticos de la FAO estimaron las estadísticas de producción de los países que no respondieron sobre la base de la limitada información procedente de fuentes alternativas.</w:t>
      </w:r>
    </w:p>
    <w:p w:rsidR="00571FBC" w:rsidRPr="001D3BA6" w:rsidRDefault="00571FBC" w:rsidP="007675BB">
      <w:pPr>
        <w:pStyle w:val="NewPara"/>
      </w:pPr>
      <w:r w:rsidRPr="001D3BA6">
        <w:t xml:space="preserve">De los países y territorios que facilitan información a la FAO, menos de la mitad abarca la totalidad de estadísticas necesarias, mientras el resto presentan información con distinto grado de exhaustividad y coherencia. En general, la cantidad de producción acuícola ha sido el tema con mayor tasa de respuesta. No solo se facilitó poca información sobre la producción por sistemas de cultivo, las zonas con instalaciones acuícolas y la producción de viveros y criaderos sino que esta fue de una calidad muy variada. La situación es similar a la de las estadísticas relativas al empleo en el sector acuícola recogidas mediante un cuestionario independiente. Si bien aproximadamente la mitad de los países proporciona alguna información, solo alrededor del 20 % proporciona datos desglosados por sexo y diferencia entre participación a tiempo completo y parcial; además, algunos países que se dedican a la acuicultura no señalan en qué grado participan en el sector. </w:t>
      </w:r>
    </w:p>
    <w:p w:rsidR="00571FBC" w:rsidRPr="001D3BA6" w:rsidRDefault="00571FBC" w:rsidP="007675BB">
      <w:pPr>
        <w:pStyle w:val="NewPara"/>
      </w:pPr>
      <w:r w:rsidRPr="001D3BA6">
        <w:t>Se considera que el progreso relativamente lento en la mejora de la capacidad global de seguimiento del sector acuícola y las estadísticas se debe en parte a la falta de metodologías y directrices normalizadas para la recopilación de datos. En consecuencia, la mayoría de los esfuerzos, resumidos en las siguientes secciones, se han dedicado a establecer conceptos uniformes sobre el modo de supervisar las actividades del sector y su sostenibilidad en conjunto, así como a elaborar metodologías pragmáticas para la recogida de la información necesaria.</w:t>
      </w:r>
    </w:p>
    <w:p w:rsidR="00571FBC" w:rsidRPr="001D3BA6" w:rsidRDefault="00571FBC" w:rsidP="007675BB">
      <w:pPr>
        <w:pStyle w:val="NewPara"/>
      </w:pPr>
      <w:r w:rsidRPr="001D3BA6">
        <w:t>La publicación principal bienal del Departamento de Pesca y Acuicultura, El estado mundial de la pesca y la acuicultura</w:t>
      </w:r>
      <w:r w:rsidRPr="001D3BA6">
        <w:rPr>
          <w:rStyle w:val="FootnoteReference"/>
        </w:rPr>
        <w:footnoteReference w:id="1"/>
      </w:r>
      <w:r w:rsidRPr="001D3BA6">
        <w:t>, constituye la fuente periódica más fidedigna de datos e información analizados sobre acuicultura divulgados por la FAO. La Organización difunde estadísticas, información y otros instrumentos pertinentes para la acuicultura a través del sitio web del Departamento de Pesca y Acuicultura</w:t>
      </w:r>
      <w:r w:rsidRPr="001D3BA6">
        <w:rPr>
          <w:rStyle w:val="FootnoteReference"/>
        </w:rPr>
        <w:footnoteReference w:id="2"/>
      </w:r>
      <w:r w:rsidRPr="001D3BA6">
        <w:t>, la página temática de la FAO sobre acuicultura</w:t>
      </w:r>
      <w:r w:rsidRPr="001D3BA6">
        <w:rPr>
          <w:rStyle w:val="FootnoteReference"/>
        </w:rPr>
        <w:footnoteReference w:id="3"/>
      </w:r>
      <w:r w:rsidRPr="001D3BA6">
        <w:t>, los boletines electrónicos trimestrales de acuicultura y los boletines de acuicultura de la FAO, publicados dos veces al año tanto en formato impreso como electrónico.</w:t>
      </w:r>
    </w:p>
    <w:p w:rsidR="00571FBC" w:rsidRPr="001D3BA6" w:rsidRDefault="00571FBC" w:rsidP="007675BB">
      <w:pPr>
        <w:pStyle w:val="NewPara"/>
      </w:pPr>
      <w:r w:rsidRPr="001D3BA6">
        <w:lastRenderedPageBreak/>
        <w:t>En particular, la FAO ha publicado desde 2003 dos colecciones informativas, la Visión general del sector acuícola nacional</w:t>
      </w:r>
      <w:r w:rsidRPr="001D3BA6">
        <w:rPr>
          <w:rStyle w:val="FootnoteReference"/>
        </w:rPr>
        <w:footnoteReference w:id="4"/>
      </w:r>
      <w:r w:rsidRPr="001D3BA6">
        <w:t xml:space="preserve"> y la Visión general de la legislación acuícola nacional</w:t>
      </w:r>
      <w:r w:rsidRPr="001D3BA6">
        <w:rPr>
          <w:rStyle w:val="FootnoteReference"/>
        </w:rPr>
        <w:footnoteReference w:id="5"/>
      </w:r>
      <w:r w:rsidRPr="001D3BA6">
        <w:t xml:space="preserve">, siguiendo las recomendaciones de la segunda reunión del Subcomité de Acuicultura del COFI (Trondheim, Noruega, 7-11 de agosto de 2003). La Visión general del sector acuícola nacional proporciona un panorama general de la situación de la acuicultura y la pesca basada en el cultivo de peces a escala nacional y actualmente contiene 106 hojas informativas. Su elaboración y actualización forman parte de un proceso de consolidación de asociaciones entre la FAO y sus Estados Miembros encaminado a garantizar un intercambio eficaz de la información sobre acuicultura con miras a llevar un mejor seguimiento de la situación y las tendencias de la acuicultura en los planos nacional y regional. </w:t>
      </w:r>
    </w:p>
    <w:p w:rsidR="00571FBC" w:rsidRPr="001D3BA6" w:rsidRDefault="00571FBC" w:rsidP="007675BB">
      <w:pPr>
        <w:pStyle w:val="NewPara"/>
      </w:pPr>
      <w:r w:rsidRPr="001D3BA6">
        <w:t>La Visión general de la legislación acuícola nacional consiste en una serie de panoramas nacionales comparativos de la legislación sobre acuicultura procedente de países con producción acuícola y que ha sido elaborada en colaboración con la Subdivisión del Derecho para el Desarrollo de la FAO. La elaboración de los panoramas se basa principalmente en FAOLEX</w:t>
      </w:r>
      <w:r w:rsidRPr="001D3BA6">
        <w:rPr>
          <w:rStyle w:val="FootnoteReference"/>
        </w:rPr>
        <w:footnoteReference w:id="6"/>
      </w:r>
      <w:r w:rsidRPr="001D3BA6">
        <w:t xml:space="preserve">, una base de datos legislativa que recoge la colección electrónica más grande del mundo de legislación nacional relativa a la alimentación y la agricultura. El material adicional se recopila a partir de fuentes nacionales. La Visión general de la legislación acuícola nacional recoge actualmente 59 hojas informativas. </w:t>
      </w:r>
    </w:p>
    <w:p w:rsidR="00571FBC" w:rsidRPr="001D3BA6" w:rsidRDefault="00571FBC" w:rsidP="007675BB">
      <w:pPr>
        <w:pStyle w:val="NewPara"/>
      </w:pPr>
      <w:r w:rsidRPr="001D3BA6">
        <w:t>Las estadísticas de producción acuícola se están difundiendo a través de tabulaciones del Anuario disponibles en formato CD-ROM, una consulta en línea y con la aplicación llamada FishStatJ a fin de respaldar la extracción y agregación de series cronológicas de estadísticas pesqueras</w:t>
      </w:r>
      <w:r w:rsidRPr="001D3BA6">
        <w:rPr>
          <w:rStyle w:val="FootnoteReference"/>
        </w:rPr>
        <w:footnoteReference w:id="7"/>
      </w:r>
      <w:r w:rsidRPr="001D3BA6">
        <w:t xml:space="preserve">. El sistema actual de divulgación de estadísticas de pesca y acuicultura requiere la introducción de valores completos, lo que provoca graves problemas cuando los conjuntos de datos contienen un gran porcentaje de valores ausentes y la calidad de la información es baja. Por ello, la información relativa a las instalaciones de cría, la producción de viveros y el empleo en el sector acuícola aún no se ha difundido en forma de estadísticas, si bien se ha recopilado y utilizado sistemáticamente para llevar a cabo análisis generales. Al mismo tiempo, se señala claramente que se trata de un modo contrario al principio de difundir adecuadamente toda la información recibida de los países. En consecuencia, la FAO estudia la posibilidad de modificar su sistema a fin de permitir la divulgación de conjuntos de datos sin imputación además de la difusión periódica de una serie de estadísticas mundiales con imputación plena. </w:t>
      </w:r>
    </w:p>
    <w:p w:rsidR="00571FBC" w:rsidRPr="001D3BA6" w:rsidRDefault="00571FBC" w:rsidP="007675BB">
      <w:pPr>
        <w:pStyle w:val="NewPara"/>
      </w:pPr>
      <w:r w:rsidRPr="001D3BA6">
        <w:t>Asimismo, la FAO tiene una iniciativa en curso sobre la elaboración de indicadores de resultados en el sector acuícola a nivel mundial, un instrumento fácil de utilizar para la evaluación y el seguimiento del rendimiento del sector de la acuicultura</w:t>
      </w:r>
      <w:r w:rsidRPr="001D3BA6">
        <w:rPr>
          <w:rStyle w:val="FootnoteReference"/>
        </w:rPr>
        <w:footnoteReference w:id="8"/>
      </w:r>
      <w:r w:rsidRPr="001D3BA6">
        <w:t xml:space="preserve">. Este instrumento mostraría la situación y las tendencias del desarrollo de la acuicultura en forma de cuadros y gráficos diseñados de manera inteligente para abordar cuestiones de interés común relacionadas con la ordenación del sector acuícola. </w:t>
      </w:r>
    </w:p>
    <w:p w:rsidR="00571FBC" w:rsidRPr="001D3BA6" w:rsidRDefault="00571FBC" w:rsidP="00C21534">
      <w:r w:rsidRPr="001D3BA6">
        <w:t xml:space="preserve">Recientemente se ha elaborado el módulo sobre indicadores de resultados en el sector acuícola a nivel mundial relativo a la producción acuícola, que está listo para su experimentación. El módulo actualmente abarca la producción acuícola (tanto el volumen como el valor) de unas 900 especies y </w:t>
      </w:r>
      <w:r w:rsidRPr="001D3BA6">
        <w:lastRenderedPageBreak/>
        <w:t>grupos de especies en los planos nacional, regional y mundial desde 1950 hasta ahora</w:t>
      </w:r>
      <w:r w:rsidRPr="001D3BA6">
        <w:rPr>
          <w:rStyle w:val="FootnoteReference"/>
        </w:rPr>
        <w:footnoteReference w:id="9"/>
      </w:r>
      <w:r w:rsidRPr="001D3BA6">
        <w:t xml:space="preserve">. Se prevé que en su siguiente fase el instrumento incluya módulos sobre el consumo de pescado y el empleo. </w:t>
      </w:r>
    </w:p>
    <w:p w:rsidR="00571FBC" w:rsidRPr="001D3BA6" w:rsidRDefault="00571FBC" w:rsidP="00C21534">
      <w:pPr>
        <w:pStyle w:val="Heading2"/>
        <w:numPr>
          <w:ilvl w:val="0"/>
          <w:numId w:val="0"/>
        </w:numPr>
        <w:ind w:left="1"/>
        <w:jc w:val="left"/>
      </w:pPr>
      <w:r w:rsidRPr="001D3BA6">
        <w:t>AVANCES EN EL MARCO DEL CWP-AS</w:t>
      </w:r>
    </w:p>
    <w:p w:rsidR="00571FBC" w:rsidRPr="001D3BA6" w:rsidRDefault="00571FBC" w:rsidP="007675BB">
      <w:pPr>
        <w:pStyle w:val="NewPara"/>
      </w:pPr>
      <w:r w:rsidRPr="001D3BA6">
        <w:t>El Grupo Coordinador de Trabajo sobre Estadísticas de Pesca (CWP) estableció el Grupo de Trabajo de Coordinación sobre Estadísticas Acuícolas (CWP-AS), el grupo de trabajo entre reuniones especializado en cuestiones relacionadas con la acuicultura, en su 23.ª reunión, celebrada en Hobart (Australia) del 22 al 26 de febrero de 2010, de acuerdo con la Estrategia y plan básico para mejorar la información relativa a la situación y las tendencias de la acuicultura</w:t>
      </w:r>
      <w:r w:rsidRPr="001D3BA6">
        <w:rPr>
          <w:rStyle w:val="FootnoteReference"/>
        </w:rPr>
        <w:footnoteReference w:id="10"/>
      </w:r>
      <w:r w:rsidRPr="001D3BA6">
        <w:t xml:space="preserve"> que el Subcomité de Acuicultura del COFI refrendó en su reunión celebrada en Nueva Delhi en 2006. </w:t>
      </w:r>
    </w:p>
    <w:p w:rsidR="00571FBC" w:rsidRPr="001D3BA6" w:rsidRDefault="00571FBC" w:rsidP="007675BB">
      <w:pPr>
        <w:pStyle w:val="NewPara"/>
      </w:pPr>
      <w:r w:rsidRPr="001D3BA6">
        <w:t>El CWP-AS tiene los siguientes objetivos: i) examinar las necesidades de información y datos en materia de estadísticas de acuicultura con fines de investigación, formulación de políticas y ordenación; ii) elaborar conceptos, definiciones, clasificaciones y metodologías uniformes para la recopilación, compilación, análisis y divulgación de datos, información y estadísticas sobre acuicultura; iii) emitir recomendaciones para la coordinación y armonización de las actividades de recopilación, análisis y divulgación de información y datos estadísticos sobre acuicultura. En la reunión del CWP se aprobarían las normas, los conceptos, las directrices y las clasificaciones elaborados por los grupos temáticos, incluido el CWP-AS, para que pasen a ser las normas del CWP relativas a las estadísticas de pesca.</w:t>
      </w:r>
    </w:p>
    <w:p w:rsidR="00571FBC" w:rsidRPr="001D3BA6" w:rsidRDefault="00571FBC" w:rsidP="007675BB">
      <w:pPr>
        <w:pStyle w:val="NewPara"/>
      </w:pPr>
      <w:r w:rsidRPr="001D3BA6">
        <w:t xml:space="preserve">El Grupo de acuicultura inició sus actividades en dos reuniones oficiosas que celebraron, respectivamente, en Puerto Varas (Chile), el 3 y 4 de octubre de 2008 y en Roma (Italia), el 6 de marzo de 2009, antes de su establecimiento oficial en la 23.ª reunión del CWP. </w:t>
      </w:r>
    </w:p>
    <w:p w:rsidR="00571FBC" w:rsidRPr="001D3BA6" w:rsidRDefault="00571FBC" w:rsidP="007675BB">
      <w:pPr>
        <w:pStyle w:val="NewPara"/>
      </w:pPr>
      <w:r w:rsidRPr="001D3BA6">
        <w:t xml:space="preserve">Tras su establecimiento, el CWP-AS dedicó la mayoría de sus esfuerzos desplegados durante el primer período entre reuniones (entre febrero de 2010 y febrero de 2013), bajo la dirección conjunta de la FAO y el Centro de Desarrollo de la Pesca en Asia Sudoriental, a finalizar el Manual del CWP sobre acuicultura, que se concibió en un taller de expertos celebrado en Ha Long </w:t>
      </w:r>
      <w:proofErr w:type="spellStart"/>
      <w:r w:rsidRPr="001D3BA6">
        <w:t>Bay</w:t>
      </w:r>
      <w:proofErr w:type="spellEnd"/>
      <w:r w:rsidRPr="001D3BA6">
        <w:t xml:space="preserve"> (</w:t>
      </w:r>
      <w:proofErr w:type="spellStart"/>
      <w:r w:rsidRPr="001D3BA6">
        <w:t>Viet</w:t>
      </w:r>
      <w:proofErr w:type="spellEnd"/>
      <w:r w:rsidR="00E7100B">
        <w:t> </w:t>
      </w:r>
      <w:proofErr w:type="spellStart"/>
      <w:r w:rsidRPr="001D3BA6">
        <w:t>Nam</w:t>
      </w:r>
      <w:proofErr w:type="spellEnd"/>
      <w:r w:rsidRPr="001D3BA6">
        <w:t xml:space="preserve">) del 10 al 14 de noviembre de 2009. </w:t>
      </w:r>
    </w:p>
    <w:p w:rsidR="00571FBC" w:rsidRDefault="00571FBC" w:rsidP="007675BB">
      <w:pPr>
        <w:pStyle w:val="NewPara"/>
      </w:pPr>
      <w:r w:rsidRPr="001D3BA6">
        <w:t xml:space="preserve">La primera reunión del Grupo de acuicultura se celebró el 2 de octubre de 2010 en Phuket (Tailandia) y la segunda el 14 de julio de 2012 en Roma (Italia). </w:t>
      </w:r>
    </w:p>
    <w:p w:rsidR="00571FBC" w:rsidRPr="001D3BA6" w:rsidRDefault="00571FBC" w:rsidP="007675BB">
      <w:pPr>
        <w:pStyle w:val="NewPara"/>
      </w:pPr>
      <w:r w:rsidRPr="001D3BA6">
        <w:t>En su tercera reunión, que tuvo lugar el 5 de febrero de 2013, antes de la 24</w:t>
      </w:r>
      <w:proofErr w:type="gramStart"/>
      <w:r w:rsidRPr="001D3BA6">
        <w:t>.ª</w:t>
      </w:r>
      <w:proofErr w:type="gramEnd"/>
      <w:r w:rsidRPr="001D3BA6">
        <w:t xml:space="preserve"> reunión del CWP (7 y 8 de febrero de 2013, Roma [Italia]), se finalizó el componente de acuicultura del Manual del CWP, que fue posteriormente aprobado en la 24.ª reunión del CWP. Más adelante se presenta en una sección separada un breve resumen de los contenidos del Manual sobre acuicultura del CWP. En la reunión se estuvo de acuerdo con la esfera de trabajo prioritaria, con inclusión de la divulgación del Manual sobre acuicultura con una cobertura adecuada de idiomas, la revisión de los cuestionarios normalizados y las directrices correspondientes, y se continuó trabajando en la ejecución de la Estrategia y plan básico para mejorar la información relativa a la situación y las tendencias de la acuicultura. Se estableció un grupo de acción para la elaboración de un cuestionario normalizado sobre acuicultura y las directrices complementarias. Eurostat y la Comisión General de Pesca del Mediterráneo (CGPM) asumieron la responsabilidad de coordinar la reunión del CWP-AS durante el período entre las reunio</w:t>
      </w:r>
      <w:r w:rsidR="00D56EC6">
        <w:t>nes 24</w:t>
      </w:r>
      <w:proofErr w:type="gramStart"/>
      <w:r w:rsidR="00D56EC6">
        <w:t>.ª</w:t>
      </w:r>
      <w:proofErr w:type="gramEnd"/>
      <w:r w:rsidR="00D56EC6">
        <w:t xml:space="preserve"> y 25.ª del CWP (2013</w:t>
      </w:r>
      <w:r w:rsidR="00D56EC6">
        <w:noBreakHyphen/>
      </w:r>
      <w:r w:rsidRPr="001D3BA6">
        <w:t>16).</w:t>
      </w:r>
    </w:p>
    <w:p w:rsidR="00571FBC" w:rsidRPr="001D3BA6" w:rsidRDefault="00571FBC" w:rsidP="007675BB">
      <w:pPr>
        <w:pStyle w:val="NewPara"/>
      </w:pPr>
      <w:r w:rsidRPr="001D3BA6">
        <w:t xml:space="preserve">El Grupo de acción para la elaboración de cuestionarios inició sus actividades en 2014 celebrando varias reuniones y poniendo en práctica una colaboración complementaria. Comparó los cuestionarios que actualmente utilizan diferentes organizaciones y confirmó que en general eran </w:t>
      </w:r>
      <w:r w:rsidRPr="001D3BA6">
        <w:lastRenderedPageBreak/>
        <w:t>coherentes entre ellos. El Grupo de acción está elaborando un proyecto de cuestionarios normalizados sobre acuicultura y directrices complementarias que se presentará en la siguiente reunión del CWP</w:t>
      </w:r>
      <w:r w:rsidR="00D56EC6">
        <w:noBreakHyphen/>
      </w:r>
      <w:r w:rsidRPr="001D3BA6">
        <w:t xml:space="preserve">AS, que se prevé que se celebre justo antes de esta reunión del Subcomité. El proyecto actual de cuestionarios recoge cuadros básicos sobre la producción a partir de la cría, las semillas artificiales, las semillas silvestres y las zonas o instalaciones de producción acuícola, así como cuadros complementarios sobre las poblaciones de peces, las pérdidas imprevistas y los aspectos socioeconómicos relativos a las actividades acuícolas. </w:t>
      </w:r>
    </w:p>
    <w:p w:rsidR="00571FBC" w:rsidRPr="001D3BA6" w:rsidRDefault="00571FBC" w:rsidP="007675BB">
      <w:pPr>
        <w:pStyle w:val="NewPara"/>
      </w:pPr>
      <w:r w:rsidRPr="001D3BA6">
        <w:t>La elaboración de una norma se centra en el establecimiento de un mínimo básico para garantizar la comparabilidad mundial de los datos recopilados pero también en alentar a los países a que recojan información más detallada e integrada. Las directrices complementarias se planifican de modo que incluyan terminología, una descripción clara de cada punto y la cobertura pretendida de los cuadros individuales, las cuestiones relativas a la confidencialidad y posibles medidas de mitigación sin comprometer la coherencia y comparabilidad de los datos a fin de obtener sugerencias más integradas y pragmáticas en la recopilación y compilación de datos.</w:t>
      </w:r>
    </w:p>
    <w:p w:rsidR="00571FBC" w:rsidRPr="001D3BA6" w:rsidRDefault="00571FBC" w:rsidP="007675BB">
      <w:pPr>
        <w:pStyle w:val="NewPara"/>
      </w:pPr>
      <w:r w:rsidRPr="001D3BA6">
        <w:t>Según su mandato, el CWP-AS debe celebrar sus reuniones en paralelo al Subcomité de Acuicultura del COFI con miras a aumentar al máximo la posible participación de expertos en acuicultura. En realidad, tras el establecimiento oficial del CWP-AS, de las cuatro reuniones previstas, dos se han cancelado debido a la imposibilidad de que asistieran miembros del CWP, además de los de la FAO. La participación de expertos nacionales en acuicultura ha seguido siendo baja. La FAO busca el asesoramiento del Subcomité sobre su expectativa respecto del CWP-AS y mecanismos apropiados para mantener un nivel adecuado de actividades.</w:t>
      </w:r>
    </w:p>
    <w:p w:rsidR="00571FBC" w:rsidRPr="001D3BA6" w:rsidRDefault="00571FBC" w:rsidP="007675BB">
      <w:pPr>
        <w:pStyle w:val="NewPara"/>
      </w:pPr>
      <w:r w:rsidRPr="001D3BA6">
        <w:t xml:space="preserve">Se pretende que el Manual abarque una variedad de conceptos básicos, definiciones, clasificaciones unificadas y códigos correspondientes, que se aplican a la recopilación de datos y las estadísticas en relación con la acuicultura, así como que proporcione los principios a escala internacional. A continuación se exponen la estructura y los contenidos principales del Manual: </w:t>
      </w:r>
    </w:p>
    <w:p w:rsidR="00571FBC" w:rsidRPr="001D3BA6" w:rsidRDefault="00571FBC" w:rsidP="00C21534">
      <w:pPr>
        <w:pStyle w:val="BulletList"/>
      </w:pPr>
      <w:r w:rsidRPr="001D3BA6">
        <w:t xml:space="preserve">Capítulo 1: definición de </w:t>
      </w:r>
      <w:r w:rsidR="0014362A">
        <w:t>“</w:t>
      </w:r>
      <w:r w:rsidRPr="001D3BA6">
        <w:t>acuicultura</w:t>
      </w:r>
      <w:r w:rsidR="0014362A">
        <w:t>”</w:t>
      </w:r>
      <w:r w:rsidRPr="001D3BA6">
        <w:t>, incluidos sus diferentes tipos.</w:t>
      </w:r>
    </w:p>
    <w:p w:rsidR="00571FBC" w:rsidRPr="001D3BA6" w:rsidRDefault="00571FBC" w:rsidP="00C21534">
      <w:pPr>
        <w:pStyle w:val="BulletList"/>
      </w:pPr>
      <w:r w:rsidRPr="001D3BA6">
        <w:t>Capítulo 2: explicación del atributo que define las actividades y la producción acuícolas con fines estadísticos, como la propiedad, el entorno del cultivo, la ubicación y la clasificación de los sistemas de cultivo.</w:t>
      </w:r>
    </w:p>
    <w:p w:rsidR="00571FBC" w:rsidRPr="001D3BA6" w:rsidRDefault="00571FBC" w:rsidP="00C21534">
      <w:pPr>
        <w:pStyle w:val="BulletList"/>
      </w:pPr>
      <w:r w:rsidRPr="001D3BA6">
        <w:t>Capítulo 3-5: presentación de conceptos básicos de medición de los insumos necesarios para la producción acuícola y los resultados de las actividades acuícolas para fines estadísticos.</w:t>
      </w:r>
    </w:p>
    <w:p w:rsidR="00571FBC" w:rsidRPr="001D3BA6" w:rsidRDefault="00571FBC" w:rsidP="00C21534">
      <w:pPr>
        <w:pStyle w:val="BulletList"/>
      </w:pPr>
      <w:r w:rsidRPr="001D3BA6">
        <w:t>Capítulo 6: establecimiento de los requisitos mínimos de información para la elaboración de estadísticas nacionales sobre acuicultura.</w:t>
      </w:r>
    </w:p>
    <w:p w:rsidR="00571FBC" w:rsidRPr="001D3BA6" w:rsidRDefault="00571FBC" w:rsidP="00C21534">
      <w:pPr>
        <w:pStyle w:val="BulletList"/>
      </w:pPr>
      <w:r w:rsidRPr="001D3BA6">
        <w:t>Capítulo 7: presentación de información sobre instrumentos y metodologías de recopilación de datos que podrían ser en particular útiles en la recopilación de datos sobre acuicultura.</w:t>
      </w:r>
    </w:p>
    <w:p w:rsidR="00571FBC" w:rsidRPr="001D3BA6" w:rsidRDefault="00571FBC" w:rsidP="00C21534">
      <w:pPr>
        <w:pStyle w:val="BulletList"/>
      </w:pPr>
      <w:r w:rsidRPr="001D3BA6">
        <w:t>Capítulo 8: facilitación de información general sobre conceptos y clasificaciones utilizados con frecuencia en las estadísti</w:t>
      </w:r>
      <w:r w:rsidR="0014362A">
        <w:t>cas de pesca y acuicultura.</w:t>
      </w:r>
    </w:p>
    <w:p w:rsidR="00571FBC" w:rsidRPr="001D3BA6" w:rsidRDefault="00571FBC" w:rsidP="007675BB">
      <w:pPr>
        <w:pStyle w:val="NewPara"/>
      </w:pPr>
      <w:r w:rsidRPr="001D3BA6">
        <w:t xml:space="preserve">Con objeto de llevar un seguimiento del sector de la acuicultura, en el Manual se recomienda que los países recojan como mínimo datos sobre la cantidad y el valor de los insumos (por ejemplo, de las semillas), distinguiendo si son de origen silvestre o artificial, y de los resultados (componente que sale del sistema de acuicultura, normalmente la producción) desglosados por especies, entorno, tipo de sistema de cultivo y destinos principales (es decir, si se destinará a la alimentación o a usos no alimentarios; en el caso de la producción de semillas, si será una semilla artificial o se destinará a la repoblación), número de personas que trabajan en la acuicultura e información sobre las instalaciones acuícolas. Para fines estadísticos se recomienda que se utilicen las cinco agrupaciones de sistemas de servicios de cultivo siguientes: i) estanques; ii) jaulas, canales, tanques, recintos, corrales; iii) lagos, embalses, presas, represas, planos aluviales, sistemas de riego; iv) arrozales combinados de producción de arroz y cría de peces; v) sistemas de cultivo en suspensión, sistemas de cultivo sumergido. </w:t>
      </w:r>
    </w:p>
    <w:p w:rsidR="00571FBC" w:rsidRPr="001D3BA6" w:rsidRDefault="00571FBC" w:rsidP="007675BB">
      <w:pPr>
        <w:pStyle w:val="NewPara"/>
      </w:pPr>
      <w:r w:rsidRPr="001D3BA6">
        <w:lastRenderedPageBreak/>
        <w:t xml:space="preserve">Actualmente solo se dispone de la versión en inglés del Manual y se hará todo lo posible por traducirlo a otros idiomas oficiales de la FAO en los próximos meses. </w:t>
      </w:r>
    </w:p>
    <w:p w:rsidR="00571FBC" w:rsidRPr="001D3BA6" w:rsidRDefault="00571FBC" w:rsidP="00C21534">
      <w:pPr>
        <w:pStyle w:val="Heading2"/>
        <w:numPr>
          <w:ilvl w:val="0"/>
          <w:numId w:val="0"/>
        </w:numPr>
        <w:ind w:left="1"/>
        <w:jc w:val="left"/>
      </w:pPr>
      <w:r w:rsidRPr="001D3BA6">
        <w:t xml:space="preserve">MODIFICACIÓN DE LAS NORMAS Y CLASIFICACIONES MUNDIALES RELATIVAS A LA ACUICULTURA </w:t>
      </w:r>
    </w:p>
    <w:p w:rsidR="00571FBC" w:rsidRPr="001D3BA6" w:rsidRDefault="00571FBC" w:rsidP="007675BB">
      <w:pPr>
        <w:pStyle w:val="NewPara"/>
      </w:pPr>
      <w:r w:rsidRPr="001D3BA6">
        <w:t xml:space="preserve">Revisión de la Clasificación Central de Productos (CPC) de las Naciones Unidas: la Clasificación Central de Productos de las Naciones Unidas es una clasificación internacional de productos y servicios prestados. Los productos procedentes de la pesca y el subsector de la acuicultura están recogidos principalmente en el Grupo 04 </w:t>
      </w:r>
      <w:r w:rsidR="0014362A">
        <w:t>“</w:t>
      </w:r>
      <w:r w:rsidRPr="001D3BA6">
        <w:t>Pescado y otros productos de la pesca</w:t>
      </w:r>
      <w:r w:rsidR="0014362A">
        <w:t>”</w:t>
      </w:r>
      <w:r w:rsidRPr="001D3BA6">
        <w:t xml:space="preserve"> y el Grupo 212 </w:t>
      </w:r>
      <w:r w:rsidR="0014362A">
        <w:t>“</w:t>
      </w:r>
      <w:r w:rsidRPr="001D3BA6">
        <w:t>Conservas y preparados de pescado, crustáceos, moluscos u otros invertebrados acuáticos</w:t>
      </w:r>
      <w:r w:rsidR="0014362A">
        <w:t>”</w:t>
      </w:r>
      <w:r w:rsidRPr="001D3BA6">
        <w:t>. Como parte del esfuerzo por armonizar la clasificación estadística utilizada en las Naciones Unidas y otras organizaciones intergubernamentales, la FAO elaboró una propuesta de revisión de la CPC en 2011 a fin de que se aplicara a la descripción de los productos de la agricultura primaria, con inclusión de los de la pesca y la acuicultura. La Comisión de Estadística de las Naciones Unidas (UNSC) aceptó la propuesta en 2012 junto con otras propuestas de revisiones. Recientemente se logró completar el examen técnico y el proceso de edición y pronto se publicará la versión 2.1 de la CPC en el Registro de Clasificaciones de las Naciones Unidas</w:t>
      </w:r>
      <w:r w:rsidRPr="001D3BA6">
        <w:rPr>
          <w:rStyle w:val="FootnoteReference"/>
        </w:rPr>
        <w:footnoteReference w:id="11"/>
      </w:r>
      <w:r w:rsidRPr="001D3BA6">
        <w:t>.</w:t>
      </w:r>
    </w:p>
    <w:p w:rsidR="00571FBC" w:rsidRPr="001D3BA6" w:rsidRDefault="00571FBC" w:rsidP="007675BB">
      <w:pPr>
        <w:pStyle w:val="NewPara"/>
      </w:pPr>
      <w:r w:rsidRPr="001D3BA6">
        <w:t xml:space="preserve">La versión 2.1 de la CPC permitirá la separación del pescado producido por la acuicultura del procedente de la pesca de captura. También distingue entre productos de pescado utilizados con fines ornamentales, para el consumo humano y para otros usos, como las semillas y los alimentos para la acuicultura. El nivel de agregación taxonómica se corresponde con el que se emplea en el Sistema armonizado de designación y codificación de mercancías, conocido comúnmente como el Sistema armonizado (SA) de la Organización Mundial de Aduanas (OMA). En consecuencia, cuando se recogen datos sobre la producción acuícola en un marco amplio para abarcar distintos sectores de producción, la versión 2.1 de la CPC puede ofrecer un marco comparable a escala mundial que es también aceptable para requisitos de datos sobre acuicultura. La versión 2.1 de la CPC también proporcionaría orientación relativa a posibles agrupamientos de especies cuando los países se encontraran con problemas en la recopilación o comunicación de datos sobre producción desglosados por especies. </w:t>
      </w:r>
    </w:p>
    <w:p w:rsidR="00571FBC" w:rsidRPr="001D3BA6" w:rsidRDefault="00571FBC" w:rsidP="00C21534">
      <w:pPr>
        <w:rPr>
          <w:u w:val="single"/>
        </w:rPr>
      </w:pPr>
      <w:r w:rsidRPr="001D3BA6">
        <w:rPr>
          <w:u w:val="single"/>
        </w:rPr>
        <w:t>Clasificación del uso de la tierra del Sistema de Contabilidad Ambiental y Económica</w:t>
      </w:r>
    </w:p>
    <w:p w:rsidR="00571FBC" w:rsidRPr="001D3BA6" w:rsidRDefault="00571FBC" w:rsidP="007675BB">
      <w:pPr>
        <w:pStyle w:val="NewPara"/>
      </w:pPr>
      <w:r w:rsidRPr="001D3BA6">
        <w:t>La División de Estadística de las Naciones Unidas finalizó el proceso de revisión del Marco central del Sistema de Contabilidad Ambiental y Económica</w:t>
      </w:r>
      <w:r w:rsidRPr="001D3BA6">
        <w:rPr>
          <w:rStyle w:val="FootnoteReference"/>
        </w:rPr>
        <w:footnoteReference w:id="12"/>
      </w:r>
      <w:r w:rsidRPr="001D3BA6">
        <w:t xml:space="preserve"> en 2014 e incluyó la clasificación del uso de la tierra en el Anexo I-B, elaborada a partir de la propuesta de la FAO. Recientemente estableció una categoría titulada </w:t>
      </w:r>
      <w:r w:rsidR="0014362A">
        <w:t>“</w:t>
      </w:r>
      <w:r w:rsidRPr="001D3BA6">
        <w:t>Tierra utilizada para la acuicultura</w:t>
      </w:r>
      <w:r w:rsidR="0014362A">
        <w:t>”</w:t>
      </w:r>
      <w:r w:rsidRPr="001D3BA6">
        <w:t xml:space="preserve"> con dos subcategorías, </w:t>
      </w:r>
      <w:r w:rsidR="0014362A">
        <w:t>“</w:t>
      </w:r>
      <w:r w:rsidRPr="001D3BA6">
        <w:t>Tierra utilizada para criaderos</w:t>
      </w:r>
      <w:r w:rsidR="0014362A">
        <w:t>”</w:t>
      </w:r>
      <w:r w:rsidRPr="001D3BA6">
        <w:t xml:space="preserve"> y </w:t>
      </w:r>
      <w:r w:rsidR="0014362A">
        <w:t>“</w:t>
      </w:r>
      <w:r w:rsidRPr="001D3BA6">
        <w:t>Zonas de cría gestionadas en tierra</w:t>
      </w:r>
      <w:r w:rsidR="0014362A">
        <w:t>”</w:t>
      </w:r>
      <w:r w:rsidRPr="001D3BA6">
        <w:t xml:space="preserve">, además de cuatro subcategorías en el tema relativo a las aguas continentales, </w:t>
      </w:r>
      <w:r w:rsidR="0014362A">
        <w:t>“</w:t>
      </w:r>
      <w:r w:rsidRPr="001D3BA6">
        <w:t>Aguas continentales usadas para instalaciones de acuicultura o conservación</w:t>
      </w:r>
      <w:r w:rsidR="0014362A">
        <w:t>”</w:t>
      </w:r>
      <w:r w:rsidRPr="001D3BA6">
        <w:t xml:space="preserve">, </w:t>
      </w:r>
      <w:r w:rsidR="0014362A">
        <w:t>“</w:t>
      </w:r>
      <w:r w:rsidRPr="001D3BA6">
        <w:t>Aguas continentales usadas para el mantenimiento y el restablecimiento de las funciones medioambientales</w:t>
      </w:r>
      <w:r w:rsidR="0014362A">
        <w:t>”</w:t>
      </w:r>
      <w:r w:rsidRPr="001D3BA6">
        <w:t xml:space="preserve">, </w:t>
      </w:r>
      <w:r w:rsidR="0014362A">
        <w:t>“</w:t>
      </w:r>
      <w:r w:rsidRPr="001D3BA6">
        <w:t>Otros usos de las aguas continentales</w:t>
      </w:r>
      <w:r w:rsidR="0014362A">
        <w:t>”</w:t>
      </w:r>
      <w:r w:rsidRPr="001D3BA6">
        <w:t xml:space="preserve"> y </w:t>
      </w:r>
      <w:r w:rsidR="0014362A">
        <w:t>“</w:t>
      </w:r>
      <w:r w:rsidRPr="001D3BA6">
        <w:t>Aguas continentales no utilizadas</w:t>
      </w:r>
      <w:r w:rsidR="0014362A">
        <w:t>”</w:t>
      </w:r>
      <w:r w:rsidRPr="001D3BA6">
        <w:t xml:space="preserve">. Asimismo, se añadieron clases para el análisis de áreas costeras y zonas económicas exclusivas (ZEE) a fin de ampliar el análisis del territorio económico de un país, más allá del terreno y las aguas continentales, con el mismo conjunto de subcategorías que en el caso de las aguas continentales. </w:t>
      </w:r>
    </w:p>
    <w:p w:rsidR="00571FBC" w:rsidRPr="001D3BA6" w:rsidRDefault="00571FBC" w:rsidP="007675BB">
      <w:pPr>
        <w:pStyle w:val="NewPara"/>
      </w:pPr>
      <w:r w:rsidRPr="001D3BA6">
        <w:t xml:space="preserve">En consecuencia, la FAO modificó su cuestionario sobre el uso de la tierra en 2014 para incorporar la clasificación del uso de la tierra del Sistema de Contabilidad Ambiental y Económica recientemente establecida. En relación con las aguas continentales, se han añadido preguntas complementarias a fin de abordar las fluctuaciones estacionales de superficies de agua y la extensión de los arrozales. La División de Estadística del Departamento de Desarrollo Económico y Social (ES) </w:t>
      </w:r>
      <w:r w:rsidRPr="001D3BA6">
        <w:lastRenderedPageBreak/>
        <w:t xml:space="preserve">de la FAO envió el cuestionario revisado a los países y siete de ellos respondieron con información sobre las aguas continentales en 2014, pero ninguno facilitó información sobre el uso de la tierra y el agua para la acuicultura. </w:t>
      </w:r>
    </w:p>
    <w:p w:rsidR="00571FBC" w:rsidRPr="001D3BA6" w:rsidRDefault="00571FBC" w:rsidP="00C21534">
      <w:pPr>
        <w:pStyle w:val="Heading2"/>
        <w:numPr>
          <w:ilvl w:val="0"/>
          <w:numId w:val="0"/>
        </w:numPr>
        <w:ind w:left="1"/>
        <w:jc w:val="left"/>
      </w:pPr>
      <w:r w:rsidRPr="001D3BA6">
        <w:t>MEJORA DE LAS COMPETENCIAS BÁSICAS EN MATERIA DE INFORMACIÓN EN APOYO DE LA APLICACIÓN DE LA INICIATIVA SOBRE EL CRECIMIENTO AZUL</w:t>
      </w:r>
    </w:p>
    <w:p w:rsidR="00571FBC" w:rsidRPr="001D3BA6" w:rsidRDefault="00571FBC" w:rsidP="007675BB">
      <w:pPr>
        <w:pStyle w:val="NewPara"/>
      </w:pPr>
      <w:r w:rsidRPr="001D3BA6">
        <w:t xml:space="preserve">La FAO promueve la Iniciativa sobre el crecimiento azul, que se define como </w:t>
      </w:r>
      <w:r w:rsidR="0014362A">
        <w:t>“</w:t>
      </w:r>
      <w:r w:rsidRPr="001D3BA6">
        <w:t>un crecimiento y desarrollo sostenible procedente de las actividades económicas en los océanos, las vías fluviales y las zonas costeras, que minimiza la degradación medioambiental, la pérdida de la diversidad biológica y el uso no sostenible de los recursos acuáticos vivos y maximiza los beneficios económicos y sociales</w:t>
      </w:r>
      <w:r w:rsidR="0014362A">
        <w:t>”</w:t>
      </w:r>
      <w:r w:rsidRPr="001D3BA6">
        <w:t xml:space="preserve">, lo que se consigue mediante la responsabilidad y la sostenibilidad de los sectores de la pesca y la acuicultura. Disponer de información oportuna y fiable es un primer paso fundamental en la ejecución de la Iniciativa sobre el crecimiento azul, lo que aumenta aún más la necesidad de contar con información que sea comparable y pueda comunicarse fácilmente entre los diferentes segmentos, sectores e intereses. </w:t>
      </w:r>
    </w:p>
    <w:p w:rsidR="00571FBC" w:rsidRPr="001D3BA6" w:rsidRDefault="00571FBC" w:rsidP="007675BB">
      <w:pPr>
        <w:pStyle w:val="NewPara"/>
      </w:pPr>
      <w:r w:rsidRPr="001D3BA6">
        <w:t xml:space="preserve">En un intento por sugerir una solución pragmática para la obtención de una imagen amplia de las repercusiones y la contribución de la pesca artesanal y la acuicultura, la FAO ha formulado las </w:t>
      </w:r>
      <w:r w:rsidR="0014362A">
        <w:t>“</w:t>
      </w:r>
      <w:proofErr w:type="spellStart"/>
      <w:r w:rsidRPr="001D3BA6">
        <w:t>Guidelines</w:t>
      </w:r>
      <w:proofErr w:type="spellEnd"/>
      <w:r w:rsidRPr="001D3BA6">
        <w:t xml:space="preserve"> to </w:t>
      </w:r>
      <w:proofErr w:type="spellStart"/>
      <w:r w:rsidRPr="001D3BA6">
        <w:t>enhance</w:t>
      </w:r>
      <w:proofErr w:type="spellEnd"/>
      <w:r w:rsidRPr="001D3BA6">
        <w:t xml:space="preserve"> </w:t>
      </w:r>
      <w:proofErr w:type="spellStart"/>
      <w:r w:rsidRPr="001D3BA6">
        <w:t>fisheries</w:t>
      </w:r>
      <w:proofErr w:type="spellEnd"/>
      <w:r w:rsidRPr="001D3BA6">
        <w:t xml:space="preserve"> and aquaculture statistics </w:t>
      </w:r>
      <w:proofErr w:type="spellStart"/>
      <w:r w:rsidRPr="001D3BA6">
        <w:t>through</w:t>
      </w:r>
      <w:proofErr w:type="spellEnd"/>
      <w:r w:rsidRPr="001D3BA6">
        <w:t xml:space="preserve"> a </w:t>
      </w:r>
      <w:proofErr w:type="spellStart"/>
      <w:r w:rsidRPr="001D3BA6">
        <w:t>census</w:t>
      </w:r>
      <w:proofErr w:type="spellEnd"/>
      <w:r w:rsidRPr="001D3BA6">
        <w:t xml:space="preserve"> </w:t>
      </w:r>
      <w:proofErr w:type="spellStart"/>
      <w:r w:rsidRPr="001D3BA6">
        <w:t>framework</w:t>
      </w:r>
      <w:proofErr w:type="spellEnd"/>
      <w:r w:rsidR="0014362A">
        <w:t>”</w:t>
      </w:r>
      <w:r w:rsidRPr="001D3BA6">
        <w:rPr>
          <w:rStyle w:val="FootnoteReference"/>
        </w:rPr>
        <w:footnoteReference w:id="13"/>
      </w:r>
      <w:r w:rsidRPr="001D3BA6">
        <w:t xml:space="preserve"> (Directrices para la mejora de las estadísticas sobre pesca y acuicultura a través del marco de un censo) como parte de las actividades de investigación financiadas con cargo a la Estrategia mundial. La estructura básica de las Directrices se ajusta a los conceptos aprobados en el Censo Agropecuario Mundial, con inclusión de una jerarquía de preguntas a nivel del censo seguida de elementos de encuestas dirigidos a la comunidad y a las familias a la vez que se utiliza un enfoque modular para aumentar la utilidad y reducir los costos de aplicación.</w:t>
      </w:r>
    </w:p>
    <w:p w:rsidR="00571FBC" w:rsidRPr="001D3BA6" w:rsidRDefault="00571FBC" w:rsidP="007675BB">
      <w:pPr>
        <w:pStyle w:val="NewPara"/>
      </w:pPr>
      <w:r w:rsidRPr="001D3BA6">
        <w:t xml:space="preserve">Las Directrices seleccionan una familia como unidad de la encuesta y reducen al mínimo la separación entre acuicultura, pesca de captura y elaboración poscaptura, teniendo en cuenta que una familia puede a menudo participar en las tres actividades de manera continuada, en particular en el caso de las operaciones en pequeña escala. Tratan de abarcar la amplia variedad de cuestiones en forma de módulos a fin de dar cabida a las necesidades de seguimiento integral en apoyo de la aplicación de las iniciativas sobre el crecimiento azul y el enfoque de gestión del ecosistema. Los países diseñarían sus propias encuestas censales seleccionando los módulos adecuados y los tipos de preguntas en categorías específicas de acuerdo con las necesidades e intereses en materia de políticas así como la disponibilidad de fondos. Las Directrices están listas para ser publicadas en el sitio web de la Estrategia mundial a fin de recopilar nuevas observaciones y aplicarlas anticipadamente y con carácter experimental sobre el terreno. </w:t>
      </w:r>
    </w:p>
    <w:p w:rsidR="00571FBC" w:rsidRPr="001D3BA6" w:rsidRDefault="00571FBC" w:rsidP="007675BB">
      <w:pPr>
        <w:pStyle w:val="NewPara"/>
      </w:pPr>
      <w:r w:rsidRPr="001D3BA6">
        <w:t>El acceso al agua constituye una de las principales limitaciones para la acuicultura, que compite con otros sectores, como el riego, los usos urbano e industrial, la contaminación del agua y las construcciones de presas para la generación de energía hidroeléctrica y el represamiento del agua. Para determinar los indicadores adecuados que señalen la importancia de los recursos hídricos para la pesca y la acuicultura en conjunto, la FAO reunió indicadores relacionados con el agua relativos a 18 de los principales países productores de pescado de Asia y África. Se seleccionaron los indicadores para que cubrieran cuatro aspectos —el social, el económico, el ambiental y el nutricional— pertinentes a escala nacional y aplicables tanto a la pesca de captura continental como a la acuicultura. El informe está listo para su publicación y en él se proporcionan pruebas de la importancia de la pesca continental y la acuicultura en términos de seguridad alimentaria, empleo y mejora de la nutrición a través del uso del agua de las corrientes. La información ayudaría a que el sector adquiriera fuerza, de modo que en los programas locales y nacionales sobre políticas se le diera una atención adecuada y renovada.</w:t>
      </w:r>
    </w:p>
    <w:p w:rsidR="00571FBC" w:rsidRPr="001D3BA6" w:rsidRDefault="00571FBC" w:rsidP="007675BB">
      <w:pPr>
        <w:pStyle w:val="NewPara"/>
      </w:pPr>
      <w:r w:rsidRPr="001D3BA6">
        <w:lastRenderedPageBreak/>
        <w:t xml:space="preserve">Los inventarios de ubicación y estado de las explotaciones piscícolas existentes (y las abandonadas), así como las prácticas acuícolas, constituyen una fase esencial que puede contribuir a mejorar la ubicación y la ordenación. Estos inventarios pueden compararse con ecosistemas y hábitats delicados para destacar las posibles repercusiones y pueden también vincularse al proceso de concesión de licencias a fin de identificar las explotaciones no registradas o ilegales. Las imágenes por satélite constituyen un instrumento eficaz a la hora de obtener información geográfica general, en particular la ubicación y el tamaño de instalaciones acuícolas. A este respecto, la FAO elabora inventarios sobre acuicultura —la colección de mapas de la visión general del sector acuícola nacional (mapas NASO) (http://www.fao.org/fishery/naso-maps/pagina-principal-naso/es/)— basados en la tecnología de las aplicaciones Google Maps y Google Earth en colaboración con los Estados Miembros interesados. Los mapas NASO contienen información sobre especies, sistemas de cultivo y producción, además de la ubicación de las diversas explotaciones. Además de los mapas NASO, la FAO también reunió imágenes y ubicaciones de instalaciones acuícolas de Google Earth en una base de datos, cuya publicación está prevista para 2016. </w:t>
      </w:r>
    </w:p>
    <w:p w:rsidR="00571FBC" w:rsidRPr="001D3BA6" w:rsidRDefault="00571FBC" w:rsidP="007675BB">
      <w:pPr>
        <w:pStyle w:val="NewPara"/>
      </w:pPr>
      <w:r w:rsidRPr="001D3BA6">
        <w:t xml:space="preserve">La FAO logró obtener financiación de la Comisión Europea en el contexto del apoyo informativo a la aplicación de la Iniciativa sobre el crecimiento azul, cuyo objetivo es la sostenibilidad de un buen estado medioambiental de los mares y las masas de agua dulce. Para llevar a cabo este seguimiento es necesario un conocimiento profundo de los principales aspectos de la explotación humana de los recursos acuáticos, incluida la acuicultura. Uno de los dos componentes del nuevo proyecto titulado </w:t>
      </w:r>
      <w:r w:rsidR="0014362A">
        <w:t>“</w:t>
      </w:r>
      <w:proofErr w:type="spellStart"/>
      <w:r w:rsidRPr="001D3BA6">
        <w:t>Building</w:t>
      </w:r>
      <w:proofErr w:type="spellEnd"/>
      <w:r w:rsidRPr="001D3BA6">
        <w:t xml:space="preserve"> </w:t>
      </w:r>
      <w:proofErr w:type="spellStart"/>
      <w:r w:rsidRPr="001D3BA6">
        <w:t>research</w:t>
      </w:r>
      <w:proofErr w:type="spellEnd"/>
      <w:r w:rsidRPr="001D3BA6">
        <w:t xml:space="preserve"> </w:t>
      </w:r>
      <w:proofErr w:type="spellStart"/>
      <w:r w:rsidRPr="001D3BA6">
        <w:t>environments</w:t>
      </w:r>
      <w:proofErr w:type="spellEnd"/>
      <w:r w:rsidRPr="001D3BA6">
        <w:t xml:space="preserve"> </w:t>
      </w:r>
      <w:proofErr w:type="spellStart"/>
      <w:r w:rsidRPr="001D3BA6">
        <w:t>for</w:t>
      </w:r>
      <w:proofErr w:type="spellEnd"/>
      <w:r w:rsidRPr="001D3BA6">
        <w:t xml:space="preserve"> innovation, </w:t>
      </w:r>
      <w:proofErr w:type="spellStart"/>
      <w:r w:rsidRPr="001D3BA6">
        <w:t>decision-making</w:t>
      </w:r>
      <w:proofErr w:type="spellEnd"/>
      <w:r w:rsidRPr="001D3BA6">
        <w:t xml:space="preserve">, </w:t>
      </w:r>
      <w:proofErr w:type="spellStart"/>
      <w:r w:rsidRPr="001D3BA6">
        <w:t>governance</w:t>
      </w:r>
      <w:proofErr w:type="spellEnd"/>
      <w:r w:rsidRPr="001D3BA6">
        <w:t xml:space="preserve"> and </w:t>
      </w:r>
      <w:proofErr w:type="spellStart"/>
      <w:r w:rsidRPr="001D3BA6">
        <w:t>education</w:t>
      </w:r>
      <w:proofErr w:type="spellEnd"/>
      <w:r w:rsidR="0014362A">
        <w:t>”</w:t>
      </w:r>
      <w:r w:rsidRPr="001D3BA6">
        <w:t xml:space="preserve"> (Creación de entornos de investigación para la innovación, la toma de decisiones, la gobernanza y la educación) (BlueBRIDGE) se centrará específicamente en la generación de un atlas sobre acuicultura, en el que se proporcionará un entorno innovador que favorecerá la elaboración fácil, eficaz y eficiente de un atlas de la actividad piscícola y las zonas naturales utilizando información satelital, con objeto de reforzar y complementar la iniciativa relativa a los mapas NASO. </w:t>
      </w:r>
    </w:p>
    <w:p w:rsidR="00DC60D2" w:rsidRPr="001D3BA6" w:rsidRDefault="00571FBC" w:rsidP="00571FBC">
      <w:pPr>
        <w:pStyle w:val="NewPara"/>
      </w:pPr>
      <w:r w:rsidRPr="001D3BA6">
        <w:t>Contar con estadísticas fiables y oportunas es el principal requisito de una gestión basada en datos empíricos. El objetivo primordial de las estadísticas nacionales es respaldar la gestión y la toma de decisiones llevadas a cabo por los países, y no la presentación de informes a la FAO. En particular, en el marco de la Iniciativa sobre el crecimiento azul, donde existe la necesidad imperiosa de tener un conocimiento profundo de las situaciones generales que engloban los intereses de los actores y la conservación del medio ambiente, se vuelve sumamente importante que cada país establezca sus propias prioridades y diseñe un sistema de recopilación de datos acorde, sin perder la comparabilidad con los indicadores mundiales. Lamentablemente, parece ser que la expansión, en muchos países, del sector de la acuicultura ha dejado atrás la capacidad nacional de seguimiento del sector. Algunos países ni siquiera disponen de sistemas de recopilación de datos relativos a la acuicultura y se apoyan únicamente en la información administrativa. Todas las iniciativas mencionadas anteriormente tienen como objetivo respaldar la aplicación de la Iniciativa sobre el crecimiento azul y han avanzado hasta estar listas para ser ejecutadas sobre el terreno. La FAO está deseosa de oír voces interesadas en la participación, la asociación, el apoyo técnico y financiero o la necesidad de asistencia.</w:t>
      </w:r>
    </w:p>
    <w:sectPr w:rsidR="00DC60D2" w:rsidRPr="001D3BA6" w:rsidSect="007675BB">
      <w:headerReference w:type="even" r:id="rId8"/>
      <w:headerReference w:type="default" r:id="rId9"/>
      <w:headerReference w:type="first" r:id="rId10"/>
      <w:footerReference w:type="first" r:id="rId11"/>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C6F" w:rsidRDefault="00992C6F" w:rsidP="00571FBC">
      <w:pPr>
        <w:spacing w:after="0"/>
      </w:pPr>
      <w:r>
        <w:separator/>
      </w:r>
    </w:p>
  </w:endnote>
  <w:endnote w:type="continuationSeparator" w:id="0">
    <w:p w:rsidR="00992C6F" w:rsidRDefault="00992C6F" w:rsidP="00571F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1"/>
    </w:tblGrid>
    <w:tr w:rsidR="00930612" w:rsidTr="00E510BB">
      <w:tc>
        <w:tcPr>
          <w:tcW w:w="9071" w:type="dxa"/>
        </w:tcPr>
        <w:p w:rsidR="00930612" w:rsidRDefault="00571FBC" w:rsidP="00755740">
          <w:pPr>
            <w:pStyle w:val="Note"/>
            <w:textboxTightWrap w:val="allLines"/>
          </w:pPr>
          <w:bookmarkStart w:id="9" w:name="NotesBookmark"/>
          <w:r>
            <w:t xml:space="preserve">Para minimizar los efectos de los métodos de trabajo de la FAO en el medio ambiente y contribuir a la neutralidad respecto del clima, se ha publicado un número limitado de ejemplares de este documento. Se ruega a los delegados y observadores que lleven sus copias a las reuniones y se abstengan de pedir copias adicionales. La mayoría de los documentos de reunión de la FAO está disponible en Internet, en el sitio www.fao.org. </w:t>
          </w:r>
          <w:bookmarkEnd w:id="9"/>
        </w:p>
      </w:tc>
    </w:tr>
  </w:tbl>
  <w:p w:rsidR="009C0B0C" w:rsidRPr="009C0B0C" w:rsidRDefault="008D002A" w:rsidP="008D002A">
    <w:pPr>
      <w:spacing w:before="120" w:after="0"/>
    </w:pPr>
    <w:r>
      <w:t>MO263/s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C6F" w:rsidRDefault="00992C6F" w:rsidP="00571FBC">
      <w:pPr>
        <w:spacing w:after="0"/>
      </w:pPr>
      <w:r>
        <w:separator/>
      </w:r>
    </w:p>
  </w:footnote>
  <w:footnote w:type="continuationSeparator" w:id="0">
    <w:p w:rsidR="00992C6F" w:rsidRDefault="00992C6F" w:rsidP="00571FBC">
      <w:pPr>
        <w:spacing w:after="0"/>
      </w:pPr>
      <w:r>
        <w:continuationSeparator/>
      </w:r>
    </w:p>
  </w:footnote>
  <w:footnote w:id="1">
    <w:p w:rsidR="00571FBC" w:rsidRPr="00E7100B" w:rsidRDefault="00571FBC" w:rsidP="00571FBC">
      <w:pPr>
        <w:pStyle w:val="FootnoteText"/>
        <w:rPr>
          <w:rFonts w:cs="Times New Roman"/>
          <w:lang w:val="it-IT"/>
        </w:rPr>
      </w:pPr>
      <w:r w:rsidRPr="00E7100B">
        <w:rPr>
          <w:rStyle w:val="FootnoteReference"/>
          <w:rFonts w:ascii="Times New Roman" w:hAnsi="Times New Roman" w:cs="Times New Roman"/>
          <w:sz w:val="20"/>
          <w:szCs w:val="20"/>
        </w:rPr>
        <w:footnoteRef/>
      </w:r>
      <w:r w:rsidRPr="00E7100B">
        <w:rPr>
          <w:rFonts w:cs="Times New Roman"/>
        </w:rPr>
        <w:t xml:space="preserve"> </w:t>
      </w:r>
      <w:hyperlink r:id="rId1">
        <w:r w:rsidRPr="00E7100B">
          <w:rPr>
            <w:rFonts w:cs="Times New Roman"/>
          </w:rPr>
          <w:t>http://www.fao.org/3/a-i3720s/index.html.</w:t>
        </w:r>
      </w:hyperlink>
    </w:p>
  </w:footnote>
  <w:footnote w:id="2">
    <w:p w:rsidR="00571FBC" w:rsidRPr="00E7100B" w:rsidRDefault="00571FBC" w:rsidP="00571FBC">
      <w:pPr>
        <w:pStyle w:val="FootnoteText"/>
        <w:rPr>
          <w:rFonts w:cs="Times New Roman"/>
        </w:rPr>
      </w:pPr>
      <w:r w:rsidRPr="00E7100B">
        <w:rPr>
          <w:rStyle w:val="FootnoteReference"/>
          <w:rFonts w:ascii="Times New Roman" w:hAnsi="Times New Roman" w:cs="Times New Roman"/>
          <w:sz w:val="20"/>
          <w:szCs w:val="20"/>
        </w:rPr>
        <w:footnoteRef/>
      </w:r>
      <w:r w:rsidRPr="00E7100B">
        <w:rPr>
          <w:rFonts w:cs="Times New Roman"/>
        </w:rPr>
        <w:t xml:space="preserve"> </w:t>
      </w:r>
      <w:hyperlink r:id="rId2">
        <w:r w:rsidRPr="00E7100B">
          <w:rPr>
            <w:rFonts w:cs="Times New Roman"/>
          </w:rPr>
          <w:t>http://www.fao.org/fishery/statistics/es</w:t>
        </w:r>
      </w:hyperlink>
      <w:r w:rsidRPr="00E7100B">
        <w:rPr>
          <w:rFonts w:cs="Times New Roman"/>
        </w:rPr>
        <w:t xml:space="preserve"> y http://</w:t>
      </w:r>
      <w:hyperlink r:id="rId3">
        <w:r w:rsidRPr="00E7100B">
          <w:rPr>
            <w:rFonts w:cs="Times New Roman"/>
          </w:rPr>
          <w:t>http://www.fao.org/fishery/aquaculture/es</w:t>
        </w:r>
      </w:hyperlink>
      <w:r w:rsidRPr="00E7100B">
        <w:rPr>
          <w:rFonts w:cs="Times New Roman"/>
        </w:rPr>
        <w:t xml:space="preserve">. </w:t>
      </w:r>
    </w:p>
  </w:footnote>
  <w:footnote w:id="3">
    <w:p w:rsidR="00571FBC" w:rsidRPr="00E7100B" w:rsidRDefault="00571FBC" w:rsidP="00571FBC">
      <w:pPr>
        <w:pStyle w:val="FootnoteText"/>
        <w:rPr>
          <w:rFonts w:cs="Times New Roman"/>
        </w:rPr>
      </w:pPr>
      <w:r w:rsidRPr="00E7100B">
        <w:rPr>
          <w:rStyle w:val="FootnoteReference"/>
          <w:rFonts w:ascii="Times New Roman" w:hAnsi="Times New Roman" w:cs="Times New Roman"/>
          <w:sz w:val="20"/>
          <w:szCs w:val="20"/>
        </w:rPr>
        <w:footnoteRef/>
      </w:r>
      <w:r w:rsidRPr="00E7100B">
        <w:rPr>
          <w:rFonts w:cs="Times New Roman"/>
        </w:rPr>
        <w:t xml:space="preserve"> </w:t>
      </w:r>
      <w:hyperlink r:id="rId4">
        <w:r w:rsidRPr="00E7100B">
          <w:rPr>
            <w:rFonts w:cs="Times New Roman"/>
          </w:rPr>
          <w:t>http://www.fao.org/aquaculture/es/.</w:t>
        </w:r>
      </w:hyperlink>
      <w:r w:rsidRPr="00E7100B">
        <w:rPr>
          <w:rFonts w:cs="Times New Roman"/>
        </w:rPr>
        <w:t xml:space="preserve"> </w:t>
      </w:r>
    </w:p>
  </w:footnote>
  <w:footnote w:id="4">
    <w:p w:rsidR="00571FBC" w:rsidRPr="00E7100B" w:rsidRDefault="00571FBC" w:rsidP="00571FBC">
      <w:pPr>
        <w:pStyle w:val="FootnoteText"/>
        <w:rPr>
          <w:rFonts w:cs="Times New Roman"/>
        </w:rPr>
      </w:pPr>
      <w:r w:rsidRPr="00E7100B">
        <w:rPr>
          <w:rStyle w:val="FootnoteReference"/>
          <w:rFonts w:ascii="Times New Roman" w:hAnsi="Times New Roman" w:cs="Times New Roman"/>
          <w:sz w:val="20"/>
          <w:szCs w:val="20"/>
        </w:rPr>
        <w:footnoteRef/>
      </w:r>
      <w:r w:rsidRPr="00E7100B">
        <w:rPr>
          <w:rFonts w:cs="Times New Roman"/>
        </w:rPr>
        <w:t xml:space="preserve"> </w:t>
      </w:r>
      <w:hyperlink r:id="rId5">
        <w:r w:rsidRPr="00E7100B">
          <w:rPr>
            <w:rFonts w:cs="Times New Roman"/>
          </w:rPr>
          <w:t>http://www.fao.org/fishery/naso/search/es.</w:t>
        </w:r>
      </w:hyperlink>
      <w:r w:rsidRPr="00E7100B">
        <w:rPr>
          <w:rFonts w:cs="Times New Roman"/>
        </w:rPr>
        <w:t xml:space="preserve"> </w:t>
      </w:r>
    </w:p>
  </w:footnote>
  <w:footnote w:id="5">
    <w:p w:rsidR="00571FBC" w:rsidRPr="00E7100B" w:rsidRDefault="00571FBC" w:rsidP="00571FBC">
      <w:pPr>
        <w:pStyle w:val="FootnoteText"/>
        <w:rPr>
          <w:rFonts w:cs="Times New Roman"/>
        </w:rPr>
      </w:pPr>
      <w:r w:rsidRPr="00E7100B">
        <w:rPr>
          <w:rStyle w:val="FootnoteReference"/>
          <w:rFonts w:ascii="Times New Roman" w:hAnsi="Times New Roman" w:cs="Times New Roman"/>
          <w:sz w:val="20"/>
          <w:szCs w:val="20"/>
        </w:rPr>
        <w:footnoteRef/>
      </w:r>
      <w:r w:rsidRPr="00E7100B">
        <w:rPr>
          <w:rFonts w:cs="Times New Roman"/>
        </w:rPr>
        <w:t xml:space="preserve"> http://</w:t>
      </w:r>
      <w:hyperlink r:id="rId6">
        <w:r w:rsidRPr="00E7100B">
          <w:rPr>
            <w:rFonts w:cs="Times New Roman"/>
            <w:spacing w:val="-3"/>
            <w:w w:val="105"/>
          </w:rPr>
          <w:t>www.fao.org/fishery/nalo/search/es</w:t>
        </w:r>
      </w:hyperlink>
      <w:r w:rsidRPr="00E7100B">
        <w:rPr>
          <w:rFonts w:cs="Times New Roman"/>
        </w:rPr>
        <w:t xml:space="preserve">. </w:t>
      </w:r>
    </w:p>
  </w:footnote>
  <w:footnote w:id="6">
    <w:p w:rsidR="00571FBC" w:rsidRPr="00E7100B" w:rsidRDefault="00571FBC" w:rsidP="00571FBC">
      <w:pPr>
        <w:pStyle w:val="FootnoteText"/>
        <w:rPr>
          <w:rFonts w:eastAsia="SimSun" w:cs="Times New Roman"/>
          <w:color w:val="000000"/>
        </w:rPr>
      </w:pPr>
      <w:r w:rsidRPr="00E7100B">
        <w:rPr>
          <w:rStyle w:val="FootnoteReference"/>
          <w:rFonts w:ascii="Times New Roman" w:hAnsi="Times New Roman" w:cs="Times New Roman"/>
          <w:sz w:val="20"/>
          <w:szCs w:val="20"/>
        </w:rPr>
        <w:footnoteRef/>
      </w:r>
      <w:r w:rsidRPr="00E7100B">
        <w:rPr>
          <w:rFonts w:cs="Times New Roman"/>
        </w:rPr>
        <w:t xml:space="preserve"> </w:t>
      </w:r>
      <w:hyperlink r:id="rId7">
        <w:r w:rsidRPr="00E7100B">
          <w:rPr>
            <w:rFonts w:cs="Times New Roman"/>
          </w:rPr>
          <w:t>http://faolex.fao.</w:t>
        </w:r>
        <w:r w:rsidRPr="00E7100B">
          <w:rPr>
            <w:rFonts w:cs="Times New Roman"/>
          </w:rPr>
          <w:t>o</w:t>
        </w:r>
        <w:r w:rsidRPr="00E7100B">
          <w:rPr>
            <w:rFonts w:cs="Times New Roman"/>
          </w:rPr>
          <w:t>rg/faolex_spa/index.htm.</w:t>
        </w:r>
      </w:hyperlink>
    </w:p>
  </w:footnote>
  <w:footnote w:id="7">
    <w:p w:rsidR="00571FBC" w:rsidRPr="00E7100B" w:rsidRDefault="00571FBC" w:rsidP="00571FBC">
      <w:pPr>
        <w:pStyle w:val="FootnoteText"/>
        <w:rPr>
          <w:rFonts w:cs="Times New Roman"/>
        </w:rPr>
      </w:pPr>
      <w:r w:rsidRPr="00E7100B">
        <w:rPr>
          <w:rStyle w:val="FootnoteReference"/>
          <w:rFonts w:ascii="Times New Roman" w:hAnsi="Times New Roman" w:cs="Times New Roman"/>
          <w:sz w:val="20"/>
          <w:szCs w:val="20"/>
        </w:rPr>
        <w:footnoteRef/>
      </w:r>
      <w:r w:rsidR="00BB10FA" w:rsidRPr="00E7100B">
        <w:rPr>
          <w:rFonts w:cs="Times New Roman"/>
        </w:rPr>
        <w:t xml:space="preserve"> </w:t>
      </w:r>
      <w:r w:rsidRPr="00E7100B">
        <w:rPr>
          <w:rFonts w:cs="Times New Roman"/>
        </w:rPr>
        <w:t xml:space="preserve">Estadísticas relativas a la acuicultura </w:t>
      </w:r>
      <w:hyperlink r:id="rId8">
        <w:r w:rsidRPr="00E7100B">
          <w:rPr>
            <w:rFonts w:cs="Times New Roman"/>
          </w:rPr>
          <w:t>http://www.fao.org/fishery/statistics/global-aquaculture-production/es</w:t>
        </w:r>
      </w:hyperlink>
      <w:r w:rsidRPr="00E7100B">
        <w:rPr>
          <w:rFonts w:cs="Times New Roman"/>
        </w:rPr>
        <w:t xml:space="preserve">; anuario en CD-ROM: </w:t>
      </w:r>
      <w:hyperlink r:id="rId9">
        <w:r w:rsidRPr="00E7100B">
          <w:rPr>
            <w:rFonts w:cs="Times New Roman"/>
          </w:rPr>
          <w:t>ftp://ftp.fao.org/fi/cdrom/cd_yearbook_2012/index.htm</w:t>
        </w:r>
      </w:hyperlink>
      <w:r w:rsidRPr="00E7100B">
        <w:rPr>
          <w:rFonts w:cs="Times New Roman"/>
        </w:rPr>
        <w:t xml:space="preserve">; consulta en línea: </w:t>
      </w:r>
      <w:hyperlink r:id="rId10">
        <w:r w:rsidRPr="00E7100B">
          <w:rPr>
            <w:rFonts w:cs="Times New Roman"/>
          </w:rPr>
          <w:t>http://www.fao.org/fishery/statistics/global-aquaculture-production/query/en</w:t>
        </w:r>
      </w:hyperlink>
      <w:r w:rsidRPr="00E7100B">
        <w:rPr>
          <w:rFonts w:cs="Times New Roman"/>
        </w:rPr>
        <w:t xml:space="preserve">; </w:t>
      </w:r>
      <w:proofErr w:type="spellStart"/>
      <w:r w:rsidRPr="00E7100B">
        <w:rPr>
          <w:rFonts w:cs="Times New Roman"/>
        </w:rPr>
        <w:t>FishStatJ</w:t>
      </w:r>
      <w:proofErr w:type="spellEnd"/>
      <w:r w:rsidRPr="00E7100B">
        <w:rPr>
          <w:rFonts w:cs="Times New Roman"/>
        </w:rPr>
        <w:t xml:space="preserve">: </w:t>
      </w:r>
      <w:hyperlink r:id="rId11">
        <w:r w:rsidRPr="00E7100B">
          <w:rPr>
            <w:rFonts w:cs="Times New Roman"/>
          </w:rPr>
          <w:t>http://www.fao.org/fishery/statistics/software/fishstatj/en</w:t>
        </w:r>
      </w:hyperlink>
      <w:r w:rsidR="0014362A" w:rsidRPr="00E7100B">
        <w:rPr>
          <w:rFonts w:cs="Times New Roman"/>
        </w:rPr>
        <w:t>.</w:t>
      </w:r>
    </w:p>
  </w:footnote>
  <w:footnote w:id="8">
    <w:p w:rsidR="00571FBC" w:rsidRPr="00E7100B" w:rsidRDefault="00571FBC" w:rsidP="00571FBC">
      <w:pPr>
        <w:pStyle w:val="FootnoteText"/>
        <w:rPr>
          <w:rFonts w:cs="Times New Roman"/>
        </w:rPr>
      </w:pPr>
      <w:r w:rsidRPr="00E7100B">
        <w:rPr>
          <w:rStyle w:val="FootnoteReference"/>
          <w:rFonts w:ascii="Times New Roman" w:hAnsi="Times New Roman" w:cs="Times New Roman"/>
          <w:sz w:val="20"/>
          <w:szCs w:val="20"/>
        </w:rPr>
        <w:footnoteRef/>
      </w:r>
      <w:r w:rsidRPr="00E7100B">
        <w:rPr>
          <w:rFonts w:cs="Times New Roman"/>
        </w:rPr>
        <w:t xml:space="preserve"> La iniciativa es una actividad relacionada con el tema 5 del programa de la sexta reunión del Subcomité de Acuicultura del COFI: </w:t>
      </w:r>
      <w:r w:rsidR="0014362A" w:rsidRPr="00E7100B">
        <w:rPr>
          <w:rFonts w:cs="Times New Roman"/>
        </w:rPr>
        <w:t>“</w:t>
      </w:r>
      <w:r w:rsidRPr="00E7100B">
        <w:rPr>
          <w:rFonts w:cs="Times New Roman"/>
        </w:rPr>
        <w:t>Evaluación y seguimiento de los resultados del sector de la acuicultura: importancia, problemas y desafíos</w:t>
      </w:r>
      <w:r w:rsidR="0014362A" w:rsidRPr="00E7100B">
        <w:rPr>
          <w:rFonts w:cs="Times New Roman"/>
        </w:rPr>
        <w:t>”</w:t>
      </w:r>
      <w:r w:rsidRPr="00E7100B">
        <w:rPr>
          <w:rFonts w:cs="Times New Roman"/>
        </w:rPr>
        <w:t xml:space="preserve"> (COFI</w:t>
      </w:r>
      <w:proofErr w:type="gramStart"/>
      <w:r w:rsidRPr="00E7100B">
        <w:rPr>
          <w:rFonts w:cs="Times New Roman"/>
        </w:rPr>
        <w:t>:AQ</w:t>
      </w:r>
      <w:proofErr w:type="gramEnd"/>
      <w:r w:rsidRPr="00E7100B">
        <w:rPr>
          <w:rFonts w:cs="Times New Roman"/>
        </w:rPr>
        <w:t>/VI/2012/5). Se pueden encontrar más detalles sobre la iniciativa y el prototipo del instrumento sobre indicadores de resultados en el sector acuícola a nivel mundial en el informe del Taller de expertos de la FAO sobre evaluación y seguimiento de los resultados del sector de la acuicultura, Gaeta (Italia), 5</w:t>
      </w:r>
      <w:r w:rsidR="00E7100B">
        <w:rPr>
          <w:rFonts w:cs="Times New Roman"/>
        </w:rPr>
        <w:noBreakHyphen/>
      </w:r>
      <w:r w:rsidRPr="00E7100B">
        <w:rPr>
          <w:rFonts w:cs="Times New Roman"/>
        </w:rPr>
        <w:t xml:space="preserve">7 de noviembre de 2012, </w:t>
      </w:r>
      <w:hyperlink r:id="rId12">
        <w:r w:rsidRPr="00E7100B">
          <w:rPr>
            <w:rFonts w:cs="Times New Roman"/>
          </w:rPr>
          <w:t>http://www.fao.org/3/a-i3539e.pdf</w:t>
        </w:r>
      </w:hyperlink>
      <w:r w:rsidRPr="00E7100B">
        <w:rPr>
          <w:rFonts w:cs="Times New Roman"/>
        </w:rPr>
        <w:t xml:space="preserve">. </w:t>
      </w:r>
    </w:p>
  </w:footnote>
  <w:footnote w:id="9">
    <w:p w:rsidR="00571FBC" w:rsidRPr="00E7100B" w:rsidRDefault="00571FBC" w:rsidP="00571FBC">
      <w:pPr>
        <w:tabs>
          <w:tab w:val="left" w:pos="450"/>
          <w:tab w:val="left" w:pos="9071"/>
        </w:tabs>
        <w:kinsoku w:val="0"/>
        <w:overflowPunct w:val="0"/>
        <w:spacing w:after="0"/>
        <w:rPr>
          <w:rFonts w:cs="Times New Roman"/>
          <w:spacing w:val="-3"/>
          <w:w w:val="105"/>
          <w:sz w:val="20"/>
          <w:szCs w:val="20"/>
        </w:rPr>
      </w:pPr>
      <w:r w:rsidRPr="00E7100B">
        <w:rPr>
          <w:rStyle w:val="FootnoteReference"/>
          <w:rFonts w:ascii="Times New Roman" w:hAnsi="Times New Roman" w:cs="Times New Roman"/>
          <w:sz w:val="20"/>
          <w:szCs w:val="20"/>
        </w:rPr>
        <w:footnoteRef/>
      </w:r>
      <w:r w:rsidRPr="00E7100B">
        <w:rPr>
          <w:rFonts w:cs="Times New Roman"/>
          <w:sz w:val="20"/>
          <w:szCs w:val="20"/>
        </w:rPr>
        <w:t xml:space="preserve"> Se pueden enviar solicitudes para la experimentación con el módulo o para obtener más información al respecto </w:t>
      </w:r>
      <w:proofErr w:type="gramStart"/>
      <w:r w:rsidRPr="00E7100B">
        <w:rPr>
          <w:rFonts w:cs="Times New Roman"/>
          <w:sz w:val="20"/>
          <w:szCs w:val="20"/>
        </w:rPr>
        <w:t>a</w:t>
      </w:r>
      <w:proofErr w:type="gramEnd"/>
      <w:r w:rsidRPr="00E7100B">
        <w:rPr>
          <w:rFonts w:cs="Times New Roman"/>
          <w:sz w:val="20"/>
          <w:szCs w:val="20"/>
        </w:rPr>
        <w:t xml:space="preserve">: </w:t>
      </w:r>
      <w:hyperlink r:id="rId13">
        <w:r w:rsidRPr="00E7100B">
          <w:rPr>
            <w:rFonts w:cs="Times New Roman"/>
            <w:spacing w:val="-3"/>
            <w:w w:val="105"/>
            <w:sz w:val="20"/>
            <w:szCs w:val="20"/>
          </w:rPr>
          <w:t>WAPI@fao.org</w:t>
        </w:r>
      </w:hyperlink>
      <w:r w:rsidRPr="00E7100B">
        <w:rPr>
          <w:rFonts w:cs="Times New Roman"/>
          <w:spacing w:val="-3"/>
          <w:w w:val="105"/>
          <w:sz w:val="20"/>
          <w:szCs w:val="20"/>
        </w:rPr>
        <w:t>.</w:t>
      </w:r>
    </w:p>
  </w:footnote>
  <w:footnote w:id="10">
    <w:p w:rsidR="00571FBC" w:rsidRPr="00E7100B" w:rsidRDefault="00571FBC" w:rsidP="00571FBC">
      <w:pPr>
        <w:pStyle w:val="FootnoteText"/>
        <w:rPr>
          <w:rFonts w:cs="Times New Roman"/>
        </w:rPr>
      </w:pPr>
      <w:r w:rsidRPr="00E7100B">
        <w:rPr>
          <w:rStyle w:val="FootnoteReference"/>
          <w:rFonts w:ascii="Times New Roman" w:hAnsi="Times New Roman" w:cs="Times New Roman"/>
          <w:sz w:val="20"/>
          <w:szCs w:val="20"/>
        </w:rPr>
        <w:footnoteRef/>
      </w:r>
      <w:r w:rsidRPr="00E7100B">
        <w:rPr>
          <w:rFonts w:cs="Times New Roman"/>
        </w:rPr>
        <w:t xml:space="preserve"> Estrategia y plan básico para mejorar la información relativa a la situación y las tendencias de la acuicultura: </w:t>
      </w:r>
      <w:hyperlink r:id="rId14">
        <w:r w:rsidRPr="00E7100B">
          <w:rPr>
            <w:rFonts w:cs="Times New Roman"/>
          </w:rPr>
          <w:t>http://www.fao.org/docrep/011/i0445t/i0445t00.htm.</w:t>
        </w:r>
      </w:hyperlink>
      <w:r w:rsidRPr="00E7100B">
        <w:rPr>
          <w:rFonts w:cs="Times New Roman"/>
          <w:spacing w:val="-13"/>
          <w:w w:val="105"/>
        </w:rPr>
        <w:t xml:space="preserve"> </w:t>
      </w:r>
    </w:p>
  </w:footnote>
  <w:footnote w:id="11">
    <w:p w:rsidR="00571FBC" w:rsidRPr="00E7100B" w:rsidRDefault="00571FBC" w:rsidP="00571FBC">
      <w:pPr>
        <w:pStyle w:val="FootnoteText"/>
        <w:rPr>
          <w:rFonts w:cs="Times New Roman"/>
        </w:rPr>
      </w:pPr>
      <w:r w:rsidRPr="00E7100B">
        <w:rPr>
          <w:rStyle w:val="FootnoteReference"/>
          <w:rFonts w:ascii="Times New Roman" w:hAnsi="Times New Roman" w:cs="Times New Roman"/>
          <w:sz w:val="20"/>
          <w:szCs w:val="20"/>
        </w:rPr>
        <w:footnoteRef/>
      </w:r>
      <w:r w:rsidRPr="00E7100B">
        <w:rPr>
          <w:rFonts w:cs="Times New Roman"/>
        </w:rPr>
        <w:t xml:space="preserve"> </w:t>
      </w:r>
      <w:hyperlink r:id="rId15">
        <w:r w:rsidRPr="00E7100B">
          <w:rPr>
            <w:rFonts w:cs="Times New Roman"/>
          </w:rPr>
          <w:t>http://unstats.un.org/unsd/cr/registry/default.asp?lg=3.</w:t>
        </w:r>
      </w:hyperlink>
      <w:r w:rsidRPr="00E7100B">
        <w:rPr>
          <w:rFonts w:cs="Times New Roman"/>
        </w:rPr>
        <w:t xml:space="preserve"> </w:t>
      </w:r>
    </w:p>
  </w:footnote>
  <w:footnote w:id="12">
    <w:p w:rsidR="00571FBC" w:rsidRPr="00E7100B" w:rsidRDefault="00571FBC" w:rsidP="00571FBC">
      <w:pPr>
        <w:pStyle w:val="FootnoteText"/>
        <w:rPr>
          <w:rFonts w:cs="Times New Roman"/>
        </w:rPr>
      </w:pPr>
      <w:r w:rsidRPr="00E7100B">
        <w:rPr>
          <w:rStyle w:val="FootnoteReference"/>
          <w:rFonts w:ascii="Times New Roman" w:hAnsi="Times New Roman" w:cs="Times New Roman"/>
          <w:sz w:val="20"/>
          <w:szCs w:val="20"/>
        </w:rPr>
        <w:footnoteRef/>
      </w:r>
      <w:r w:rsidRPr="00E7100B">
        <w:rPr>
          <w:rFonts w:cs="Times New Roman"/>
        </w:rPr>
        <w:t xml:space="preserve"> </w:t>
      </w:r>
      <w:hyperlink r:id="rId16">
        <w:r w:rsidRPr="00E7100B">
          <w:rPr>
            <w:rFonts w:cs="Times New Roman"/>
          </w:rPr>
          <w:t>http://unstats.un.org/unsd/envaccounting/seearev/.</w:t>
        </w:r>
      </w:hyperlink>
      <w:r w:rsidRPr="00E7100B">
        <w:rPr>
          <w:rFonts w:cs="Times New Roman"/>
        </w:rPr>
        <w:t xml:space="preserve"> </w:t>
      </w:r>
    </w:p>
  </w:footnote>
  <w:footnote w:id="13">
    <w:p w:rsidR="00571FBC" w:rsidRPr="00E7100B" w:rsidRDefault="00571FBC" w:rsidP="00571FBC">
      <w:pPr>
        <w:pStyle w:val="FootnoteText"/>
        <w:rPr>
          <w:rFonts w:cs="Times New Roman"/>
        </w:rPr>
      </w:pPr>
      <w:r w:rsidRPr="00E7100B">
        <w:rPr>
          <w:rStyle w:val="FootnoteReference"/>
          <w:rFonts w:ascii="Times New Roman" w:hAnsi="Times New Roman" w:cs="Times New Roman"/>
          <w:sz w:val="20"/>
          <w:szCs w:val="20"/>
        </w:rPr>
        <w:footnoteRef/>
      </w:r>
      <w:r w:rsidRPr="00E7100B">
        <w:rPr>
          <w:rFonts w:cs="Times New Roman"/>
        </w:rPr>
        <w:t xml:space="preserve"> </w:t>
      </w:r>
      <w:hyperlink r:id="rId17">
        <w:r w:rsidRPr="00E7100B">
          <w:rPr>
            <w:rFonts w:cs="Times New Roman"/>
          </w:rPr>
          <w:t>http://www.gsars.org/guidelines-to-enhance-fisheries-and-aquaculture-statistics-through-a-census-framework/.</w:t>
        </w:r>
      </w:hyperlink>
      <w:r w:rsidRPr="00E7100B">
        <w:rPr>
          <w:rFonts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2CA" w:rsidRPr="001A0BFF" w:rsidRDefault="00571FBC" w:rsidP="00CA79A0">
    <w:pPr>
      <w:pStyle w:val="Underlined"/>
      <w:tabs>
        <w:tab w:val="right" w:pos="9072"/>
      </w:tabs>
    </w:pPr>
    <w:r>
      <w:fldChar w:fldCharType="begin"/>
    </w:r>
    <w:r>
      <w:instrText xml:space="preserve"> PAGE  \* Arabic  \* MERGEFORMAT </w:instrText>
    </w:r>
    <w:r>
      <w:fldChar w:fldCharType="separate"/>
    </w:r>
    <w:r w:rsidR="00525649">
      <w:rPr>
        <w:noProof/>
      </w:rPr>
      <w:t>2</w:t>
    </w:r>
    <w:r>
      <w:rPr>
        <w:noProof/>
      </w:rPr>
      <w:fldChar w:fldCharType="end"/>
    </w:r>
    <w:bookmarkStart w:id="3" w:name="EvenIdentificationBookmark"/>
    <w:r w:rsidR="00CA79A0">
      <w:tab/>
    </w:r>
    <w:r>
      <w:t>COFI</w:t>
    </w:r>
    <w:proofErr w:type="gramStart"/>
    <w:r>
      <w:t>:AQ</w:t>
    </w:r>
    <w:proofErr w:type="gramEnd"/>
    <w:r>
      <w:t>/VIII/2015/10</w:t>
    </w:r>
    <w:bookmarkEnd w:id="3"/>
  </w:p>
  <w:p w:rsidR="00F52C5D" w:rsidRPr="00B262CA" w:rsidRDefault="00525649" w:rsidP="00B262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2CA" w:rsidRPr="001A0BFF" w:rsidRDefault="00571FBC" w:rsidP="00CA79A0">
    <w:pPr>
      <w:pStyle w:val="Underlined"/>
      <w:tabs>
        <w:tab w:val="right" w:pos="9072"/>
      </w:tabs>
    </w:pPr>
    <w:bookmarkStart w:id="4" w:name="OddIdentificationBookmark"/>
    <w:r>
      <w:t>COFI</w:t>
    </w:r>
    <w:proofErr w:type="gramStart"/>
    <w:r>
      <w:t>:AQ</w:t>
    </w:r>
    <w:proofErr w:type="gramEnd"/>
    <w:r>
      <w:t>/VIII/2015/10</w:t>
    </w:r>
    <w:bookmarkEnd w:id="4"/>
    <w:r w:rsidR="00CA79A0">
      <w:tab/>
    </w:r>
    <w:r>
      <w:fldChar w:fldCharType="begin"/>
    </w:r>
    <w:r>
      <w:instrText xml:space="preserve"> PAGE  \* Arabic  \* MERGEFORMAT </w:instrText>
    </w:r>
    <w:r>
      <w:fldChar w:fldCharType="separate"/>
    </w:r>
    <w:r w:rsidR="00525649">
      <w:rPr>
        <w:noProof/>
      </w:rPr>
      <w:t>3</w:t>
    </w:r>
    <w:r>
      <w:rPr>
        <w:noProof/>
      </w:rPr>
      <w:fldChar w:fldCharType="end"/>
    </w:r>
  </w:p>
  <w:p w:rsidR="001A0BFF" w:rsidRPr="00B262CA" w:rsidRDefault="00525649" w:rsidP="00B262CA">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6E" w:rsidRPr="00734C44" w:rsidRDefault="00571FBC" w:rsidP="00734C44">
    <w:pPr>
      <w:pStyle w:val="LanguageSymbol"/>
      <w:framePr w:wrap="around"/>
    </w:pPr>
    <w:bookmarkStart w:id="5" w:name="LanguageSymbolBookmark"/>
    <w:r>
      <w:t>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8E01CD" w:rsidTr="001918B1">
      <w:trPr>
        <w:jc w:val="center"/>
      </w:trPr>
      <w:tc>
        <w:tcPr>
          <w:tcW w:w="2500" w:type="pct"/>
          <w:noWrap/>
          <w:tcMar>
            <w:left w:w="0" w:type="dxa"/>
          </w:tcMar>
        </w:tcPr>
        <w:p w:rsidR="008E01CD" w:rsidRDefault="00571FBC" w:rsidP="00F2216D">
          <w:bookmarkStart w:id="6" w:name="PublicationDateBookmark"/>
          <w:bookmarkEnd w:id="5"/>
          <w:r>
            <w:t xml:space="preserve">Julio de 2015 </w:t>
          </w:r>
          <w:bookmarkEnd w:id="6"/>
        </w:p>
      </w:tc>
      <w:tc>
        <w:tcPr>
          <w:tcW w:w="2500" w:type="pct"/>
          <w:noWrap/>
          <w:tcMar>
            <w:right w:w="0" w:type="dxa"/>
          </w:tcMar>
        </w:tcPr>
        <w:p w:rsidR="008E01CD" w:rsidRDefault="00571FBC" w:rsidP="00F2216D">
          <w:pPr>
            <w:jc w:val="right"/>
          </w:pPr>
          <w:bookmarkStart w:id="7" w:name="FirstCoverIdentificationBookmark"/>
          <w:r>
            <w:t xml:space="preserve">COFI:AQ/VIII/2015/10  </w:t>
          </w:r>
          <w:bookmarkEnd w:id="7"/>
        </w:p>
      </w:tc>
    </w:tr>
  </w:tbl>
  <w:p w:rsidR="00AE4D6E" w:rsidRPr="008E01CD" w:rsidRDefault="00525649" w:rsidP="008E01CD">
    <w:pPr>
      <w:pBdr>
        <w:bottom w:val="single" w:sz="12" w:space="0" w:color="auto"/>
      </w:pBdr>
      <w:contextualSpacing/>
      <w:rPr>
        <w:sz w:val="4"/>
      </w:rPr>
    </w:pPr>
  </w:p>
  <w:p w:rsidR="00DF0451" w:rsidRDefault="00571FBC" w:rsidP="008E01CD">
    <w:pPr>
      <w:jc w:val="center"/>
    </w:pPr>
    <w:bookmarkStart w:id="8" w:name="LogoBookmark"/>
    <w:r>
      <w:rPr>
        <w:noProof/>
        <w:lang w:bidi="ar-SA"/>
      </w:rPr>
      <w:drawing>
        <wp:inline distT="0" distB="0" distL="0" distR="0" wp14:anchorId="16CFE358" wp14:editId="40516CA7">
          <wp:extent cx="5760085" cy="7943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r>
      <w:t xml:space="preserve">  </w:t>
    </w:r>
    <w:bookmarkEnd w:id="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613A7370"/>
    <w:lvl w:ilvl="0">
      <w:start w:val="1"/>
      <w:numFmt w:val="upperRoman"/>
      <w:pStyle w:val="Heading1"/>
      <w:lvlText w:val="%1."/>
      <w:legacy w:legacy="1" w:legacySpace="0" w:legacyIndent="708"/>
      <w:lvlJc w:val="left"/>
      <w:pPr>
        <w:ind w:left="1" w:firstLine="0"/>
      </w:pPr>
    </w:lvl>
    <w:lvl w:ilvl="1">
      <w:start w:val="1"/>
      <w:numFmt w:val="upperLetter"/>
      <w:pStyle w:val="Heading2"/>
      <w:lvlText w:val="%2."/>
      <w:legacy w:legacy="1" w:legacySpace="0" w:legacyIndent="708"/>
      <w:lvlJc w:val="left"/>
      <w:pPr>
        <w:ind w:left="1" w:firstLine="0"/>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1">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FA4880"/>
    <w:multiLevelType w:val="multilevel"/>
    <w:tmpl w:val="1F5C6FCC"/>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abstractNum w:abstractNumId="3">
    <w:nsid w:val="7C214D18"/>
    <w:multiLevelType w:val="hybridMultilevel"/>
    <w:tmpl w:val="BE30F2A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FBC"/>
    <w:rsid w:val="0014362A"/>
    <w:rsid w:val="001D3BA6"/>
    <w:rsid w:val="00346BE2"/>
    <w:rsid w:val="00383C0C"/>
    <w:rsid w:val="00525649"/>
    <w:rsid w:val="00571FBC"/>
    <w:rsid w:val="007675BB"/>
    <w:rsid w:val="008D002A"/>
    <w:rsid w:val="009771DA"/>
    <w:rsid w:val="00992C6F"/>
    <w:rsid w:val="00A60728"/>
    <w:rsid w:val="00B23298"/>
    <w:rsid w:val="00BB10FA"/>
    <w:rsid w:val="00C15262"/>
    <w:rsid w:val="00CA79A0"/>
    <w:rsid w:val="00D56EC6"/>
    <w:rsid w:val="00DC60D2"/>
    <w:rsid w:val="00E15CDB"/>
    <w:rsid w:val="00E710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71FBC"/>
    <w:pPr>
      <w:spacing w:line="240" w:lineRule="auto"/>
    </w:pPr>
    <w:rPr>
      <w:rFonts w:ascii="Times New Roman" w:hAnsi="Times New Roman" w:cs="Akhbar MT"/>
      <w:szCs w:val="30"/>
    </w:rPr>
  </w:style>
  <w:style w:type="paragraph" w:styleId="Heading1">
    <w:name w:val="heading 1"/>
    <w:aliases w:val="Part"/>
    <w:basedOn w:val="Normal"/>
    <w:next w:val="Heading2"/>
    <w:link w:val="Heading1Char"/>
    <w:qFormat/>
    <w:rsid w:val="00571FBC"/>
    <w:pPr>
      <w:keepNext/>
      <w:numPr>
        <w:numId w:val="1"/>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571FBC"/>
    <w:pPr>
      <w:keepNext/>
      <w:numPr>
        <w:ilvl w:val="1"/>
        <w:numId w:val="1"/>
      </w:numPr>
      <w:spacing w:before="24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571FB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
    <w:basedOn w:val="DefaultParagraphFont"/>
    <w:link w:val="Heading1"/>
    <w:rsid w:val="00571FBC"/>
    <w:rPr>
      <w:rFonts w:ascii="Times New Roman Bold" w:eastAsia="Times New Roman" w:hAnsi="Times New Roman Bold" w:cs="Akhbar MT"/>
      <w:b/>
      <w:bCs/>
      <w:sz w:val="26"/>
      <w:szCs w:val="36"/>
      <w:lang w:val="es-ES"/>
    </w:rPr>
  </w:style>
  <w:style w:type="character" w:customStyle="1" w:styleId="Heading2Char">
    <w:name w:val="Heading 2 Char"/>
    <w:aliases w:val="Chpt Char"/>
    <w:basedOn w:val="DefaultParagraphFont"/>
    <w:link w:val="Heading2"/>
    <w:rsid w:val="00571FBC"/>
    <w:rPr>
      <w:rFonts w:ascii="Times New Roman Bold" w:eastAsia="Times New Roman" w:hAnsi="Times New Roman Bold" w:cs="Akhbar MT"/>
      <w:b/>
      <w:bCs/>
      <w:sz w:val="24"/>
      <w:szCs w:val="32"/>
      <w:lang w:val="es-ES"/>
    </w:rPr>
  </w:style>
  <w:style w:type="paragraph" w:styleId="Header">
    <w:name w:val="header"/>
    <w:basedOn w:val="Normal"/>
    <w:link w:val="HeaderChar"/>
    <w:uiPriority w:val="99"/>
    <w:unhideWhenUsed/>
    <w:rsid w:val="00571FBC"/>
    <w:pPr>
      <w:tabs>
        <w:tab w:val="center" w:pos="4536"/>
        <w:tab w:val="right" w:pos="9072"/>
      </w:tabs>
    </w:pPr>
  </w:style>
  <w:style w:type="character" w:customStyle="1" w:styleId="HeaderChar">
    <w:name w:val="Header Char"/>
    <w:basedOn w:val="DefaultParagraphFont"/>
    <w:link w:val="Header"/>
    <w:uiPriority w:val="99"/>
    <w:rsid w:val="00571FBC"/>
    <w:rPr>
      <w:rFonts w:ascii="Times New Roman" w:hAnsi="Times New Roman" w:cs="Akhbar MT"/>
      <w:szCs w:val="30"/>
      <w:lang w:val="es-ES"/>
    </w:rPr>
  </w:style>
  <w:style w:type="paragraph" w:styleId="Footer">
    <w:name w:val="footer"/>
    <w:basedOn w:val="Normal"/>
    <w:link w:val="FooterChar"/>
    <w:uiPriority w:val="99"/>
    <w:unhideWhenUsed/>
    <w:rsid w:val="00571FBC"/>
    <w:pPr>
      <w:tabs>
        <w:tab w:val="center" w:pos="4536"/>
        <w:tab w:val="right" w:pos="9072"/>
      </w:tabs>
    </w:pPr>
  </w:style>
  <w:style w:type="character" w:customStyle="1" w:styleId="FooterChar">
    <w:name w:val="Footer Char"/>
    <w:basedOn w:val="DefaultParagraphFont"/>
    <w:link w:val="Footer"/>
    <w:uiPriority w:val="99"/>
    <w:rsid w:val="00571FBC"/>
    <w:rPr>
      <w:rFonts w:ascii="Times New Roman" w:hAnsi="Times New Roman" w:cs="Akhbar MT"/>
      <w:szCs w:val="30"/>
      <w:lang w:val="es-ES"/>
    </w:rPr>
  </w:style>
  <w:style w:type="paragraph" w:customStyle="1" w:styleId="Note">
    <w:name w:val="Note"/>
    <w:basedOn w:val="Normal"/>
    <w:link w:val="NoteChar"/>
    <w:autoRedefine/>
    <w:qFormat/>
    <w:rsid w:val="00571FBC"/>
    <w:pPr>
      <w:pBdr>
        <w:top w:val="single" w:sz="4" w:space="0" w:color="auto"/>
      </w:pBdr>
      <w:jc w:val="center"/>
    </w:pPr>
    <w:rPr>
      <w:i/>
      <w:sz w:val="20"/>
      <w:szCs w:val="28"/>
    </w:rPr>
  </w:style>
  <w:style w:type="character" w:customStyle="1" w:styleId="NoteChar">
    <w:name w:val="Note Char"/>
    <w:basedOn w:val="DefaultParagraphFont"/>
    <w:link w:val="Note"/>
    <w:rsid w:val="00571FBC"/>
    <w:rPr>
      <w:rFonts w:ascii="Times New Roman" w:hAnsi="Times New Roman" w:cs="Akhbar MT"/>
      <w:i/>
      <w:sz w:val="20"/>
      <w:szCs w:val="28"/>
      <w:lang w:val="es-ES"/>
    </w:rPr>
  </w:style>
  <w:style w:type="paragraph" w:customStyle="1" w:styleId="DocTitle">
    <w:name w:val="DocTitle"/>
    <w:basedOn w:val="Normal"/>
    <w:link w:val="DocTitleChar"/>
    <w:qFormat/>
    <w:rsid w:val="00571FBC"/>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571FBC"/>
    <w:rPr>
      <w:rFonts w:ascii="Times New Roman" w:hAnsi="Times New Roman" w:cs="Akhbar MT"/>
      <w:bCs/>
      <w:color w:val="7F7F7F" w:themeColor="text1" w:themeTint="80"/>
      <w:sz w:val="56"/>
      <w:szCs w:val="72"/>
      <w:lang w:val="es-ES"/>
    </w:rPr>
  </w:style>
  <w:style w:type="paragraph" w:customStyle="1" w:styleId="NewPara">
    <w:name w:val="NewPara"/>
    <w:basedOn w:val="ListParagraph"/>
    <w:link w:val="NewParaChar"/>
    <w:qFormat/>
    <w:rsid w:val="00571FBC"/>
    <w:pPr>
      <w:numPr>
        <w:numId w:val="2"/>
      </w:numPr>
      <w:contextualSpacing w:val="0"/>
    </w:pPr>
  </w:style>
  <w:style w:type="character" w:customStyle="1" w:styleId="NewParaChar">
    <w:name w:val="NewPara Char"/>
    <w:basedOn w:val="DefaultParagraphFont"/>
    <w:link w:val="NewPara"/>
    <w:rsid w:val="00571FBC"/>
    <w:rPr>
      <w:rFonts w:ascii="Times New Roman" w:hAnsi="Times New Roman" w:cs="Akhbar MT"/>
      <w:szCs w:val="30"/>
      <w:lang w:val="es-ES"/>
    </w:rPr>
  </w:style>
  <w:style w:type="paragraph" w:customStyle="1" w:styleId="BulletList">
    <w:name w:val="Bullet List"/>
    <w:basedOn w:val="ListParagraph"/>
    <w:link w:val="BulletListChar"/>
    <w:qFormat/>
    <w:rsid w:val="00571FBC"/>
    <w:pPr>
      <w:numPr>
        <w:numId w:val="3"/>
      </w:numPr>
      <w:ind w:left="714" w:hanging="357"/>
    </w:pPr>
  </w:style>
  <w:style w:type="character" w:customStyle="1" w:styleId="BulletListChar">
    <w:name w:val="Bullet List Char"/>
    <w:basedOn w:val="DefaultParagraphFont"/>
    <w:link w:val="BulletList"/>
    <w:rsid w:val="00571FBC"/>
    <w:rPr>
      <w:rFonts w:ascii="Times New Roman" w:hAnsi="Times New Roman" w:cs="Akhbar MT"/>
      <w:szCs w:val="30"/>
      <w:lang w:val="es-ES"/>
    </w:rPr>
  </w:style>
  <w:style w:type="paragraph" w:customStyle="1" w:styleId="SummaryBoxText">
    <w:name w:val="Summary Box Text"/>
    <w:basedOn w:val="Normal"/>
    <w:link w:val="SummaryBoxTextChar"/>
    <w:qFormat/>
    <w:rsid w:val="00571FBC"/>
    <w:pPr>
      <w:spacing w:line="360" w:lineRule="auto"/>
    </w:pPr>
  </w:style>
  <w:style w:type="character" w:customStyle="1" w:styleId="SummaryBoxTextChar">
    <w:name w:val="Summary Box Text Char"/>
    <w:basedOn w:val="DefaultParagraphFont"/>
    <w:link w:val="SummaryBoxText"/>
    <w:rsid w:val="00571FBC"/>
    <w:rPr>
      <w:rFonts w:ascii="Times New Roman" w:hAnsi="Times New Roman" w:cs="Akhbar MT"/>
      <w:szCs w:val="30"/>
      <w:lang w:val="es-ES"/>
    </w:rPr>
  </w:style>
  <w:style w:type="paragraph" w:customStyle="1" w:styleId="Underlined">
    <w:name w:val="Underlined"/>
    <w:basedOn w:val="Normal"/>
    <w:link w:val="UnderlinedChar"/>
    <w:qFormat/>
    <w:rsid w:val="00571FBC"/>
    <w:pPr>
      <w:pBdr>
        <w:bottom w:val="single" w:sz="12" w:space="1" w:color="auto"/>
      </w:pBdr>
    </w:pPr>
  </w:style>
  <w:style w:type="character" w:customStyle="1" w:styleId="UnderlinedChar">
    <w:name w:val="Underlined Char"/>
    <w:basedOn w:val="DefaultParagraphFont"/>
    <w:link w:val="Underlined"/>
    <w:rsid w:val="00571FBC"/>
    <w:rPr>
      <w:rFonts w:ascii="Times New Roman" w:hAnsi="Times New Roman" w:cs="Akhbar MT"/>
      <w:szCs w:val="30"/>
      <w:lang w:val="es-ES"/>
    </w:rPr>
  </w:style>
  <w:style w:type="paragraph" w:customStyle="1" w:styleId="MeetingInfo">
    <w:name w:val="MeetingInfo"/>
    <w:basedOn w:val="Normal"/>
    <w:link w:val="MeetingInfoChar"/>
    <w:qFormat/>
    <w:rsid w:val="00571FBC"/>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571FBC"/>
    <w:rPr>
      <w:rFonts w:ascii="Times New Roman Bold" w:hAnsi="Times New Roman Bold" w:cs="Akhbar MT"/>
      <w:b/>
      <w:bCs/>
      <w:sz w:val="28"/>
      <w:szCs w:val="36"/>
      <w:lang w:val="es-ES"/>
    </w:rPr>
  </w:style>
  <w:style w:type="paragraph" w:customStyle="1" w:styleId="Hidden">
    <w:name w:val="Hidden"/>
    <w:basedOn w:val="Normal"/>
    <w:link w:val="HiddenChar"/>
    <w:qFormat/>
    <w:rsid w:val="00571FBC"/>
    <w:pPr>
      <w:spacing w:line="20" w:lineRule="exact"/>
    </w:pPr>
    <w:rPr>
      <w:sz w:val="2"/>
    </w:rPr>
  </w:style>
  <w:style w:type="character" w:customStyle="1" w:styleId="HiddenChar">
    <w:name w:val="Hidden Char"/>
    <w:basedOn w:val="DefaultParagraphFont"/>
    <w:link w:val="Hidden"/>
    <w:rsid w:val="00571FBC"/>
    <w:rPr>
      <w:rFonts w:ascii="Times New Roman" w:hAnsi="Times New Roman" w:cs="Akhbar MT"/>
      <w:sz w:val="2"/>
      <w:szCs w:val="30"/>
      <w:lang w:val="es-ES"/>
    </w:rPr>
  </w:style>
  <w:style w:type="paragraph" w:customStyle="1" w:styleId="LanguageSymbol">
    <w:name w:val="LanguageSymbol"/>
    <w:basedOn w:val="Normal"/>
    <w:link w:val="LanguageSymbolChar"/>
    <w:qFormat/>
    <w:rsid w:val="00571FBC"/>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571FBC"/>
    <w:rPr>
      <w:rFonts w:ascii="Times New Roman" w:hAnsi="Times New Roman" w:cs="Akhbar MT"/>
      <w:b/>
      <w:color w:val="808080"/>
      <w:sz w:val="56"/>
      <w:szCs w:val="56"/>
      <w:lang w:val="es-ES"/>
    </w:rPr>
  </w:style>
  <w:style w:type="table" w:styleId="TableGrid">
    <w:name w:val="Table Grid"/>
    <w:basedOn w:val="TableNormal"/>
    <w:uiPriority w:val="59"/>
    <w:rsid w:val="00571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71FBC"/>
  </w:style>
  <w:style w:type="paragraph" w:styleId="FootnoteText">
    <w:name w:val="footnote text"/>
    <w:basedOn w:val="Normal"/>
    <w:link w:val="FootnoteTextChar"/>
    <w:unhideWhenUsed/>
    <w:rsid w:val="00571FBC"/>
    <w:pPr>
      <w:spacing w:after="0"/>
    </w:pPr>
    <w:rPr>
      <w:sz w:val="20"/>
      <w:szCs w:val="20"/>
    </w:rPr>
  </w:style>
  <w:style w:type="character" w:customStyle="1" w:styleId="FootnoteTextChar">
    <w:name w:val="Footnote Text Char"/>
    <w:basedOn w:val="DefaultParagraphFont"/>
    <w:link w:val="FootnoteText"/>
    <w:rsid w:val="00571FBC"/>
    <w:rPr>
      <w:rFonts w:ascii="Times New Roman" w:hAnsi="Times New Roman" w:cs="Akhbar MT"/>
      <w:sz w:val="20"/>
      <w:szCs w:val="20"/>
      <w:lang w:val="es-ES"/>
    </w:rPr>
  </w:style>
  <w:style w:type="character" w:styleId="FootnoteReference">
    <w:name w:val="footnote reference"/>
    <w:aliases w:val="stylish"/>
    <w:rsid w:val="00571FBC"/>
    <w:rPr>
      <w:rFonts w:ascii="Book Antiqua" w:eastAsia="SimSun" w:hAnsi="Book Antiqua"/>
      <w:smallCaps/>
      <w:sz w:val="18"/>
      <w:szCs w:val="24"/>
      <w:vertAlign w:val="superscript"/>
      <w:lang w:val="es-ES" w:eastAsia="es-ES" w:bidi="es-ES"/>
    </w:rPr>
  </w:style>
  <w:style w:type="character" w:customStyle="1" w:styleId="Heading3Char">
    <w:name w:val="Heading 3 Char"/>
    <w:basedOn w:val="DefaultParagraphFont"/>
    <w:link w:val="Heading3"/>
    <w:uiPriority w:val="9"/>
    <w:semiHidden/>
    <w:rsid w:val="00571FBC"/>
    <w:rPr>
      <w:rFonts w:asciiTheme="majorHAnsi" w:eastAsiaTheme="majorEastAsia" w:hAnsiTheme="majorHAnsi" w:cstheme="majorBidi"/>
      <w:b/>
      <w:bCs/>
      <w:color w:val="4F81BD" w:themeColor="accent1"/>
      <w:szCs w:val="30"/>
      <w:lang w:val="es-ES"/>
    </w:rPr>
  </w:style>
  <w:style w:type="paragraph" w:styleId="ListParagraph">
    <w:name w:val="List Paragraph"/>
    <w:basedOn w:val="Normal"/>
    <w:uiPriority w:val="34"/>
    <w:qFormat/>
    <w:rsid w:val="00571FBC"/>
    <w:pPr>
      <w:ind w:left="720"/>
      <w:contextualSpacing/>
    </w:pPr>
  </w:style>
  <w:style w:type="paragraph" w:styleId="BalloonText">
    <w:name w:val="Balloon Text"/>
    <w:basedOn w:val="Normal"/>
    <w:link w:val="BalloonTextChar"/>
    <w:uiPriority w:val="99"/>
    <w:semiHidden/>
    <w:unhideWhenUsed/>
    <w:rsid w:val="00B2329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2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71FBC"/>
    <w:pPr>
      <w:spacing w:line="240" w:lineRule="auto"/>
    </w:pPr>
    <w:rPr>
      <w:rFonts w:ascii="Times New Roman" w:hAnsi="Times New Roman" w:cs="Akhbar MT"/>
      <w:szCs w:val="30"/>
    </w:rPr>
  </w:style>
  <w:style w:type="paragraph" w:styleId="Heading1">
    <w:name w:val="heading 1"/>
    <w:aliases w:val="Part"/>
    <w:basedOn w:val="Normal"/>
    <w:next w:val="Heading2"/>
    <w:link w:val="Heading1Char"/>
    <w:qFormat/>
    <w:rsid w:val="00571FBC"/>
    <w:pPr>
      <w:keepNext/>
      <w:numPr>
        <w:numId w:val="1"/>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571FBC"/>
    <w:pPr>
      <w:keepNext/>
      <w:numPr>
        <w:ilvl w:val="1"/>
        <w:numId w:val="1"/>
      </w:numPr>
      <w:spacing w:before="24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571FB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
    <w:basedOn w:val="DefaultParagraphFont"/>
    <w:link w:val="Heading1"/>
    <w:rsid w:val="00571FBC"/>
    <w:rPr>
      <w:rFonts w:ascii="Times New Roman Bold" w:eastAsia="Times New Roman" w:hAnsi="Times New Roman Bold" w:cs="Akhbar MT"/>
      <w:b/>
      <w:bCs/>
      <w:sz w:val="26"/>
      <w:szCs w:val="36"/>
      <w:lang w:val="es-ES"/>
    </w:rPr>
  </w:style>
  <w:style w:type="character" w:customStyle="1" w:styleId="Heading2Char">
    <w:name w:val="Heading 2 Char"/>
    <w:aliases w:val="Chpt Char"/>
    <w:basedOn w:val="DefaultParagraphFont"/>
    <w:link w:val="Heading2"/>
    <w:rsid w:val="00571FBC"/>
    <w:rPr>
      <w:rFonts w:ascii="Times New Roman Bold" w:eastAsia="Times New Roman" w:hAnsi="Times New Roman Bold" w:cs="Akhbar MT"/>
      <w:b/>
      <w:bCs/>
      <w:sz w:val="24"/>
      <w:szCs w:val="32"/>
      <w:lang w:val="es-ES"/>
    </w:rPr>
  </w:style>
  <w:style w:type="paragraph" w:styleId="Header">
    <w:name w:val="header"/>
    <w:basedOn w:val="Normal"/>
    <w:link w:val="HeaderChar"/>
    <w:uiPriority w:val="99"/>
    <w:unhideWhenUsed/>
    <w:rsid w:val="00571FBC"/>
    <w:pPr>
      <w:tabs>
        <w:tab w:val="center" w:pos="4536"/>
        <w:tab w:val="right" w:pos="9072"/>
      </w:tabs>
    </w:pPr>
  </w:style>
  <w:style w:type="character" w:customStyle="1" w:styleId="HeaderChar">
    <w:name w:val="Header Char"/>
    <w:basedOn w:val="DefaultParagraphFont"/>
    <w:link w:val="Header"/>
    <w:uiPriority w:val="99"/>
    <w:rsid w:val="00571FBC"/>
    <w:rPr>
      <w:rFonts w:ascii="Times New Roman" w:hAnsi="Times New Roman" w:cs="Akhbar MT"/>
      <w:szCs w:val="30"/>
      <w:lang w:val="es-ES"/>
    </w:rPr>
  </w:style>
  <w:style w:type="paragraph" w:styleId="Footer">
    <w:name w:val="footer"/>
    <w:basedOn w:val="Normal"/>
    <w:link w:val="FooterChar"/>
    <w:uiPriority w:val="99"/>
    <w:unhideWhenUsed/>
    <w:rsid w:val="00571FBC"/>
    <w:pPr>
      <w:tabs>
        <w:tab w:val="center" w:pos="4536"/>
        <w:tab w:val="right" w:pos="9072"/>
      </w:tabs>
    </w:pPr>
  </w:style>
  <w:style w:type="character" w:customStyle="1" w:styleId="FooterChar">
    <w:name w:val="Footer Char"/>
    <w:basedOn w:val="DefaultParagraphFont"/>
    <w:link w:val="Footer"/>
    <w:uiPriority w:val="99"/>
    <w:rsid w:val="00571FBC"/>
    <w:rPr>
      <w:rFonts w:ascii="Times New Roman" w:hAnsi="Times New Roman" w:cs="Akhbar MT"/>
      <w:szCs w:val="30"/>
      <w:lang w:val="es-ES"/>
    </w:rPr>
  </w:style>
  <w:style w:type="paragraph" w:customStyle="1" w:styleId="Note">
    <w:name w:val="Note"/>
    <w:basedOn w:val="Normal"/>
    <w:link w:val="NoteChar"/>
    <w:autoRedefine/>
    <w:qFormat/>
    <w:rsid w:val="00571FBC"/>
    <w:pPr>
      <w:pBdr>
        <w:top w:val="single" w:sz="4" w:space="0" w:color="auto"/>
      </w:pBdr>
      <w:jc w:val="center"/>
    </w:pPr>
    <w:rPr>
      <w:i/>
      <w:sz w:val="20"/>
      <w:szCs w:val="28"/>
    </w:rPr>
  </w:style>
  <w:style w:type="character" w:customStyle="1" w:styleId="NoteChar">
    <w:name w:val="Note Char"/>
    <w:basedOn w:val="DefaultParagraphFont"/>
    <w:link w:val="Note"/>
    <w:rsid w:val="00571FBC"/>
    <w:rPr>
      <w:rFonts w:ascii="Times New Roman" w:hAnsi="Times New Roman" w:cs="Akhbar MT"/>
      <w:i/>
      <w:sz w:val="20"/>
      <w:szCs w:val="28"/>
      <w:lang w:val="es-ES"/>
    </w:rPr>
  </w:style>
  <w:style w:type="paragraph" w:customStyle="1" w:styleId="DocTitle">
    <w:name w:val="DocTitle"/>
    <w:basedOn w:val="Normal"/>
    <w:link w:val="DocTitleChar"/>
    <w:qFormat/>
    <w:rsid w:val="00571FBC"/>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571FBC"/>
    <w:rPr>
      <w:rFonts w:ascii="Times New Roman" w:hAnsi="Times New Roman" w:cs="Akhbar MT"/>
      <w:bCs/>
      <w:color w:val="7F7F7F" w:themeColor="text1" w:themeTint="80"/>
      <w:sz w:val="56"/>
      <w:szCs w:val="72"/>
      <w:lang w:val="es-ES"/>
    </w:rPr>
  </w:style>
  <w:style w:type="paragraph" w:customStyle="1" w:styleId="NewPara">
    <w:name w:val="NewPara"/>
    <w:basedOn w:val="ListParagraph"/>
    <w:link w:val="NewParaChar"/>
    <w:qFormat/>
    <w:rsid w:val="00571FBC"/>
    <w:pPr>
      <w:numPr>
        <w:numId w:val="2"/>
      </w:numPr>
      <w:contextualSpacing w:val="0"/>
    </w:pPr>
  </w:style>
  <w:style w:type="character" w:customStyle="1" w:styleId="NewParaChar">
    <w:name w:val="NewPara Char"/>
    <w:basedOn w:val="DefaultParagraphFont"/>
    <w:link w:val="NewPara"/>
    <w:rsid w:val="00571FBC"/>
    <w:rPr>
      <w:rFonts w:ascii="Times New Roman" w:hAnsi="Times New Roman" w:cs="Akhbar MT"/>
      <w:szCs w:val="30"/>
      <w:lang w:val="es-ES"/>
    </w:rPr>
  </w:style>
  <w:style w:type="paragraph" w:customStyle="1" w:styleId="BulletList">
    <w:name w:val="Bullet List"/>
    <w:basedOn w:val="ListParagraph"/>
    <w:link w:val="BulletListChar"/>
    <w:qFormat/>
    <w:rsid w:val="00571FBC"/>
    <w:pPr>
      <w:numPr>
        <w:numId w:val="3"/>
      </w:numPr>
      <w:ind w:left="714" w:hanging="357"/>
    </w:pPr>
  </w:style>
  <w:style w:type="character" w:customStyle="1" w:styleId="BulletListChar">
    <w:name w:val="Bullet List Char"/>
    <w:basedOn w:val="DefaultParagraphFont"/>
    <w:link w:val="BulletList"/>
    <w:rsid w:val="00571FBC"/>
    <w:rPr>
      <w:rFonts w:ascii="Times New Roman" w:hAnsi="Times New Roman" w:cs="Akhbar MT"/>
      <w:szCs w:val="30"/>
      <w:lang w:val="es-ES"/>
    </w:rPr>
  </w:style>
  <w:style w:type="paragraph" w:customStyle="1" w:styleId="SummaryBoxText">
    <w:name w:val="Summary Box Text"/>
    <w:basedOn w:val="Normal"/>
    <w:link w:val="SummaryBoxTextChar"/>
    <w:qFormat/>
    <w:rsid w:val="00571FBC"/>
    <w:pPr>
      <w:spacing w:line="360" w:lineRule="auto"/>
    </w:pPr>
  </w:style>
  <w:style w:type="character" w:customStyle="1" w:styleId="SummaryBoxTextChar">
    <w:name w:val="Summary Box Text Char"/>
    <w:basedOn w:val="DefaultParagraphFont"/>
    <w:link w:val="SummaryBoxText"/>
    <w:rsid w:val="00571FBC"/>
    <w:rPr>
      <w:rFonts w:ascii="Times New Roman" w:hAnsi="Times New Roman" w:cs="Akhbar MT"/>
      <w:szCs w:val="30"/>
      <w:lang w:val="es-ES"/>
    </w:rPr>
  </w:style>
  <w:style w:type="paragraph" w:customStyle="1" w:styleId="Underlined">
    <w:name w:val="Underlined"/>
    <w:basedOn w:val="Normal"/>
    <w:link w:val="UnderlinedChar"/>
    <w:qFormat/>
    <w:rsid w:val="00571FBC"/>
    <w:pPr>
      <w:pBdr>
        <w:bottom w:val="single" w:sz="12" w:space="1" w:color="auto"/>
      </w:pBdr>
    </w:pPr>
  </w:style>
  <w:style w:type="character" w:customStyle="1" w:styleId="UnderlinedChar">
    <w:name w:val="Underlined Char"/>
    <w:basedOn w:val="DefaultParagraphFont"/>
    <w:link w:val="Underlined"/>
    <w:rsid w:val="00571FBC"/>
    <w:rPr>
      <w:rFonts w:ascii="Times New Roman" w:hAnsi="Times New Roman" w:cs="Akhbar MT"/>
      <w:szCs w:val="30"/>
      <w:lang w:val="es-ES"/>
    </w:rPr>
  </w:style>
  <w:style w:type="paragraph" w:customStyle="1" w:styleId="MeetingInfo">
    <w:name w:val="MeetingInfo"/>
    <w:basedOn w:val="Normal"/>
    <w:link w:val="MeetingInfoChar"/>
    <w:qFormat/>
    <w:rsid w:val="00571FBC"/>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571FBC"/>
    <w:rPr>
      <w:rFonts w:ascii="Times New Roman Bold" w:hAnsi="Times New Roman Bold" w:cs="Akhbar MT"/>
      <w:b/>
      <w:bCs/>
      <w:sz w:val="28"/>
      <w:szCs w:val="36"/>
      <w:lang w:val="es-ES"/>
    </w:rPr>
  </w:style>
  <w:style w:type="paragraph" w:customStyle="1" w:styleId="Hidden">
    <w:name w:val="Hidden"/>
    <w:basedOn w:val="Normal"/>
    <w:link w:val="HiddenChar"/>
    <w:qFormat/>
    <w:rsid w:val="00571FBC"/>
    <w:pPr>
      <w:spacing w:line="20" w:lineRule="exact"/>
    </w:pPr>
    <w:rPr>
      <w:sz w:val="2"/>
    </w:rPr>
  </w:style>
  <w:style w:type="character" w:customStyle="1" w:styleId="HiddenChar">
    <w:name w:val="Hidden Char"/>
    <w:basedOn w:val="DefaultParagraphFont"/>
    <w:link w:val="Hidden"/>
    <w:rsid w:val="00571FBC"/>
    <w:rPr>
      <w:rFonts w:ascii="Times New Roman" w:hAnsi="Times New Roman" w:cs="Akhbar MT"/>
      <w:sz w:val="2"/>
      <w:szCs w:val="30"/>
      <w:lang w:val="es-ES"/>
    </w:rPr>
  </w:style>
  <w:style w:type="paragraph" w:customStyle="1" w:styleId="LanguageSymbol">
    <w:name w:val="LanguageSymbol"/>
    <w:basedOn w:val="Normal"/>
    <w:link w:val="LanguageSymbolChar"/>
    <w:qFormat/>
    <w:rsid w:val="00571FBC"/>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571FBC"/>
    <w:rPr>
      <w:rFonts w:ascii="Times New Roman" w:hAnsi="Times New Roman" w:cs="Akhbar MT"/>
      <w:b/>
      <w:color w:val="808080"/>
      <w:sz w:val="56"/>
      <w:szCs w:val="56"/>
      <w:lang w:val="es-ES"/>
    </w:rPr>
  </w:style>
  <w:style w:type="table" w:styleId="TableGrid">
    <w:name w:val="Table Grid"/>
    <w:basedOn w:val="TableNormal"/>
    <w:uiPriority w:val="59"/>
    <w:rsid w:val="00571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71FBC"/>
  </w:style>
  <w:style w:type="paragraph" w:styleId="FootnoteText">
    <w:name w:val="footnote text"/>
    <w:basedOn w:val="Normal"/>
    <w:link w:val="FootnoteTextChar"/>
    <w:unhideWhenUsed/>
    <w:rsid w:val="00571FBC"/>
    <w:pPr>
      <w:spacing w:after="0"/>
    </w:pPr>
    <w:rPr>
      <w:sz w:val="20"/>
      <w:szCs w:val="20"/>
    </w:rPr>
  </w:style>
  <w:style w:type="character" w:customStyle="1" w:styleId="FootnoteTextChar">
    <w:name w:val="Footnote Text Char"/>
    <w:basedOn w:val="DefaultParagraphFont"/>
    <w:link w:val="FootnoteText"/>
    <w:rsid w:val="00571FBC"/>
    <w:rPr>
      <w:rFonts w:ascii="Times New Roman" w:hAnsi="Times New Roman" w:cs="Akhbar MT"/>
      <w:sz w:val="20"/>
      <w:szCs w:val="20"/>
      <w:lang w:val="es-ES"/>
    </w:rPr>
  </w:style>
  <w:style w:type="character" w:styleId="FootnoteReference">
    <w:name w:val="footnote reference"/>
    <w:aliases w:val="stylish"/>
    <w:rsid w:val="00571FBC"/>
    <w:rPr>
      <w:rFonts w:ascii="Book Antiqua" w:eastAsia="SimSun" w:hAnsi="Book Antiqua"/>
      <w:smallCaps/>
      <w:sz w:val="18"/>
      <w:szCs w:val="24"/>
      <w:vertAlign w:val="superscript"/>
      <w:lang w:val="es-ES" w:eastAsia="es-ES" w:bidi="es-ES"/>
    </w:rPr>
  </w:style>
  <w:style w:type="character" w:customStyle="1" w:styleId="Heading3Char">
    <w:name w:val="Heading 3 Char"/>
    <w:basedOn w:val="DefaultParagraphFont"/>
    <w:link w:val="Heading3"/>
    <w:uiPriority w:val="9"/>
    <w:semiHidden/>
    <w:rsid w:val="00571FBC"/>
    <w:rPr>
      <w:rFonts w:asciiTheme="majorHAnsi" w:eastAsiaTheme="majorEastAsia" w:hAnsiTheme="majorHAnsi" w:cstheme="majorBidi"/>
      <w:b/>
      <w:bCs/>
      <w:color w:val="4F81BD" w:themeColor="accent1"/>
      <w:szCs w:val="30"/>
      <w:lang w:val="es-ES"/>
    </w:rPr>
  </w:style>
  <w:style w:type="paragraph" w:styleId="ListParagraph">
    <w:name w:val="List Paragraph"/>
    <w:basedOn w:val="Normal"/>
    <w:uiPriority w:val="34"/>
    <w:qFormat/>
    <w:rsid w:val="00571FBC"/>
    <w:pPr>
      <w:ind w:left="720"/>
      <w:contextualSpacing/>
    </w:pPr>
  </w:style>
  <w:style w:type="paragraph" w:styleId="BalloonText">
    <w:name w:val="Balloon Text"/>
    <w:basedOn w:val="Normal"/>
    <w:link w:val="BalloonTextChar"/>
    <w:uiPriority w:val="99"/>
    <w:semiHidden/>
    <w:unhideWhenUsed/>
    <w:rsid w:val="00B2329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2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www.fao.org/fishery/statistics/global-aquaculture-production/es" TargetMode="External"/><Relationship Id="rId13" Type="http://schemas.openxmlformats.org/officeDocument/2006/relationships/hyperlink" Target="mailto:WAPI@fao.org" TargetMode="External"/><Relationship Id="rId3" Type="http://schemas.openxmlformats.org/officeDocument/2006/relationships/hyperlink" Target="http://www.fao.org/fishery/aquaculture/es" TargetMode="External"/><Relationship Id="rId7" Type="http://schemas.openxmlformats.org/officeDocument/2006/relationships/hyperlink" Target="http://faolex.fao.org/faolex_spa/index.htm" TargetMode="External"/><Relationship Id="rId12" Type="http://schemas.openxmlformats.org/officeDocument/2006/relationships/hyperlink" Target="http://www.fao.org/3/a-i3539e.pdf" TargetMode="External"/><Relationship Id="rId17" Type="http://schemas.openxmlformats.org/officeDocument/2006/relationships/hyperlink" Target="http://www.gsars.org/guidelines-to-enhance-fisheries-and-aquaculture-statistics-through-a-census-framework/" TargetMode="External"/><Relationship Id="rId2" Type="http://schemas.openxmlformats.org/officeDocument/2006/relationships/hyperlink" Target="http://www.fao.org/fishery/statistics/es" TargetMode="External"/><Relationship Id="rId16" Type="http://schemas.openxmlformats.org/officeDocument/2006/relationships/hyperlink" Target="http://unstats.un.org/unsd/envaccounting/seearev/" TargetMode="External"/><Relationship Id="rId1" Type="http://schemas.openxmlformats.org/officeDocument/2006/relationships/hyperlink" Target="http://www.fao.org/3/a-i3720s/index.html" TargetMode="External"/><Relationship Id="rId6" Type="http://schemas.openxmlformats.org/officeDocument/2006/relationships/hyperlink" Target="http://www.fao.org/fishery/nalo/search/es" TargetMode="External"/><Relationship Id="rId11" Type="http://schemas.openxmlformats.org/officeDocument/2006/relationships/hyperlink" Target="http://www.fao.org/fishery/statistics/software/fishstatj/en" TargetMode="External"/><Relationship Id="rId5" Type="http://schemas.openxmlformats.org/officeDocument/2006/relationships/hyperlink" Target="http://www.fao.org/fishery/naso/search/es" TargetMode="External"/><Relationship Id="rId15" Type="http://schemas.openxmlformats.org/officeDocument/2006/relationships/hyperlink" Target="http://unstats.un.org/unsd/cr/registry/default.asp?lg=3" TargetMode="External"/><Relationship Id="rId10" Type="http://schemas.openxmlformats.org/officeDocument/2006/relationships/hyperlink" Target="http://www.fao.org/fishery/statistics/global-aquaculture-production/query/en" TargetMode="External"/><Relationship Id="rId4" Type="http://schemas.openxmlformats.org/officeDocument/2006/relationships/hyperlink" Target="http://www.fao.org/aquaculture/es/" TargetMode="External"/><Relationship Id="rId9" Type="http://schemas.openxmlformats.org/officeDocument/2006/relationships/hyperlink" Target="ftp://ftp.fao.org/FI/CDrom/CD_yearbook_2012/index.htm" TargetMode="External"/><Relationship Id="rId14" Type="http://schemas.openxmlformats.org/officeDocument/2006/relationships/hyperlink" Target="http://www.fao.org/docrep/011/i0445t/i0445t00.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4579</Words>
  <Characters>25185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29705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Giordano DiNicola (CPAM)</dc:creator>
  <cp:lastModifiedBy>Juanita Leigh (CPAM)</cp:lastModifiedBy>
  <cp:revision>2</cp:revision>
  <cp:lastPrinted>2015-08-05T11:58:00Z</cp:lastPrinted>
  <dcterms:created xsi:type="dcterms:W3CDTF">2015-08-05T13:30:00Z</dcterms:created>
  <dcterms:modified xsi:type="dcterms:W3CDTF">2015-08-05T13:30:00Z</dcterms:modified>
</cp:coreProperties>
</file>