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rPr>
        <w:id w:val="772587692"/>
      </w:sdtPr>
      <w:sdtEndPr/>
      <w:sdtContent>
        <w:p w:rsidR="00104DBB" w:rsidRPr="0073685B" w:rsidRDefault="00104DBB" w:rsidP="008C4283">
          <w:pPr>
            <w:pStyle w:val="Hidden"/>
          </w:pPr>
        </w:p>
        <w:p w:rsidR="00104DBB" w:rsidRPr="00EC4381" w:rsidRDefault="00242D97" w:rsidP="008C4283">
          <w:pPr>
            <w:pStyle w:val="DocTitle"/>
          </w:pPr>
          <w:bookmarkStart w:id="0" w:name="CoverBookmark"/>
          <w:bookmarkStart w:id="1" w:name="CoverTitleBookmark"/>
          <w:r w:rsidRPr="004779AE">
            <w:rPr>
              <w:smallCaps/>
              <w:szCs w:val="56"/>
            </w:rPr>
            <w:t>Comité de Pesca</w:t>
          </w:r>
        </w:p>
        <w:bookmarkEnd w:id="1"/>
        <w:p w:rsidR="00104DBB" w:rsidRPr="0092676C" w:rsidRDefault="00BD3FA3" w:rsidP="008C4283">
          <w:pPr>
            <w:pStyle w:val="MeetingInfo"/>
            <w:rPr>
              <w:lang w:val="en-US"/>
            </w:rPr>
          </w:pPr>
          <w:r>
            <w:rPr>
              <w:lang w:val="en-US"/>
            </w:rPr>
            <w:t>SUBCOMITÉ DE ACUICULTURA</w:t>
          </w:r>
        </w:p>
        <w:p w:rsidR="00104DBB" w:rsidRPr="0092676C" w:rsidRDefault="00BD3FA3" w:rsidP="008C4283">
          <w:pPr>
            <w:pStyle w:val="MeetingInfo"/>
            <w:rPr>
              <w:lang w:val="en-US"/>
            </w:rPr>
          </w:pPr>
          <w:proofErr w:type="spellStart"/>
          <w:r>
            <w:rPr>
              <w:lang w:val="en-US"/>
            </w:rPr>
            <w:t>Octav</w:t>
          </w:r>
          <w:r w:rsidR="002E2083">
            <w:rPr>
              <w:lang w:val="en-US"/>
            </w:rPr>
            <w:t>a</w:t>
          </w:r>
          <w:proofErr w:type="spellEnd"/>
          <w:r>
            <w:rPr>
              <w:lang w:val="en-US"/>
            </w:rPr>
            <w:t xml:space="preserve"> </w:t>
          </w:r>
          <w:proofErr w:type="spellStart"/>
          <w:r w:rsidR="002E2083">
            <w:rPr>
              <w:lang w:val="en-US"/>
            </w:rPr>
            <w:t>reunión</w:t>
          </w:r>
          <w:proofErr w:type="spellEnd"/>
        </w:p>
        <w:p w:rsidR="00104DBB" w:rsidRPr="0092676C" w:rsidRDefault="00802333" w:rsidP="008C4283">
          <w:pPr>
            <w:pStyle w:val="MeetingInfo"/>
            <w:rPr>
              <w:lang w:val="en-US"/>
            </w:rPr>
          </w:pPr>
          <w:r>
            <w:rPr>
              <w:lang w:val="en-US"/>
            </w:rPr>
            <w:t>Brasilia (</w:t>
          </w:r>
          <w:proofErr w:type="spellStart"/>
          <w:r>
            <w:rPr>
              <w:lang w:val="en-US"/>
            </w:rPr>
            <w:t>Bras</w:t>
          </w:r>
          <w:r w:rsidR="00BD3FA3">
            <w:rPr>
              <w:lang w:val="en-US"/>
            </w:rPr>
            <w:t>il</w:t>
          </w:r>
          <w:proofErr w:type="spellEnd"/>
          <w:r w:rsidR="00BD3FA3">
            <w:rPr>
              <w:lang w:val="en-US"/>
            </w:rPr>
            <w:t>), 5-</w:t>
          </w:r>
          <w:r w:rsidR="00104DBB" w:rsidRPr="0092676C">
            <w:rPr>
              <w:lang w:val="en-US"/>
            </w:rPr>
            <w:t xml:space="preserve">9 </w:t>
          </w:r>
          <w:r w:rsidR="00BD3FA3">
            <w:rPr>
              <w:lang w:val="en-US"/>
            </w:rPr>
            <w:t xml:space="preserve">de </w:t>
          </w:r>
          <w:proofErr w:type="spellStart"/>
          <w:r w:rsidR="00BD3FA3">
            <w:rPr>
              <w:lang w:val="en-US"/>
            </w:rPr>
            <w:t>octubre</w:t>
          </w:r>
          <w:proofErr w:type="spellEnd"/>
          <w:r w:rsidR="00BD3FA3">
            <w:rPr>
              <w:lang w:val="en-US"/>
            </w:rPr>
            <w:t xml:space="preserve"> de</w:t>
          </w:r>
          <w:r w:rsidR="00104DBB" w:rsidRPr="0092676C">
            <w:rPr>
              <w:lang w:val="en-US"/>
            </w:rPr>
            <w:t xml:space="preserve"> 2015</w:t>
          </w:r>
        </w:p>
        <w:p w:rsidR="00795EE6" w:rsidRPr="00795EE6" w:rsidRDefault="00795EE6" w:rsidP="008C4283">
          <w:pPr>
            <w:pStyle w:val="MeetingInfo"/>
            <w:rPr>
              <w:caps/>
              <w:lang w:val="en-US"/>
            </w:rPr>
          </w:pPr>
          <w:r w:rsidRPr="00795EE6">
            <w:rPr>
              <w:caps/>
              <w:lang w:val="en-US"/>
            </w:rPr>
            <w:t>Esfuerzos realizados por el Departamento de Pesca y Acuicultura de la FAO a fin de aplicar las recomendaciones formuladas por el Subcomité de Acuicultura del COFI en sus reuniones anteriores</w:t>
          </w:r>
        </w:p>
        <w:bookmarkEnd w:id="0"/>
        <w:p w:rsidR="00104DBB" w:rsidRPr="00EC4381" w:rsidRDefault="006512B1" w:rsidP="008C4283">
          <w:r>
            <w:rPr>
              <w:noProof/>
              <w:lang w:val="es-ES_tradnl" w:eastAsia="es-ES_tradnl" w:bidi="ar-SA"/>
            </w:rPr>
            <mc:AlternateContent>
              <mc:Choice Requires="wps">
                <w:drawing>
                  <wp:anchor distT="0" distB="0" distL="114300" distR="114300" simplePos="0" relativeHeight="251659264" behindDoc="0" locked="0" layoutInCell="1" allowOverlap="1" wp14:anchorId="34D2A863" wp14:editId="1092AA65">
                    <wp:simplePos x="0" y="0"/>
                    <wp:positionH relativeFrom="column">
                      <wp:posOffset>-31115</wp:posOffset>
                    </wp:positionH>
                    <wp:positionV relativeFrom="paragraph">
                      <wp:posOffset>175260</wp:posOffset>
                    </wp:positionV>
                    <wp:extent cx="5800725" cy="1952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952625"/>
                            </a:xfrm>
                            <a:prstGeom prst="rect">
                              <a:avLst/>
                            </a:prstGeom>
                            <a:solidFill>
                              <a:srgbClr val="FFFFFF"/>
                            </a:solidFill>
                            <a:ln w="9525">
                              <a:solidFill>
                                <a:srgbClr val="000000"/>
                              </a:solidFill>
                              <a:miter lim="800000"/>
                              <a:headEnd/>
                              <a:tailEnd/>
                            </a:ln>
                          </wps:spPr>
                          <wps:txbx>
                            <w:txbxContent>
                              <w:p w:rsidR="00104DBB" w:rsidRPr="00EF53BD" w:rsidRDefault="00104DBB" w:rsidP="00104DBB">
                                <w:pPr>
                                  <w:jc w:val="center"/>
                                </w:pPr>
                                <w:r>
                                  <w:rPr>
                                    <w:b/>
                                  </w:rPr>
                                  <w:t>RESUMEN</w:t>
                                </w:r>
                              </w:p>
                              <w:p w:rsidR="00104DBB" w:rsidRDefault="00104DBB" w:rsidP="00104DBB">
                                <w:pPr>
                                  <w:pStyle w:val="NewPara"/>
                                  <w:numPr>
                                    <w:ilvl w:val="0"/>
                                    <w:numId w:val="0"/>
                                  </w:numPr>
                                </w:pPr>
                                <w:r>
                                  <w:t xml:space="preserve">En el presente documento se </w:t>
                                </w:r>
                                <w:r w:rsidR="00542F2E">
                                  <w:t>resumen</w:t>
                                </w:r>
                                <w:r>
                                  <w:t xml:space="preserve"> </w:t>
                                </w:r>
                                <w:r w:rsidR="00542F2E">
                                  <w:t>los esfuerzos realizados</w:t>
                                </w:r>
                                <w:r>
                                  <w:t xml:space="preserve"> por el Departamento de Pesca y Acuicultura de la FAO </w:t>
                                </w:r>
                                <w:r w:rsidR="00542F2E">
                                  <w:t xml:space="preserve">a fin de </w:t>
                                </w:r>
                                <w:r>
                                  <w:t xml:space="preserve">aplicar las recomendaciones </w:t>
                                </w:r>
                                <w:r w:rsidR="00542F2E">
                                  <w:t>formuladas por</w:t>
                                </w:r>
                                <w:r>
                                  <w:t xml:space="preserve"> el Subcomité de Acuicultura del Comité de Pesca (COFI) de la FAO en sus reuniones anteriores.</w:t>
                                </w:r>
                              </w:p>
                              <w:p w:rsidR="00104DBB" w:rsidRDefault="00104DBB" w:rsidP="00104DBB">
                                <w:pPr>
                                  <w:pStyle w:val="NewPara"/>
                                  <w:numPr>
                                    <w:ilvl w:val="0"/>
                                    <w:numId w:val="0"/>
                                  </w:numPr>
                                </w:pPr>
                              </w:p>
                              <w:p w:rsidR="00104DBB" w:rsidRPr="0033024C" w:rsidRDefault="00BD3FA3" w:rsidP="00104DBB">
                                <w:pPr>
                                  <w:pStyle w:val="NewPara"/>
                                  <w:numPr>
                                    <w:ilvl w:val="0"/>
                                    <w:numId w:val="0"/>
                                  </w:numPr>
                                  <w:rPr>
                                    <w:b/>
                                  </w:rPr>
                                </w:pPr>
                                <w:r>
                                  <w:rPr>
                                    <w:b/>
                                  </w:rPr>
                                  <w:t>Se invita al Subcomité a:</w:t>
                                </w:r>
                              </w:p>
                              <w:p w:rsidR="00104DBB" w:rsidRPr="0033024C" w:rsidRDefault="00104DBB" w:rsidP="00104DBB">
                                <w:pPr>
                                  <w:pStyle w:val="NewPara"/>
                                  <w:numPr>
                                    <w:ilvl w:val="0"/>
                                    <w:numId w:val="0"/>
                                  </w:numPr>
                                </w:pPr>
                                <w:r>
                                  <w:t>Reflexionar sobre los avances y los logros y proporcionar asesoramiento, según resulte necesario, para reforzar la aplicación de las recomendaciones.</w:t>
                                </w:r>
                              </w:p>
                              <w:p w:rsidR="00104DBB" w:rsidRPr="00EF53BD" w:rsidRDefault="00104DBB" w:rsidP="00104D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13.8pt;width:456.7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CCIwIAAEcEAAAOAAAAZHJzL2Uyb0RvYy54bWysU81u2zAMvg/YOwi6L3a8pGmNOEWXLsOA&#10;7gdo9wCyLMfCJFGTlNjZ04+S0zTrusswHQRSpD6SH8nl9aAV2QvnJZiKTic5JcJwaKTZVvTbw+bN&#10;JSU+MNMwBUZU9CA8vV69frXsbSkK6EA1whEEMb7sbUW7EGyZZZ53QjM/ASsMGltwmgVU3TZrHOsR&#10;XausyPOLrAfXWAdceI+vt6ORrhJ+2woevrStF4GoimJuId0u3XW8s9WSlVvHbCf5MQ32D1loJg0G&#10;PUHdssDIzsk/oLTkDjy0YcJBZ9C2kotUA1YzzZ9Vc98xK1ItSI63J5r8/4Pln/dfHZFNRd/mC0oM&#10;09ikBzEE8g4GUkR+eutLdLu36BgGfMY+p1q9vQP+3RMD646ZrbhxDvpOsAbzm8af2dnXEcdHkLr/&#10;BA2GYbsACWhonY7kIR0E0bFPh1NvYiocH+eXeb4o5pRwtE2v5sUFKjEGKx+/W+fDBwGaRKGiDpuf&#10;4Nn+zofR9dElRvOgZLORSiXFbeu1cmTPcFA26RzRf3NThvQVxejzkYG/QuTpvAShZcCJV1JXFEvC&#10;E51YGXl7b5okBybVKGN1yhyJjNyNLIahHtAxsltDc0BKHYyTjZuIQgfuJyU9TnVF/Y8dc4IS9dFg&#10;W66ms1lcg6TM5osCFXduqc8tzHCEqmigZBTXIa1OzNfADbavlYnYp0yOueK0ptYcNyuuw7mevJ72&#10;f/ULAAD//wMAUEsDBBQABgAIAAAAIQBElCac4AAAAAkBAAAPAAAAZHJzL2Rvd25yZXYueG1sTI/B&#10;TsMwEETvSPyDtUhcUOu0KWkS4lQICQQ3KFW5uvE2ibDXwXbT8PeYE9xmNaOZt9VmMpqN6HxvScBi&#10;ngBDaqzqqRWwe3+c5cB8kKSktoQCvtHDpr68qGSp7JnecNyGlsUS8qUU0IUwlJz7pkMj/dwOSNE7&#10;WmdkiKdruXLyHMuN5sskybiRPcWFTg740GHzuT0ZAfnqefzwL+nrvsmOugg36/HpywlxfTXd3wEL&#10;OIW/MPziR3SoI9PBnkh5pgXMVkVMCliuM2DRL5I8ioOANL1dAK8r/v+D+gcAAP//AwBQSwECLQAU&#10;AAYACAAAACEAtoM4kv4AAADhAQAAEwAAAAAAAAAAAAAAAAAAAAAAW0NvbnRlbnRfVHlwZXNdLnht&#10;bFBLAQItABQABgAIAAAAIQA4/SH/1gAAAJQBAAALAAAAAAAAAAAAAAAAAC8BAABfcmVscy8ucmVs&#10;c1BLAQItABQABgAIAAAAIQC3zjCCIwIAAEcEAAAOAAAAAAAAAAAAAAAAAC4CAABkcnMvZTJvRG9j&#10;LnhtbFBLAQItABQABgAIAAAAIQBElCac4AAAAAkBAAAPAAAAAAAAAAAAAAAAAH0EAABkcnMvZG93&#10;bnJldi54bWxQSwUGAAAAAAQABADzAAAAigUAAAAA&#10;">
                    <v:textbox>
                      <w:txbxContent>
                        <w:p w:rsidR="00104DBB" w:rsidRPr="00EF53BD" w:rsidRDefault="00104DBB" w:rsidP="00104DBB">
                          <w:pPr>
                            <w:jc w:val="center"/>
                          </w:pPr>
                          <w:r>
                            <w:rPr>
                              <w:b/>
                            </w:rPr>
                            <w:t>RESUMEN</w:t>
                          </w:r>
                        </w:p>
                        <w:p w:rsidR="00104DBB" w:rsidRDefault="00104DBB" w:rsidP="00104DBB">
                          <w:pPr>
                            <w:pStyle w:val="NewPara"/>
                            <w:numPr>
                              <w:ilvl w:val="0"/>
                              <w:numId w:val="0"/>
                            </w:numPr>
                          </w:pPr>
                          <w:r>
                            <w:t xml:space="preserve">En el presente documento se </w:t>
                          </w:r>
                          <w:r w:rsidR="00542F2E">
                            <w:t>resumen</w:t>
                          </w:r>
                          <w:r>
                            <w:t xml:space="preserve"> </w:t>
                          </w:r>
                          <w:r w:rsidR="00542F2E">
                            <w:t>los esfuerzos realizados</w:t>
                          </w:r>
                          <w:r>
                            <w:t xml:space="preserve"> por el Departamento de Pesca y Acuicultura de la FAO </w:t>
                          </w:r>
                          <w:r w:rsidR="00542F2E">
                            <w:t xml:space="preserve">a fin de </w:t>
                          </w:r>
                          <w:r>
                            <w:t xml:space="preserve">aplicar las recomendaciones </w:t>
                          </w:r>
                          <w:r w:rsidR="00542F2E">
                            <w:t>formuladas por</w:t>
                          </w:r>
                          <w:r>
                            <w:t xml:space="preserve"> el Subcomité de Acuicultura del Comité de Pesca (COFI) de la FAO en sus reuniones anteriores.</w:t>
                          </w:r>
                        </w:p>
                        <w:p w:rsidR="00104DBB" w:rsidRDefault="00104DBB" w:rsidP="00104DBB">
                          <w:pPr>
                            <w:pStyle w:val="NewPara"/>
                            <w:numPr>
                              <w:ilvl w:val="0"/>
                              <w:numId w:val="0"/>
                            </w:numPr>
                          </w:pPr>
                        </w:p>
                        <w:p w:rsidR="00104DBB" w:rsidRPr="0033024C" w:rsidRDefault="00BD3FA3" w:rsidP="00104DBB">
                          <w:pPr>
                            <w:pStyle w:val="NewPara"/>
                            <w:numPr>
                              <w:ilvl w:val="0"/>
                              <w:numId w:val="0"/>
                            </w:numPr>
                            <w:rPr>
                              <w:b/>
                            </w:rPr>
                          </w:pPr>
                          <w:r>
                            <w:rPr>
                              <w:b/>
                            </w:rPr>
                            <w:t>Se invita al Subcomité a:</w:t>
                          </w:r>
                        </w:p>
                        <w:p w:rsidR="00104DBB" w:rsidRPr="0033024C" w:rsidRDefault="00104DBB" w:rsidP="00104DBB">
                          <w:pPr>
                            <w:pStyle w:val="NewPara"/>
                            <w:numPr>
                              <w:ilvl w:val="0"/>
                              <w:numId w:val="0"/>
                            </w:numPr>
                          </w:pPr>
                          <w:r>
                            <w:t>Reflexionar sobre los avances y los logros y proporcionar asesoramiento, según resulte necesario, para reforzar la aplicación de las recomendaciones.</w:t>
                          </w:r>
                        </w:p>
                        <w:p w:rsidR="00104DBB" w:rsidRPr="00EF53BD" w:rsidRDefault="00104DBB" w:rsidP="00104DBB"/>
                      </w:txbxContent>
                    </v:textbox>
                  </v:shape>
                </w:pict>
              </mc:Fallback>
            </mc:AlternateContent>
          </w:r>
        </w:p>
      </w:sdtContent>
    </w:sdt>
    <w:p w:rsidR="00104DBB" w:rsidRDefault="00104DBB" w:rsidP="008C4283"/>
    <w:p w:rsidR="00104DBB" w:rsidRDefault="00104DBB" w:rsidP="008C4283"/>
    <w:p w:rsidR="00104DBB" w:rsidRDefault="00104DBB" w:rsidP="008C4283"/>
    <w:p w:rsidR="00104DBB" w:rsidRDefault="00104DBB" w:rsidP="008C4283"/>
    <w:p w:rsidR="00104DBB" w:rsidRDefault="00104DBB" w:rsidP="008C4283"/>
    <w:p w:rsidR="00104DBB" w:rsidRDefault="00104DBB" w:rsidP="008C4283"/>
    <w:p w:rsidR="00104DBB" w:rsidRDefault="00104DBB" w:rsidP="008C4283"/>
    <w:p w:rsidR="00104DBB" w:rsidRDefault="00104DBB" w:rsidP="008C4283"/>
    <w:p w:rsidR="00104DBB" w:rsidRDefault="00104DBB" w:rsidP="008C4283">
      <w:pPr>
        <w:pStyle w:val="Heading1"/>
        <w:numPr>
          <w:ilvl w:val="0"/>
          <w:numId w:val="0"/>
        </w:numPr>
        <w:ind w:left="1"/>
        <w:jc w:val="left"/>
      </w:pPr>
    </w:p>
    <w:p w:rsidR="00104DBB" w:rsidRPr="0033024C" w:rsidRDefault="00104DBB" w:rsidP="008C4283">
      <w:pPr>
        <w:pStyle w:val="Heading2"/>
        <w:numPr>
          <w:ilvl w:val="0"/>
          <w:numId w:val="0"/>
        </w:numPr>
        <w:ind w:left="1"/>
        <w:jc w:val="left"/>
      </w:pPr>
      <w:r>
        <w:t>INTRODUCCIÓN</w:t>
      </w:r>
    </w:p>
    <w:p w:rsidR="00104DBB" w:rsidRDefault="00104DBB" w:rsidP="008C4283"/>
    <w:p w:rsidR="00104DBB" w:rsidRPr="0033024C" w:rsidRDefault="00104DBB" w:rsidP="008C4283">
      <w:pPr>
        <w:pStyle w:val="NewPara"/>
        <w:jc w:val="both"/>
      </w:pPr>
      <w:r>
        <w:t>La séptima reunión del Subcomité se celebró en San Petersbu</w:t>
      </w:r>
      <w:r w:rsidR="006512B1">
        <w:t>rgo (Federación de Rusia) del 7 </w:t>
      </w:r>
      <w:r>
        <w:t>al 11 de octubre de 2013 por amable invitación del Gobierno de la Federación de Rusia. El informe de la reunión se presenta como documento informativo (COFI:/AQ/VIII/2015/Inf.5).</w:t>
      </w:r>
    </w:p>
    <w:p w:rsidR="00104DBB" w:rsidRPr="0033024C" w:rsidRDefault="00104DBB" w:rsidP="008C4283"/>
    <w:p w:rsidR="00104DBB" w:rsidRDefault="00104DBB" w:rsidP="0091744C">
      <w:pPr>
        <w:pStyle w:val="Heading1"/>
        <w:keepLines/>
        <w:numPr>
          <w:ilvl w:val="0"/>
          <w:numId w:val="0"/>
        </w:numPr>
        <w:ind w:left="1"/>
        <w:jc w:val="left"/>
      </w:pPr>
    </w:p>
    <w:p w:rsidR="00104DBB" w:rsidRPr="0033024C" w:rsidRDefault="00104DBB" w:rsidP="0091744C">
      <w:pPr>
        <w:pStyle w:val="Heading2"/>
        <w:keepLines/>
        <w:numPr>
          <w:ilvl w:val="0"/>
          <w:numId w:val="0"/>
        </w:numPr>
        <w:ind w:left="1"/>
        <w:jc w:val="left"/>
      </w:pPr>
      <w:r>
        <w:t>PRINCIPALES RECOMENDACIONES Y PROPUESTAS DEL SUBCOMITÉ</w:t>
      </w:r>
    </w:p>
    <w:p w:rsidR="00104DBB" w:rsidRPr="0033024C" w:rsidRDefault="00104DBB" w:rsidP="0091744C">
      <w:pPr>
        <w:keepNext/>
        <w:keepLines/>
      </w:pPr>
    </w:p>
    <w:p w:rsidR="00104DBB" w:rsidRDefault="00104DBB" w:rsidP="0091744C">
      <w:pPr>
        <w:pStyle w:val="NewPara"/>
        <w:keepNext/>
        <w:keepLines/>
        <w:jc w:val="both"/>
      </w:pPr>
      <w:r>
        <w:lastRenderedPageBreak/>
        <w:t>El Subcomité formuló una serie de recomendaciones y propuestas y determinó varias esferas prioritarias para la labor futura con miras a materializar todo el potencial de la acuicultura en relación con la seguridad alimentaria, la reducción de la pobreza y el desarrollo humano a escala nacional, regional y mundial (véase el documento COFI:/AQ/VIII/2015/Inf.5).</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La FAO llevó a cabo un estudio para apoyar la creación de un sistema de indicadores que pueda proporcionar asesoramiento a los países interesados en realizar una evaluación sistemática de los métodos y de la medida en que la acuicultura en pequeña escala contribuye al desarrollo de la acuicultura y de los medios de vida rurales. Aunque los estudios de caso generaron resultados significativos y de gran valor que demostraban la contribución de la acuicultura en pequeña escala al desarrollo rural sostenible, este estudio se ocupó del proceso de elaboración del sistema de indicadores y de la forma en que se obtenían los resultados. Demostró que los gobiernos pueden realizar un estudio sistemático, estructurado y cuantificable que ponga de relieve la contribución de la acuicultura en pequeña escala en sus respectivos países. También ha mostrado que, una vez que se dispone de un sistema estructurado en vigor, se pueden derivar de </w:t>
      </w:r>
      <w:proofErr w:type="gramStart"/>
      <w:r>
        <w:t>este</w:t>
      </w:r>
      <w:proofErr w:type="gramEnd"/>
      <w:r>
        <w:t xml:space="preserve"> diversas herramientas, ejemplos y resultados posibles.</w:t>
      </w:r>
    </w:p>
    <w:p w:rsidR="00104DBB" w:rsidRPr="0033024C" w:rsidRDefault="00104DBB" w:rsidP="008C4283">
      <w:pPr>
        <w:pStyle w:val="NewPara"/>
        <w:numPr>
          <w:ilvl w:val="0"/>
          <w:numId w:val="0"/>
        </w:numPr>
        <w:jc w:val="both"/>
      </w:pPr>
    </w:p>
    <w:p w:rsidR="00104DBB" w:rsidRDefault="00104DBB" w:rsidP="008C4283">
      <w:pPr>
        <w:pStyle w:val="NewPara"/>
        <w:jc w:val="both"/>
      </w:pPr>
      <w:r>
        <w:t>En línea con el Objetivo Estratégico 3 de la FAO sobre reducción de la pobreza rural y, en particular, sobre la promoción del empleo rural decente, la Organ</w:t>
      </w:r>
      <w:r w:rsidR="0092676C">
        <w:t>iz</w:t>
      </w:r>
      <w:r>
        <w:t>ación continuó afianzando su labor relativa al empleo y a las condiciones laborales de la pesca y la acuicultura. Se está finalizando un estudio de delimitación del alcance en relación con el trabajo decente en la pesca y la acuicultura que permitirá determinar las normas laborales internacionales existentes, los principales problemas y desafíos, las necesidades de información, las medidas posibles y las oportunidades de colaboración entre las partes interesadas con vistas a incorporar el enfoque del empleo rural decente de la FAO en la pesca y la acuicultura así como en la Iniciativa sobre el crecimiento azul de la FAO (véanse COFI:AQ/VIII/2015/09 y COFI:AQ/VIII</w:t>
      </w:r>
      <w:r w:rsidR="006512B1">
        <w:t>/2015/07 para más información).</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Como parte de un proceso consultivo en curso, durante </w:t>
      </w:r>
      <w:r w:rsidR="002E2083" w:rsidRPr="00D63C54">
        <w:t>el 31</w:t>
      </w:r>
      <w:proofErr w:type="gramStart"/>
      <w:r w:rsidR="002E2083" w:rsidRPr="00D63C54">
        <w:t>.º</w:t>
      </w:r>
      <w:proofErr w:type="gramEnd"/>
      <w:r w:rsidR="002E2083" w:rsidRPr="00D63C54">
        <w:t> </w:t>
      </w:r>
      <w:r w:rsidRPr="00D63C54">
        <w:t>período de sesiones del COFI</w:t>
      </w:r>
      <w:r>
        <w:t xml:space="preserve"> que tuvo lugar del 9 al 13 de junio de 2014 y con motivo del Día mundial contra el trabajo infantil, se celebró un acto paralelo titulado </w:t>
      </w:r>
      <w:r w:rsidR="009C5A6A">
        <w:t>“</w:t>
      </w:r>
      <w:proofErr w:type="spellStart"/>
      <w:r>
        <w:t>Working</w:t>
      </w:r>
      <w:proofErr w:type="spellEnd"/>
      <w:r>
        <w:t xml:space="preserve"> </w:t>
      </w:r>
      <w:proofErr w:type="spellStart"/>
      <w:r>
        <w:t>for</w:t>
      </w:r>
      <w:proofErr w:type="spellEnd"/>
      <w:r>
        <w:t xml:space="preserve"> Blue </w:t>
      </w:r>
      <w:proofErr w:type="spellStart"/>
      <w:r>
        <w:t>Growth</w:t>
      </w:r>
      <w:proofErr w:type="spellEnd"/>
      <w:r>
        <w:t xml:space="preserve">: </w:t>
      </w:r>
      <w:proofErr w:type="spellStart"/>
      <w:r>
        <w:t>Why</w:t>
      </w:r>
      <w:proofErr w:type="spellEnd"/>
      <w:r>
        <w:t xml:space="preserve"> </w:t>
      </w:r>
      <w:proofErr w:type="spellStart"/>
      <w:r>
        <w:t>decent</w:t>
      </w:r>
      <w:proofErr w:type="spellEnd"/>
      <w:r>
        <w:t xml:space="preserve"> </w:t>
      </w:r>
      <w:proofErr w:type="spellStart"/>
      <w:r>
        <w:t>employment</w:t>
      </w:r>
      <w:proofErr w:type="spellEnd"/>
      <w:r>
        <w:t xml:space="preserve"> in </w:t>
      </w:r>
      <w:proofErr w:type="spellStart"/>
      <w:r>
        <w:t>fi</w:t>
      </w:r>
      <w:r w:rsidR="006512B1">
        <w:t>sheries</w:t>
      </w:r>
      <w:proofErr w:type="spellEnd"/>
      <w:r w:rsidR="006512B1">
        <w:t xml:space="preserve"> and </w:t>
      </w:r>
      <w:proofErr w:type="spellStart"/>
      <w:r w:rsidR="006512B1">
        <w:t>aquaculture</w:t>
      </w:r>
      <w:proofErr w:type="spellEnd"/>
      <w:r w:rsidR="006512B1">
        <w:t xml:space="preserve"> </w:t>
      </w:r>
      <w:proofErr w:type="spellStart"/>
      <w:r w:rsidR="006512B1">
        <w:t>matters</w:t>
      </w:r>
      <w:proofErr w:type="spellEnd"/>
      <w:r w:rsidR="006512B1">
        <w:t>”</w:t>
      </w:r>
      <w:r>
        <w:t xml:space="preserve"> (Hacia un crecimiento azul: importancia del empleo decente en la pesca y la acuicultura). Conjuntamente con el Congreso Mundial de Langostino </w:t>
      </w:r>
      <w:r w:rsidR="002E2083">
        <w:t>celebrado en Vigo (España) el 6 </w:t>
      </w:r>
      <w:r>
        <w:t xml:space="preserve">de octubre de 2014, se invitó a la FAO, en calidad de parte interesada clave de la pesca y la acuicultura, a debatir sobre las cuestiones prioritarias y las medidas relativas a las condiciones laborales en el sector. </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En la Conferencia Regional para África de la FAO celebrada en 2014 se deliberó sobre la juventud y el desarrollo de la acuicultura y la ganadería en la región. Las iniciativas en curso de la FAO promueven el empleo y la determinación de oportunidades laborales para los jóvenes en la acuicultura mediante la diversificación de la base agrícola, en particular en Burundi, </w:t>
      </w:r>
      <w:proofErr w:type="spellStart"/>
      <w:r>
        <w:t>Kenya</w:t>
      </w:r>
      <w:proofErr w:type="spellEnd"/>
      <w:r>
        <w:t xml:space="preserve">, Liberia, Nigeria, </w:t>
      </w:r>
      <w:proofErr w:type="spellStart"/>
      <w:r>
        <w:t>Rwanda</w:t>
      </w:r>
      <w:proofErr w:type="spellEnd"/>
      <w:r>
        <w:t>, el Senegal y Uganda. Actualmente la FAO está realizando un estudio sobre el empleo y la creación de perfiles de recursos humanos en el sector de la acuicultura y la pesca de China a fin de determinar los costos de producción asociados con la mano de obra, así como la contribución social y económica del sector mediante la creación de empleo.</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La FAO está preparando el primer informe sobre </w:t>
      </w:r>
      <w:r>
        <w:rPr>
          <w:i/>
        </w:rPr>
        <w:t>El estado de los recursos genéticos acuáticos para la alimentación y la agricultura en el mundo</w:t>
      </w:r>
      <w:r>
        <w:t xml:space="preserve"> mediante un proceso impulsado por los países. En él se considerarán</w:t>
      </w:r>
      <w:r w:rsidR="009C5A6A">
        <w:t xml:space="preserve"> </w:t>
      </w:r>
      <w:r>
        <w:t xml:space="preserve">las especies acuáticas cultivadas de zonas sujetas a la jurisdicción nacional, así como sus parientes silvestres. A fin de facilitar el proceso, la FAO elaboró un cuestionario como ayuda a la preparación de los informes nacionales para </w:t>
      </w:r>
      <w:r>
        <w:rPr>
          <w:i/>
        </w:rPr>
        <w:t>El estado de los recursos genéticos acuáticos para la alimentación y la agricultura en el mundo</w:t>
      </w:r>
      <w:r>
        <w:t xml:space="preserve"> que se prevé recibir en diciembre de 2015. Se han celebrado talleres regionales de creación de capacidad para los centros de coordinación nacionales en colaboración con la Red de centros de acuicultura de Asia y el Pacífico (Bangkok, marzo de 2015), con la Organización del Sector Pesquero y Acuícola del Istmo Centroamericano (OSPESCA) en la región de América Latina y el Caribe (Guatemala, mayo de 2015), y con la Organización Pesquera para el Lago Victoria en la región de África (</w:t>
      </w:r>
      <w:proofErr w:type="spellStart"/>
      <w:r>
        <w:t>Entebbe</w:t>
      </w:r>
      <w:proofErr w:type="spellEnd"/>
      <w:r>
        <w:t xml:space="preserve">, julio de 2015). La presentación del primer informe sobre </w:t>
      </w:r>
      <w:r>
        <w:rPr>
          <w:i/>
        </w:rPr>
        <w:t>El estado de los recursos genéticos acuáticos para la alimentación y la agricultura en el mundo</w:t>
      </w:r>
      <w:r>
        <w:t xml:space="preserve"> está prevista para prin</w:t>
      </w:r>
      <w:r w:rsidR="002E2083">
        <w:t>cipios de 2017, durante el 16</w:t>
      </w:r>
      <w:proofErr w:type="gramStart"/>
      <w:r w:rsidR="002E2083">
        <w:t>.º</w:t>
      </w:r>
      <w:proofErr w:type="gramEnd"/>
      <w:r w:rsidR="002E2083">
        <w:t> </w:t>
      </w:r>
      <w:r>
        <w:t>período ordinario de sesiones de la Comisión de Recursos Genéticos para la Alimentación y la Agricultura (CRGAA). La labor de preparación de dicho informe debería vincularse con el Código de Conducta para la Pesca Responsable de la FAO y fundamentarse en él. Esto se ha incluido en el programa del Grupo de trabajo consultivo sobre tecnologías y recursos genéticos acuáticos del COFI, que celebra su primera reunión en Brasilia los días 1 y 2 de octubre de 2015, antes de la octava reunión del Subcomité de Acuicultura. Con el objetivo de fomentar el intercambio de información entre la CRGAA y el Grupo de trabajo consultivo, se han presentado documentos pertinentes a la CRGAA en su 15</w:t>
      </w:r>
      <w:proofErr w:type="gramStart"/>
      <w:r>
        <w:t>.º</w:t>
      </w:r>
      <w:proofErr w:type="gramEnd"/>
      <w:r>
        <w:t xml:space="preserve"> período ordinario de sesiones y la Secretaría del COFI informa regularmente a las mesas del COFI y la CRGAA. </w:t>
      </w:r>
    </w:p>
    <w:p w:rsidR="00104DBB" w:rsidRDefault="00104DBB" w:rsidP="008C4283">
      <w:pPr>
        <w:pStyle w:val="NewPara"/>
        <w:numPr>
          <w:ilvl w:val="0"/>
          <w:numId w:val="0"/>
        </w:numPr>
        <w:jc w:val="both"/>
      </w:pPr>
    </w:p>
    <w:p w:rsidR="00104DBB" w:rsidRDefault="00104DBB" w:rsidP="008C4283">
      <w:pPr>
        <w:pStyle w:val="NewPara"/>
        <w:jc w:val="both"/>
      </w:pPr>
      <w:r>
        <w:t xml:space="preserve">Como parte de la labor normativa de la FAO y mediante formación directa, se llevaron a cabo actividades de creación de capacidad para la aplicación del enfoque </w:t>
      </w:r>
      <w:proofErr w:type="spellStart"/>
      <w:r>
        <w:t>ecosistémico</w:t>
      </w:r>
      <w:proofErr w:type="spellEnd"/>
      <w:r>
        <w:t xml:space="preserve"> de la acuicultura como estrategia para mejorar la sostenibilidad y el comportamiento ecológico del sector; dichas actividades incluyeron, entre otras cosas, el desarrollo de la acuicultura como negocio en el marco del enfoque </w:t>
      </w:r>
      <w:proofErr w:type="spellStart"/>
      <w:r>
        <w:t>ecosistémico</w:t>
      </w:r>
      <w:proofErr w:type="spellEnd"/>
      <w:r>
        <w:t xml:space="preserve"> de la acuicultura en algunos países de África (Malawi) y la asistencia a países de América Central (Nicaragua) en la creación y aplicación de planes de gestión de dicho enfoque. Se ha impartido capacitación a ocho países de América Central, que han elaborado un enfoque </w:t>
      </w:r>
      <w:proofErr w:type="spellStart"/>
      <w:r>
        <w:t>ecosistémico</w:t>
      </w:r>
      <w:proofErr w:type="spellEnd"/>
      <w:r>
        <w:t xml:space="preserve"> de la pesca y planes de gestión acuícola para el cultivo del camarón. Se han publicado cinco documentos con información sobre los diferentes procesos y sobre las enseñanzas adquiridas. También se están destinando esfuerzos especiales a proporcionar creación de capacidad sobre el enfoque </w:t>
      </w:r>
      <w:proofErr w:type="spellStart"/>
      <w:r>
        <w:t>ecosistémico</w:t>
      </w:r>
      <w:proofErr w:type="spellEnd"/>
      <w:r>
        <w:t xml:space="preserve"> de la acuicultura mediante la inclusión del enfoque como parte integral de la planificación espacial de los proyectos relacionados con la acuicultura y el cambio climático.</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En el marco de la Iniciativa sobre el crecimiento azul, la FAO está ayudando a </w:t>
      </w:r>
      <w:proofErr w:type="spellStart"/>
      <w:r>
        <w:t>Kenya</w:t>
      </w:r>
      <w:proofErr w:type="spellEnd"/>
      <w:r>
        <w:t xml:space="preserve"> a desarrollar la maricultura con un enfoque </w:t>
      </w:r>
      <w:proofErr w:type="spellStart"/>
      <w:r>
        <w:t>ecosistémico</w:t>
      </w:r>
      <w:proofErr w:type="spellEnd"/>
      <w:r>
        <w:t>, y está trabajando para integrar el sector con la pesca y la acuicultura, el turismo, la actividad forestal y otros usuarios de las cuencas hidrográficas y las zonas costeras, incluida la gestión de conflictos sobre la tenencia de la tierra.</w:t>
      </w:r>
    </w:p>
    <w:p w:rsidR="00104DBB" w:rsidRPr="0033024C" w:rsidRDefault="00104DBB" w:rsidP="008C4283">
      <w:pPr>
        <w:pStyle w:val="NewPara"/>
        <w:numPr>
          <w:ilvl w:val="0"/>
          <w:numId w:val="0"/>
        </w:numPr>
        <w:jc w:val="both"/>
      </w:pPr>
    </w:p>
    <w:p w:rsidR="00104DBB" w:rsidRDefault="00104DBB" w:rsidP="008C4283">
      <w:pPr>
        <w:pStyle w:val="NewPara"/>
        <w:jc w:val="both"/>
      </w:pPr>
      <w:r>
        <w:t xml:space="preserve">Del 26 al 28 de enero de 2015 se celebró en la Sede de la FAO, en Roma, la Conferencia Mundial sobre Pesca Continental (www.inlandfisheries.org) organizada conjuntamente con la Universidad Estatal de Michigan (Estados Unidos de América), en la que un gran número de contribuciones abogaron por un enfoque </w:t>
      </w:r>
      <w:proofErr w:type="spellStart"/>
      <w:r>
        <w:t>ecosistémico</w:t>
      </w:r>
      <w:proofErr w:type="spellEnd"/>
      <w:r>
        <w:t xml:space="preserve"> que reconozca el potencial de la acuicultura para la seguridad alimentaria y los medios de vida. Se estableció una asociación formal entre la FAO y la Universidad Estatal de Michigan.</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Varias partes interesadas vienen colaborando con la FAO para impulsar las asociaciones público-privadas en distintos países, específicamente a través de diversos programas de cooperación técnica (</w:t>
      </w:r>
      <w:r w:rsidRPr="003E0171">
        <w:rPr>
          <w:rFonts w:cs="Times New Roman"/>
          <w:szCs w:val="22"/>
        </w:rPr>
        <w:t>Bangladesh</w:t>
      </w:r>
      <w:r w:rsidRPr="003E0171">
        <w:rPr>
          <w:rStyle w:val="FootnoteReference"/>
          <w:rFonts w:ascii="Times New Roman" w:hAnsi="Times New Roman" w:cs="Times New Roman"/>
          <w:sz w:val="22"/>
          <w:szCs w:val="22"/>
        </w:rPr>
        <w:footnoteReference w:id="1"/>
      </w:r>
      <w:r w:rsidRPr="003E0171">
        <w:rPr>
          <w:rFonts w:cs="Times New Roman"/>
          <w:szCs w:val="22"/>
        </w:rPr>
        <w:t>, Kirguistán</w:t>
      </w:r>
      <w:r w:rsidRPr="003E0171">
        <w:rPr>
          <w:rStyle w:val="FootnoteReference"/>
          <w:rFonts w:ascii="Times New Roman" w:hAnsi="Times New Roman" w:cs="Times New Roman"/>
          <w:sz w:val="22"/>
          <w:szCs w:val="22"/>
        </w:rPr>
        <w:footnoteReference w:id="2"/>
      </w:r>
      <w:r w:rsidRPr="003E0171">
        <w:rPr>
          <w:rFonts w:cs="Times New Roman"/>
          <w:szCs w:val="22"/>
        </w:rPr>
        <w:t xml:space="preserve"> y Sri Lanka</w:t>
      </w:r>
      <w:r w:rsidRPr="003E0171">
        <w:rPr>
          <w:rStyle w:val="FootnoteReference"/>
          <w:rFonts w:ascii="Times New Roman" w:hAnsi="Times New Roman" w:cs="Times New Roman"/>
          <w:sz w:val="22"/>
          <w:szCs w:val="22"/>
        </w:rPr>
        <w:footnoteReference w:id="3"/>
      </w:r>
      <w:r>
        <w:t>) y del Programa de cooperación FAO/gobiernos (Kirguistán</w:t>
      </w:r>
      <w:r w:rsidRPr="003E0171">
        <w:rPr>
          <w:smallCaps/>
          <w:vertAlign w:val="superscript"/>
        </w:rPr>
        <w:footnoteReference w:id="4"/>
      </w:r>
      <w:r>
        <w:t>). Los objetivos prioritarios de estos proyectos consisten en elaborar modelos de negocio que posibiliten la colaboración estrecha de los departamentos gubernamentales responsables de la pesca (u otras instituciones pertinentes) con entidades del sector privado, tales como asociaciones de productores de pienso para peces y material de repoblación, con miras a la producción y distribución de dichos insumos.</w:t>
      </w:r>
    </w:p>
    <w:p w:rsidR="00104DBB" w:rsidRDefault="00104DBB" w:rsidP="008C4283">
      <w:pPr>
        <w:pStyle w:val="NewPara"/>
        <w:jc w:val="both"/>
      </w:pPr>
      <w:r>
        <w:t xml:space="preserve">El cultivo de algas marinas y de otras especies más valiosas, como el cangrejo de fango y el </w:t>
      </w:r>
      <w:proofErr w:type="spellStart"/>
      <w:r>
        <w:t>chano</w:t>
      </w:r>
      <w:proofErr w:type="spellEnd"/>
      <w:r>
        <w:t xml:space="preserve">, presenta un gran potencial para mejorar la situación socioeconómica de las comunidades costeras. Sin embargo, el cultivo de estas especies en África continúa siendo en gran medida una actividad marginal en las comunidades costeras, ya que dichas comunidades no tienen acceso a actividades económicas alternativas de rentabilidad elevada. Los bajos ingresos generados a través del cultivo de algas marinas, que en muchos casos, son muy inferiores al salario mínimo, han sido un problema dominante en los países de África que se dedican a esta producción. La FAO continúa proporcionando asistencia técnica para el desarrollo del cultivo de algas marinas, cangrejo de fango y </w:t>
      </w:r>
      <w:proofErr w:type="spellStart"/>
      <w:r>
        <w:t>chano</w:t>
      </w:r>
      <w:proofErr w:type="spellEnd"/>
      <w:r>
        <w:t xml:space="preserve"> en África a través de varios proyectos, por ejemplo en la República Unida de </w:t>
      </w:r>
      <w:proofErr w:type="spellStart"/>
      <w:r>
        <w:t>Tanzanía</w:t>
      </w:r>
      <w:proofErr w:type="spellEnd"/>
      <w:r>
        <w:t xml:space="preserve"> (Zanzíbar) y </w:t>
      </w:r>
      <w:proofErr w:type="spellStart"/>
      <w:r>
        <w:t>Kenya</w:t>
      </w:r>
      <w:proofErr w:type="spellEnd"/>
      <w:r>
        <w:t xml:space="preserve"> mediante una serie de fuentes de financiación. Se debería utilizar cada vez más la cooperación Sur-Sur (CSS) de la FAO para canalizar la asistencia técnica, financiera y de otro tipo prestada a África desde regiones con sectores acuícolas más sólidos, como Asia.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Durante el período entre reuniones se ejecutaron diversas actividades relacionadas con la salud de los animales acuáticos a través de varios mecanismos, como proyectos ejecutados en el marco del Programa de cooperación técnica (PCT), el fondo fiduciario unilateral (FFU) y otros proyectos/actividades financiados por donantes, Miembros de la FAO y órganos regionales de pesca. El alcance de la </w:t>
      </w:r>
      <w:r w:rsidR="00E77EBA">
        <w:t>asistencia es, según los casos:</w:t>
      </w:r>
    </w:p>
    <w:p w:rsidR="00104DBB" w:rsidRPr="0033024C" w:rsidRDefault="00104DBB" w:rsidP="008C4283">
      <w:pPr>
        <w:pStyle w:val="BulletList"/>
      </w:pPr>
      <w:r>
        <w:t>nacional, por ejemplo, PCT nacionales de Indonesia</w:t>
      </w:r>
      <w:r w:rsidR="00E77EBA">
        <w:t xml:space="preserve">, Malasia, </w:t>
      </w:r>
      <w:proofErr w:type="spellStart"/>
      <w:r w:rsidR="00E77EBA">
        <w:t>Suriname</w:t>
      </w:r>
      <w:proofErr w:type="spellEnd"/>
      <w:r w:rsidR="00E77EBA">
        <w:t xml:space="preserve"> y </w:t>
      </w:r>
      <w:proofErr w:type="spellStart"/>
      <w:r w:rsidR="00E77EBA">
        <w:t>Viet</w:t>
      </w:r>
      <w:proofErr w:type="spellEnd"/>
      <w:r w:rsidR="00E77EBA">
        <w:t> </w:t>
      </w:r>
      <w:proofErr w:type="spellStart"/>
      <w:r w:rsidR="00E77EBA">
        <w:t>Nam</w:t>
      </w:r>
      <w:proofErr w:type="spellEnd"/>
      <w:r w:rsidR="00E77EBA">
        <w:t>;</w:t>
      </w:r>
    </w:p>
    <w:p w:rsidR="00104DBB" w:rsidRPr="0033024C" w:rsidRDefault="00104DBB" w:rsidP="008C4283">
      <w:pPr>
        <w:pStyle w:val="BulletList"/>
      </w:pPr>
      <w:r>
        <w:t>subregional, como en la zona del Canal de Mozambique (Madagascar, Mozambique</w:t>
      </w:r>
      <w:r w:rsidR="00E77EBA">
        <w:t xml:space="preserve">, República Unida de </w:t>
      </w:r>
      <w:proofErr w:type="spellStart"/>
      <w:r w:rsidR="00E77EBA">
        <w:t>Tanzanía</w:t>
      </w:r>
      <w:proofErr w:type="spellEnd"/>
      <w:r w:rsidR="00E77EBA">
        <w:t>);</w:t>
      </w:r>
    </w:p>
    <w:p w:rsidR="00104DBB" w:rsidRPr="0033024C" w:rsidRDefault="00104DBB" w:rsidP="008C4283">
      <w:pPr>
        <w:pStyle w:val="BulletList"/>
      </w:pPr>
      <w:r>
        <w:t>regional, por ejemplo el PCT regional en el que participan cinco países de la región de los Balcanes occidentales o el proyecto de FFU en el que participan 15 países de la Comunidad del África Meridional para el Desarrollo (región de la SADC);</w:t>
      </w:r>
    </w:p>
    <w:p w:rsidR="00104DBB" w:rsidRPr="0033024C" w:rsidRDefault="00104DBB" w:rsidP="008C4283">
      <w:pPr>
        <w:pStyle w:val="BulletList"/>
      </w:pPr>
      <w:r>
        <w:t>interregional, por ejemplo, los PCT interregionales para Asi</w:t>
      </w:r>
      <w:r w:rsidR="00E77EBA">
        <w:t>a y América Latina y el Caribe.</w:t>
      </w:r>
    </w:p>
    <w:p w:rsidR="00104DBB" w:rsidRDefault="00104DBB" w:rsidP="008C4283">
      <w:pPr>
        <w:pStyle w:val="NewPara"/>
        <w:numPr>
          <w:ilvl w:val="0"/>
          <w:numId w:val="0"/>
        </w:numPr>
        <w:jc w:val="both"/>
      </w:pPr>
    </w:p>
    <w:p w:rsidR="00104DBB" w:rsidRDefault="00104DBB" w:rsidP="008C4283">
      <w:pPr>
        <w:pStyle w:val="NewPara"/>
        <w:jc w:val="both"/>
      </w:pPr>
      <w:r>
        <w:t xml:space="preserve">La asistencia abarca diversos ámbitos: investigaciones sobre enfermedades asociadas a emergencias (República Democrática del Congo y </w:t>
      </w:r>
      <w:proofErr w:type="spellStart"/>
      <w:r>
        <w:t>Viet</w:t>
      </w:r>
      <w:proofErr w:type="spellEnd"/>
      <w:r>
        <w:t> </w:t>
      </w:r>
      <w:proofErr w:type="spellStart"/>
      <w:r>
        <w:t>Nam</w:t>
      </w:r>
      <w:proofErr w:type="spellEnd"/>
      <w:r>
        <w:t>); preparación de una estrategia subregional o regional relativa a la salud de los animales acuáticos o a la bioseguridad; elaboración de estrategias nacionales en materia de salud de los animales acuáticos; y creación de capacidad en diversos aspectos relacionados con dicho tema, como el análisis de riesgos, el diagnóstico de enfermedades, la vigilancia y la preparación para situaciones de emergencia.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La FAO llevó a cabo diversas iniciativas sobre acuicultura en tierras áridas y desiertos, entre otras: i) la producción de un manual técnico sobre </w:t>
      </w:r>
      <w:proofErr w:type="spellStart"/>
      <w:r>
        <w:t>acuaponía</w:t>
      </w:r>
      <w:proofErr w:type="spellEnd"/>
      <w:r>
        <w:t xml:space="preserve"> en pequeña escala</w:t>
      </w:r>
      <w:r w:rsidRPr="00E77EBA">
        <w:rPr>
          <w:smallCaps/>
          <w:vertAlign w:val="superscript"/>
        </w:rPr>
        <w:footnoteReference w:id="5"/>
      </w:r>
      <w:r>
        <w:t xml:space="preserve">; ii) la ejecución de proyectos del PCT para el desarrollo acuícola en zonas áridas (por ejemplo, Argelia, Egipto, Jordania, Sudán y la República Árabe Siria) que utilizan especies como las carpas, otros </w:t>
      </w:r>
      <w:proofErr w:type="spellStart"/>
      <w:r>
        <w:t>ciprínidos</w:t>
      </w:r>
      <w:proofErr w:type="spellEnd"/>
      <w:r>
        <w:t xml:space="preserve"> y la </w:t>
      </w:r>
      <w:proofErr w:type="spellStart"/>
      <w:r>
        <w:t>tilapiay</w:t>
      </w:r>
      <w:proofErr w:type="spellEnd"/>
      <w:r>
        <w:t xml:space="preserve"> se centran en los ingredientes locales para la producción de piensos acuícolas; iii) la elaboración de propuestas de proyecto para su ejecución en el marco de la iniciativa regional de la FAO sobre la escasez de agua en el Cercano Oriente y África del Norte.</w:t>
      </w:r>
    </w:p>
    <w:p w:rsidR="00104DBB" w:rsidRPr="0033024C" w:rsidRDefault="00104DBB" w:rsidP="008C4283"/>
    <w:p w:rsidR="00104DBB" w:rsidRPr="0033024C" w:rsidRDefault="00104DBB" w:rsidP="008C4283">
      <w:pPr>
        <w:pStyle w:val="Heading2"/>
        <w:numPr>
          <w:ilvl w:val="0"/>
          <w:numId w:val="0"/>
        </w:numPr>
        <w:ind w:left="1"/>
        <w:jc w:val="left"/>
      </w:pPr>
      <w:r>
        <w:t xml:space="preserve">INFORMES SOBRE LOS PROGRESOS REALIZADOS EN LA APLICACIÓN DE LAS DISPOSICIONES DEL CÓDIGO DE CONDUCTA PARA LA PESCA RESPONSABLE RELATIVAS A LA ACUICULTURA Y LA PESQUERÍA BASADA EN EL CULTIVO ELABORADOS CON ARREGLO AL NUEVO SISTEMA DE PRESENTACIÓN DE INFORMES </w:t>
      </w:r>
    </w:p>
    <w:p w:rsidR="00104DBB" w:rsidRPr="0033024C" w:rsidRDefault="00104DBB" w:rsidP="008C4283"/>
    <w:p w:rsidR="00104DBB" w:rsidRPr="0033024C" w:rsidRDefault="00104DBB" w:rsidP="008C4283">
      <w:pPr>
        <w:pStyle w:val="NewPara"/>
      </w:pPr>
      <w:r>
        <w:t>La FAO realizó esfuerzos notables a fin de aplicar el nuevo cuestionario para la presentación de informes sobre la aplicación del Código de Conducta para la Pesca Responsable (CCPR) y las disposiciones relevantes para la acuicultura y la pesquería basada en el cultivo. El nuevo cuestionario en línea se lanzó a principios de marzo de 2015 y obtuvo respuestas muy positivas por parte de los Miembros. Se espera que el nuevo sistema, que posibilitará el diálogo mejorado entre la FAO y los países, se convierta en una herramienta eficaz para evaluar el rendimiento de la acuicultura y contribuir a su mejora.</w:t>
      </w:r>
    </w:p>
    <w:p w:rsidR="00104DBB" w:rsidRPr="0033024C" w:rsidRDefault="00104DBB" w:rsidP="008C4283">
      <w:pPr>
        <w:pStyle w:val="NewPara"/>
        <w:numPr>
          <w:ilvl w:val="0"/>
          <w:numId w:val="0"/>
        </w:numPr>
      </w:pPr>
    </w:p>
    <w:p w:rsidR="00104DBB" w:rsidRPr="0033024C" w:rsidRDefault="00104DBB" w:rsidP="008C4283">
      <w:pPr>
        <w:pStyle w:val="NewPara"/>
      </w:pPr>
      <w:r>
        <w:t>El Subcomité de Acuicultura analizará los resultados del nuevo cuestionario en su presente reunión. Siempre y cuando lo permitan los recursos, la FAO prestará apoyo técnico para seguir las recomendaciones de los Miembros respecto de la capacitación en el uso del cuestionario y</w:t>
      </w:r>
      <w:r w:rsidR="009C5A6A">
        <w:t xml:space="preserve"> </w:t>
      </w:r>
      <w:r>
        <w:t>la ampliación de su uso como instrumento de autoevaluación.</w:t>
      </w:r>
    </w:p>
    <w:p w:rsidR="00104DBB" w:rsidRPr="0033024C" w:rsidRDefault="00104DBB" w:rsidP="008C4283">
      <w:pPr>
        <w:pStyle w:val="NewPara"/>
        <w:numPr>
          <w:ilvl w:val="0"/>
          <w:numId w:val="0"/>
        </w:numPr>
      </w:pPr>
    </w:p>
    <w:p w:rsidR="00104DBB" w:rsidRPr="0033024C" w:rsidRDefault="00104DBB" w:rsidP="008C4283">
      <w:pPr>
        <w:pStyle w:val="Heading2"/>
        <w:numPr>
          <w:ilvl w:val="0"/>
          <w:numId w:val="0"/>
        </w:numPr>
        <w:ind w:left="1"/>
        <w:jc w:val="left"/>
      </w:pPr>
      <w:r>
        <w:t xml:space="preserve">PROYECTO DE MARCO ESTRATÉGICO PARA REFORZAR EL PAPEL DEL SUBCOMITÉ DE ACUICULTURA DEL COFI EN LA PROMOCIÓN DEL DESARROLLO DE LA ACUICULTURA </w:t>
      </w:r>
    </w:p>
    <w:p w:rsidR="00104DBB" w:rsidRPr="0033024C" w:rsidRDefault="00104DBB" w:rsidP="008C4283"/>
    <w:p w:rsidR="00104DBB" w:rsidRPr="0033024C" w:rsidRDefault="00104DBB" w:rsidP="008C4283">
      <w:pPr>
        <w:pStyle w:val="NewPara"/>
        <w:jc w:val="both"/>
      </w:pPr>
      <w:r>
        <w:t xml:space="preserve">A petición del Subcomité de Acuicultura, la Secretaría preparó un documento de trabajo (COFI/AQ/VIII/2015/5) en el que se reúnen las esferas prioritarias regionales en materia de acuicultura como apoyo a los debates sobre la preparación de un marco estratégico. Debido a los limitados recursos financieros disponibles, esta labor se llevó a cabo como una serie de estudios teóricos regionales basados en las prioridades documentadas y disponibles públicamente. </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La Secretaría organizó una reunión extraordinaria del Comité de Pesca Continental y Acuicultura para África (CPCAA) en Lusaka (Zambia) los días 1 y 2 de diciembre de 2014, para que los miembros decidieran sobre el futuro del Comité, que se enfrenta a numerosos problemas que limitan su eficacia, obstaculizan la ejecución de las medidas y amenazan su existencia. Durante la reunión, los miembros decidieron mantener el CPCAA como órgano est</w:t>
      </w:r>
      <w:r w:rsidR="00E77EBA">
        <w:t>ablecido en virtud del artículo </w:t>
      </w:r>
      <w:r>
        <w:t>VI de la Constitución de la FAO y recomendaron revisar sus Estatutos y Reglamento de manera que el Comité pueda ocuparse de cuestiones técnicas y científicas específicas. A fin de fortalecer el Comité, se formó un grupo de trabajo encargado de revisar los Estatutos y el Reglamento del CPCAA. Este grupo de trabajo se reunió el 10 y 11 de marzo de 2015 en Addis Abeba (Etiopía); los miembros presentes en esta reunión hicieron hincapié en la necesidad de que los países se comprometan a aumentar la eficacia y funcionalidad del CPCAA participando en las reuniones y contribuyendo a la financiación de las actividades mediante un fondo fiduciario unilateral que había de establecerse. El grupo de trabajo asistirá a la reunión especial del CPCAA, que tendrá lugar el 14 y 15 de julio de 2015 en Dakar (Senegal), para continuar deliberando sobre este asunto.</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La FAO ha continuado respaldando el fortalecimiento institucional y político de África para facilitar el desarrollo sostenible de la acuicultura, especialmente mediante la asistencia a los miembros de la Red de acuicultura para África para transformar dicha Red en una organización intergubernamental. El impulso reciente más significativo al desarrollo acuícola en África es el apoyo político al sector, que se deriva de la segunda Conferencia de Ministros Africanos de Pesca y Acuicultura. La Conferencia, que se celebró en abril de 2014 en Etiopía, fue organizada por el Departamento de Economía Rural y Agricultura de la Comisión de la Unión Africana en colaboración con la Agencia de Coordinación y Planificación de la NEPAD, y también con el apoyo de la FAO en el contexto del Programa sobre pesca de la FAO y la NEPAD financiado por la ASDI</w:t>
      </w:r>
      <w:r w:rsidRPr="00E77EBA">
        <w:rPr>
          <w:smallCaps/>
          <w:vertAlign w:val="superscript"/>
        </w:rPr>
        <w:footnoteReference w:id="6"/>
      </w:r>
      <w:r>
        <w:t>. La Conferencia aprobó el marco normativo y la estrategia de reforma para la pesca y la acuicultura en África adoptada por la Unión Africana, y reconoció el potencial del sector acuícola para generar beneficios económicos y sociales y contribuir al desarrollo de la economía africana, así como la importancia del pescado y los productos de pescado para la seguridad alimentaria y nutricional y los medios de vida.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Se ha prestado asistencia a varios Miembros de la región de África a través del FFU y de proyectos del PCT. Algunos ejemplos son: i) promoción de la diversificación agrícola para reducir la pobreza, luchar contra la malnutrición y mejorar las oportunidades de empleo de los jóvenes en cuatro países del África oriental; ii) fortalecimiento de los controles de la inocuidad alimentaria y de las enfermedades y plagas de las plantas y los animales para impulsar la productividad y el comercio agrícolas, incluida la acuicultura, en ocho países del África austral; iii) creación de oportunidades de empleo en </w:t>
      </w:r>
      <w:proofErr w:type="spellStart"/>
      <w:r>
        <w:t>agronegocios</w:t>
      </w:r>
      <w:proofErr w:type="spellEnd"/>
      <w:r>
        <w:t xml:space="preserve"> para los jóvenes mediante sistemas acuícolas sostenibles y cadenas de valor de la yuca en seis países del África occidental; iv) apoyo a la acuicultura como negocio en tres países del África oriental; v) creación de planes de desarrollo y estrategias acuícolas nacionales en el África austral y oriental.</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En los países del Cercano Oriente y el África septentrional, la FAO ha continuado apoyando el desarrollo de la acuicultura sostenible a través de dos de sus órganos estatutarios, respectivamente la Comisión Regional de Pesca (COREPESCA) y la Comisión General de Pesca del Mediterráneo.</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Se están adoptando medidas para cubrir los puestos de Oficial de acuicultura en las oficinas regionales y subregionales, incluidas las oficinas del África occidental y central.</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En Europa y Asia central, la FAO ha seguido brindando respaldo a la Comisión Asesora Europea sobre Pesca Continental y Acuicultura (CAEPCA) y a la Comisión de Pesca y Acuicultura de Asia Central y el Cáucaso. Recientemente, la CAEPCA acordó abolir los subcomités y los grupos de trabajo en favor de un enfoque por proyectos, y cuenta ahora con siete proyectos activos. La Comisión de Pesca y Acuicultura de Asia central y el Cáucaso, compuesta por cinco miembros, se fundó hace poco con el apoyo del Programa de Asociación FAO/Turquía. Los más de 30 talleres y reuniones celebrados en el marco de este programa han ayudado a fortalecer la cooperación en el ámbito de la pesca continental y la acuicultura entre los países de Asia central desde la disolución</w:t>
      </w:r>
      <w:r w:rsidR="005544D0">
        <w:t xml:space="preserve"> de la antigua Unión Soviética.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Con el apoyo de Italia y la Comisión Europea, la CAEPCA y la FAO organizaron la Conferencia Regional de Acuicultura 2014 con el tema </w:t>
      </w:r>
      <w:r w:rsidR="009C5A6A">
        <w:t>“</w:t>
      </w:r>
      <w:r>
        <w:t xml:space="preserve">Blue </w:t>
      </w:r>
      <w:proofErr w:type="spellStart"/>
      <w:r>
        <w:t>Growth</w:t>
      </w:r>
      <w:proofErr w:type="spellEnd"/>
      <w:r>
        <w:t xml:space="preserve"> in </w:t>
      </w:r>
      <w:proofErr w:type="spellStart"/>
      <w:r>
        <w:t>the</w:t>
      </w:r>
      <w:proofErr w:type="spellEnd"/>
      <w:r>
        <w:t xml:space="preserve"> </w:t>
      </w:r>
      <w:proofErr w:type="spellStart"/>
      <w:r>
        <w:t>Mediterranean</w:t>
      </w:r>
      <w:proofErr w:type="spellEnd"/>
      <w:r>
        <w:t xml:space="preserve"> and </w:t>
      </w:r>
      <w:proofErr w:type="spellStart"/>
      <w:r>
        <w:t>the</w:t>
      </w:r>
      <w:proofErr w:type="spellEnd"/>
      <w:r>
        <w:t xml:space="preserve"> Black Sea: </w:t>
      </w:r>
      <w:proofErr w:type="spellStart"/>
      <w:r>
        <w:t>Developing</w:t>
      </w:r>
      <w:proofErr w:type="spellEnd"/>
      <w:r>
        <w:t xml:space="preserve"> </w:t>
      </w:r>
      <w:proofErr w:type="spellStart"/>
      <w:r>
        <w:t>Sustainable</w:t>
      </w:r>
      <w:proofErr w:type="spellEnd"/>
      <w:r>
        <w:t xml:space="preserve"> </w:t>
      </w:r>
      <w:proofErr w:type="spellStart"/>
      <w:r>
        <w:t>Aquaculture</w:t>
      </w:r>
      <w:proofErr w:type="spellEnd"/>
      <w:r>
        <w:t xml:space="preserve"> </w:t>
      </w:r>
      <w:proofErr w:type="spellStart"/>
      <w:r>
        <w:t>for</w:t>
      </w:r>
      <w:proofErr w:type="spellEnd"/>
      <w:r>
        <w:t xml:space="preserve"> </w:t>
      </w:r>
      <w:proofErr w:type="spellStart"/>
      <w:r>
        <w:t>Food</w:t>
      </w:r>
      <w:proofErr w:type="spellEnd"/>
      <w:r>
        <w:t xml:space="preserve"> Security</w:t>
      </w:r>
      <w:r w:rsidR="009C5A6A">
        <w:t>”</w:t>
      </w:r>
      <w:r>
        <w:t xml:space="preserve"> (</w:t>
      </w:r>
      <w:r w:rsidR="009C5A6A">
        <w:t>“</w:t>
      </w:r>
      <w:r>
        <w:t>El crecimiento azul en el Mediterráneo y el Mar Negro: desarrollar la acuicultura sostenible en aras de la seguridad alimentaria</w:t>
      </w:r>
      <w:r w:rsidR="009C5A6A">
        <w:t>”</w:t>
      </w:r>
      <w:r>
        <w:t>). Se elaboró un conjunto de conclusiones</w:t>
      </w:r>
      <w:r w:rsidRPr="005544D0">
        <w:rPr>
          <w:smallCaps/>
          <w:vertAlign w:val="superscript"/>
        </w:rPr>
        <w:footnoteReference w:id="7"/>
      </w:r>
      <w:r>
        <w:t xml:space="preserve"> basadas en recomendaciones de expertos sobre cuestiones relativas a la gobernanza, el medio ambiente, los mercados y las innovaciones tecnológicas.</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En Asia, la FAO prestó apoyo a la 24</w:t>
      </w:r>
      <w:proofErr w:type="gramStart"/>
      <w:r>
        <w:t>.ª</w:t>
      </w:r>
      <w:proofErr w:type="gramEnd"/>
      <w:r>
        <w:t xml:space="preserve"> reunión anual del Consejo de administración de la Red de centros de acuicultura de Asia y el Pacífico. La FAO también contribuyó al programa de trabajo de la Red durante la 11</w:t>
      </w:r>
      <w:proofErr w:type="gramStart"/>
      <w:r>
        <w:t>.ª</w:t>
      </w:r>
      <w:proofErr w:type="gramEnd"/>
      <w:r>
        <w:t xml:space="preserve"> reunión del Comité Asesor Técnico. La Organización respaldó actividades regionales importantes de la Red y colaboró con ella en la elaboración de una estrategia y plan de acción regional para la intensificación sostenible de la acuicultura. </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Se brindó apoyo a los Miembros asiáticos para la ejecución de una iniciativa regional de la FAO sobre intensificación sostenible de la acuicultura para el crecimiento azul, que incluía cinco PCT nacionales, siete proyectos del fondo del PCT y un proyecto del Fondo para el Medio Ambiente Mundial (FMAM) que se centraba en seis países. Además, tres PCT y tres proyectos del fondo del PCT respaldaron iniciativas no regionales. La ejecución de dos PCT interregionales abarca seis países. Todas las actividades de los proyectos están enfocadas a apoyar a los Miembros en la elaboración de políticas, estrategias y reglamentos que impulsen el desarrollo de la acuicultura sostenible, apliquen prácticas de gestión y tecnologías de acuicultura innovadoras y mejoren el acceso de los acuicultores a insumos de producción de calidad, a tecnologías apropiadas y a los mercados.</w:t>
      </w:r>
      <w:r w:rsidR="009C5A6A">
        <w:t xml:space="preserve"> </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En América Latina y el Caribe, la FAO ha continuado respaldando a los órganos estatutarios, por ejemplo, la Comisión de Pesca Continental y Acuicultura para América Latina y el Caribe (COPESCAALC) que, además de sus objetivos tradicionales, se ha convertido en un importante foro para el debate sobre las esferas prioritarias políticas y técnicas que merecen la atención regional de la FAO, que se recomiendan luego a la Conferencia Regional de la FAO para América Latina y el Caribe. </w:t>
      </w:r>
    </w:p>
    <w:p w:rsidR="00104DBB" w:rsidRPr="0033024C" w:rsidRDefault="00104DBB" w:rsidP="008C4283">
      <w:pPr>
        <w:pStyle w:val="NewPara"/>
        <w:numPr>
          <w:ilvl w:val="0"/>
          <w:numId w:val="0"/>
        </w:numPr>
        <w:jc w:val="both"/>
        <w:rPr>
          <w:highlight w:val="yellow"/>
        </w:rPr>
      </w:pPr>
    </w:p>
    <w:p w:rsidR="00104DBB" w:rsidRPr="0033024C" w:rsidRDefault="00104DBB" w:rsidP="008C4283">
      <w:pPr>
        <w:pStyle w:val="NewPara"/>
        <w:jc w:val="both"/>
      </w:pPr>
      <w:r>
        <w:t>La FAO también ha colaborado estrechamente con la Red de Acuicultura de las Américas (RAA) en la región, favoreciendo su consolidación. Cinco miembros ya han completado sus procesos nacionales y se han convertido en miembros de pleno derecho, a saber, Cuba, Ecuador, Guatemala, Panamá y el Paraguay, mientras que otros nueve están en las últimas etapas del proceso. Ya se perciben beneficios tangibles de este mecanismo de cooperación internacional en materia de acuicultura y se han incluido en el plan de trabajo cinco programas estratégicos: apoyo al desarrollo de la acuicultura en pequeña escala, mejora de la competitividad de la acuicultura regional, aumento del comercio intrarregional de pescado, incremento del consumo de pescado regional y enfermedades transfronterizas de la acuicultura. Estos programas estratégicos se aprobaron oficialmente en la reunión del Consejo de Ministros de la RAA que se celebró en Asunción (Paraguay) en noviembre de 2014.</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El Programa de asociación para la promoción de la acuicultura a nivel mundial, cuya finalidad es mejorar las asociaciones, la cooperación y la colaboración que facilitan el desarrollo sostenible de la acuicultura, se ha convertido en parte integrante de la nueva Iniciativa sobre el crecimiento azul de la FAO (véase el documento COFI:AQ/VIII</w:t>
      </w:r>
      <w:r w:rsidR="00C379C7">
        <w:t>/2015/07 para más información).</w:t>
      </w:r>
    </w:p>
    <w:p w:rsidR="00104DBB" w:rsidRPr="0033024C" w:rsidRDefault="00104DBB" w:rsidP="008C4283">
      <w:pPr>
        <w:pStyle w:val="Heading2"/>
        <w:numPr>
          <w:ilvl w:val="0"/>
          <w:numId w:val="0"/>
        </w:numPr>
        <w:ind w:left="1"/>
        <w:jc w:val="left"/>
      </w:pPr>
      <w:r>
        <w:t xml:space="preserve">MARCO DE EVALUACIÓN PARA ESTABLECER LA CONFORMIDAD DE LOS SISTEMAS DE CERTIFICACIÓN PÚBLICOS Y PRIVADOS CON LAS DIRECTRICES TÉCNICAS DE LA FAO PARA LA CERTIFICACIÓN EN LA ACUICULTURA </w:t>
      </w:r>
    </w:p>
    <w:p w:rsidR="00104DBB" w:rsidRPr="0033024C" w:rsidRDefault="00104DBB" w:rsidP="008C4283"/>
    <w:p w:rsidR="00104DBB" w:rsidRPr="0033024C" w:rsidRDefault="00104DBB" w:rsidP="008C4283">
      <w:pPr>
        <w:pStyle w:val="NewPara"/>
        <w:jc w:val="both"/>
      </w:pPr>
      <w:r>
        <w:t>La FAO prosigue su trabajo relacionado con la certificación en la acuicultura y la evaluación de la conformidad. En concreto, se está mejorando el marco de evaluación de la conformidad a la luz de los comentarios formulados en la séptima reunión del Subcomité. Continúa la labor de sensibilización sobre la certificación en la acuicultura y la evaluación de la conformidad con la ayuda de la Unión Europea. En el documento de trabajo COFI</w:t>
      </w:r>
      <w:proofErr w:type="gramStart"/>
      <w:r>
        <w:t>:AQ</w:t>
      </w:r>
      <w:proofErr w:type="gramEnd"/>
      <w:r>
        <w:t xml:space="preserve">/VIII/2015/6 se ofrecen más detalles al respecto. </w:t>
      </w:r>
    </w:p>
    <w:p w:rsidR="00104DBB" w:rsidRPr="0033024C" w:rsidRDefault="00104DBB" w:rsidP="008C4283"/>
    <w:p w:rsidR="00104DBB" w:rsidRPr="0033024C" w:rsidRDefault="00104DBB" w:rsidP="008C4283">
      <w:pPr>
        <w:pStyle w:val="Heading2"/>
        <w:numPr>
          <w:ilvl w:val="0"/>
          <w:numId w:val="0"/>
        </w:numPr>
        <w:ind w:left="1"/>
        <w:jc w:val="left"/>
      </w:pPr>
      <w:r>
        <w:t xml:space="preserve">APLICACIÓN DE LA PLANIFICACIÓN ESPACIAL PARA PROMOVER EL CRECIMIENTO DE LA ACUICULTURA EN EL FUTURO </w:t>
      </w:r>
    </w:p>
    <w:p w:rsidR="00104DBB" w:rsidRPr="0033024C" w:rsidRDefault="00104DBB" w:rsidP="008C4283"/>
    <w:p w:rsidR="00104DBB" w:rsidRDefault="00104DBB" w:rsidP="008C4283">
      <w:pPr>
        <w:pStyle w:val="NewPara"/>
        <w:jc w:val="both"/>
      </w:pPr>
      <w:r>
        <w:t>La FAO, en sus intentos por ayudar a los Miembros a aumentar la producción acuícola de forma sostenible, está realizando esfuerzos especiales para abordar la planificación espacial de manera que se impulse el crecimiento de la acuicultura mediante la elaboración de instrumentos y publicaciones fundamentales y a través de talleres de capacitación realizados en colaboración con otros organismos. Actualmente prepara, en asociación con el Banco Mundial, una publicación técnica que servirá de guía detallada a los gestores, los responsables de las políticas y el personal técnico en materia de zonificación acuícola, selección de emplazamientos y gestión de la acuicultura. En julio de 2015 se celebró en Turquía un taller de expertos para completar el documento, cuya publicación está prevista para principios de 2016.</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La FAO, con la ayuda de expertos de todo el mundo y mediante una consulta regional, preparó un conjunto de herramientas de planificación y gestión de la acuicultura para Asia y el Pacífico. Este incluye 16 instrumentos que abarcan cinco esferas temáticas: zonificación y selección de emplazamientos para la acuicultura; bioseguridad y salud de los animales acuáticos; inocuidad de los alimentos; evaluación del impacto ambiental y vigilancia; y evaluación del impacto socioeconómico. La FAO desarrolló un proyecto a través del PCT regional para poner a prueba la aplicación de algunas de estas herramientas en tres países de la Asociación de Naciones del Asia Sudoriental (ASEAN). El PCT regional es una actividad importante de la iniciativa regional de la FAO sobre intensificación sostenible de la acuicultura para el crecimiento azul, que comenza</w:t>
      </w:r>
      <w:r w:rsidR="003D7F7D">
        <w:t>rá en 2015. Su finalidad es: i) </w:t>
      </w:r>
      <w:r>
        <w:t>preparar las herramientas para su uso como manuales operativos; ii) crear capacidad humana para la ejecución; iii) aplicar las herramientas seleccionadas en distintas escalas; iv) evaluar la aplicación de las herramientas; y v) compartir las experiencias y lecciones aprendidas en el ámbito regional.</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En el marco del programa Horizonte 2020, la FAO participa en dos proyectos financiados por la Unión Europea que revisten especial pertinencia e importancia para la planificación espacial. El primero de ellos, conocido como </w:t>
      </w:r>
      <w:proofErr w:type="spellStart"/>
      <w:r>
        <w:t>AquaSpace</w:t>
      </w:r>
      <w:proofErr w:type="spellEnd"/>
      <w:r>
        <w:t xml:space="preserve">, se ocupa de un enfoque </w:t>
      </w:r>
      <w:proofErr w:type="spellStart"/>
      <w:r>
        <w:t>ecosistémico</w:t>
      </w:r>
      <w:proofErr w:type="spellEnd"/>
      <w:r>
        <w:t xml:space="preserve"> para preparar el espacio para la acuicultura sostenible, mientras que el segundo, denominado MARIBE por sus siglas en inglés, está relacionado con la inversión marítima en la economía azul. En ambos proyectos participan países tanto de la Unión Europea como ajenos a ella.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La FAO llevó a cabo diversas misiones sobre el terreno para prestar asistencia técnica a Angola</w:t>
      </w:r>
      <w:r w:rsidRPr="00FC368C">
        <w:rPr>
          <w:smallCaps/>
          <w:vertAlign w:val="superscript"/>
        </w:rPr>
        <w:footnoteReference w:id="8"/>
      </w:r>
      <w:r>
        <w:t>, Arabia Saudita</w:t>
      </w:r>
      <w:r w:rsidRPr="00FC368C">
        <w:rPr>
          <w:smallCaps/>
          <w:vertAlign w:val="superscript"/>
        </w:rPr>
        <w:footnoteReference w:id="9"/>
      </w:r>
      <w:r>
        <w:t xml:space="preserve">, </w:t>
      </w:r>
      <w:proofErr w:type="spellStart"/>
      <w:r>
        <w:t>Kenya</w:t>
      </w:r>
      <w:proofErr w:type="spellEnd"/>
      <w:r>
        <w:t xml:space="preserve"> y la República Unida de </w:t>
      </w:r>
      <w:proofErr w:type="spellStart"/>
      <w:r>
        <w:t>Tanzanía</w:t>
      </w:r>
      <w:proofErr w:type="spellEnd"/>
      <w:r>
        <w:t xml:space="preserve"> (Zanzíbar) a fin de determinar posibles zonas acuícolas, facilitar la inversión en acuicultura y fomentar un sector que, bajo una gobernanza efectiva, sea inclusivo, equitativo y responsable desde un punto de vista ambiental. La FAO también ha ayudado a los países, como Costa Rica, Togo y Zambia, a preparar estrategias y planes de desarrollo nacionales para la acuicultura que incluyan la determinación de áreas potenciales en las que se puedan asignar zonas para la acuicultura.</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Varios países se están beneficiando de la asistencia técnica de la FAO. Los miembros están comenzando a registrar, o registran ya habitualmente, la ubicación y la producción de las explotaciones piscícolas y las zonas de acuicultura como un paso esencial que, en última instancia, puede contribuir a mejorar el emplazamiento y la gestión. Estas zonas de acuicultura se pueden comparar con los hábitats y ecosistemas sensibles para poner de relieve los impactos potenciales, y también pueden vincularse con el proceso de concesión de licencias a fin de identificar las explotaciones ilegales o no declaradas</w:t>
      </w:r>
      <w:r w:rsidRPr="00FC368C">
        <w:rPr>
          <w:smallCaps/>
          <w:vertAlign w:val="superscript"/>
        </w:rPr>
        <w:footnoteReference w:id="10"/>
      </w:r>
      <w:proofErr w:type="gramStart"/>
      <w:r w:rsidR="00FC368C">
        <w:t>,</w:t>
      </w:r>
      <w:r w:rsidRPr="00FC368C">
        <w:rPr>
          <w:smallCaps/>
          <w:vertAlign w:val="superscript"/>
        </w:rPr>
        <w:footnoteReference w:id="11"/>
      </w:r>
      <w:r>
        <w:t>.</w:t>
      </w:r>
      <w:proofErr w:type="gramEnd"/>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Además, como parte de la asistencia técnica se ayuda a los países a planificar la expansión sostenible de la maricultura. Por ejemplo, con motivo de la </w:t>
      </w:r>
      <w:r>
        <w:rPr>
          <w:i/>
        </w:rPr>
        <w:t xml:space="preserve">Offshore </w:t>
      </w:r>
      <w:proofErr w:type="spellStart"/>
      <w:r>
        <w:rPr>
          <w:i/>
        </w:rPr>
        <w:t>Mariculture</w:t>
      </w:r>
      <w:proofErr w:type="spellEnd"/>
      <w:r>
        <w:rPr>
          <w:i/>
        </w:rPr>
        <w:t xml:space="preserve"> </w:t>
      </w:r>
      <w:proofErr w:type="spellStart"/>
      <w:r>
        <w:rPr>
          <w:i/>
        </w:rPr>
        <w:t>Conference</w:t>
      </w:r>
      <w:proofErr w:type="spellEnd"/>
      <w:r>
        <w:rPr>
          <w:i/>
        </w:rPr>
        <w:t xml:space="preserve"> 2014</w:t>
      </w:r>
      <w:r>
        <w:t xml:space="preserve"> que tuvo lugar en Nápoles (Italia), la FAO realizó una presentación de apertura sobre las oportunidades de desarrollo mundial que tiene la maricultura en mar abierto desde una perspectiva espacial</w:t>
      </w:r>
      <w:r w:rsidRPr="00216EBC">
        <w:rPr>
          <w:smallCaps/>
          <w:vertAlign w:val="superscript"/>
        </w:rPr>
        <w:footnoteReference w:id="12"/>
      </w:r>
      <w:r>
        <w:t xml:space="preserve">. </w:t>
      </w:r>
    </w:p>
    <w:p w:rsidR="00104DBB" w:rsidRPr="0033024C" w:rsidRDefault="00104DBB" w:rsidP="008C4283"/>
    <w:p w:rsidR="00104DBB" w:rsidRPr="0033024C" w:rsidRDefault="00104DBB" w:rsidP="008C4283">
      <w:pPr>
        <w:pStyle w:val="NewPara"/>
        <w:jc w:val="both"/>
      </w:pPr>
      <w:r>
        <w:t>La FAO viene realizando pruebas de creación de sistemas de vigilancia ambiental para aumentar la resiliencia de los acuicultores y pescadores en los ámbitos nacional y regional. Se desarrolló un primer sistema experimental en Estero Real (Nicaragua) y comenzó una segunda iniciativa subregional en el Delta del Bajo Mekong, con un taller para planificar un sistema de vigilancia ambiental transfronterizo integrado que permita hacer frente a la variabilidad del clima y el cambio climático desde el punto de vista de las cuencas hidrográficas. El objetivo consistía en brindar ayuda a los acuicultores en el ámbito de las decisiones sobre gestión y los sistemas de alerta temprana.</w:t>
      </w:r>
    </w:p>
    <w:p w:rsidR="00104DBB" w:rsidRPr="0033024C" w:rsidRDefault="00104DBB" w:rsidP="008C4283"/>
    <w:p w:rsidR="00104DBB" w:rsidRPr="0033024C" w:rsidRDefault="00104DBB" w:rsidP="00BA0EBA">
      <w:pPr>
        <w:pStyle w:val="Heading2"/>
        <w:numPr>
          <w:ilvl w:val="0"/>
          <w:numId w:val="0"/>
        </w:numPr>
        <w:ind w:left="1"/>
        <w:jc w:val="left"/>
      </w:pPr>
      <w:r>
        <w:t xml:space="preserve">EL PAPEL DE LA ACUICULTURA Y LOS PIENSOS ACUÍCOLAS EN LA MEJORA DE LA NUTRICIÓN </w:t>
      </w:r>
    </w:p>
    <w:p w:rsidR="00104DBB" w:rsidRPr="0033024C" w:rsidRDefault="00104DBB" w:rsidP="00BA0EBA">
      <w:pPr>
        <w:keepNext/>
      </w:pPr>
    </w:p>
    <w:p w:rsidR="00104DBB" w:rsidRPr="00BF72C2" w:rsidRDefault="00104DBB" w:rsidP="00BA0EBA">
      <w:pPr>
        <w:pStyle w:val="NewPara"/>
        <w:keepNext/>
        <w:rPr>
          <w:rFonts w:cs="Times New Roman"/>
          <w:szCs w:val="22"/>
        </w:rPr>
      </w:pPr>
      <w:r w:rsidRPr="00BF72C2">
        <w:rPr>
          <w:rFonts w:cs="Times New Roman"/>
          <w:szCs w:val="22"/>
        </w:rPr>
        <w:t>Con motivo de la Segunda Conferencia Internacional sobre Nutrición (CIN2), el Departamento de Pesca y Acuicultura de la FAO preparó un documento técnico sobre la forma de maximizar la contribución del pescado a la nutrición humana</w:t>
      </w:r>
      <w:r w:rsidRPr="00BF72C2">
        <w:rPr>
          <w:rStyle w:val="FootnoteReference"/>
          <w:rFonts w:ascii="Times New Roman" w:hAnsi="Times New Roman" w:cs="Times New Roman"/>
          <w:sz w:val="22"/>
          <w:szCs w:val="22"/>
        </w:rPr>
        <w:footnoteReference w:id="13"/>
      </w:r>
      <w:r w:rsidRPr="00BF72C2">
        <w:rPr>
          <w:rFonts w:cs="Times New Roman"/>
          <w:szCs w:val="22"/>
        </w:rPr>
        <w:t xml:space="preserve"> y contribuyó a la elaboración del comunicado de prensa </w:t>
      </w:r>
      <w:r w:rsidRPr="00BF72C2">
        <w:rPr>
          <w:rFonts w:cs="Times New Roman"/>
          <w:i/>
          <w:szCs w:val="22"/>
        </w:rPr>
        <w:t>El rápido desarrollo de la acuicultura impulsa el aporte de micronutrientes del pescado</w:t>
      </w:r>
      <w:r w:rsidRPr="00BF72C2">
        <w:rPr>
          <w:rStyle w:val="FootnoteReference"/>
          <w:rFonts w:ascii="Times New Roman" w:hAnsi="Times New Roman" w:cs="Times New Roman"/>
          <w:sz w:val="22"/>
          <w:szCs w:val="22"/>
        </w:rPr>
        <w:footnoteReference w:id="14"/>
      </w:r>
      <w:r w:rsidR="00BF72C2">
        <w:rPr>
          <w:rFonts w:cs="Times New Roman"/>
          <w:szCs w:val="22"/>
        </w:rPr>
        <w:t>,</w:t>
      </w:r>
      <w:r w:rsidRPr="00BF72C2">
        <w:rPr>
          <w:rStyle w:val="FootnoteReference"/>
          <w:rFonts w:ascii="Times New Roman" w:hAnsi="Times New Roman" w:cs="Times New Roman"/>
          <w:sz w:val="22"/>
          <w:szCs w:val="22"/>
        </w:rPr>
        <w:footnoteReference w:id="15"/>
      </w:r>
      <w:r w:rsidRPr="00BF72C2">
        <w:rPr>
          <w:rFonts w:cs="Times New Roman"/>
          <w:szCs w:val="22"/>
        </w:rPr>
        <w:t xml:space="preserve">. Se han publicado varios informes adicionales sobre la función del pescado y los productos de pescado en la nutrición, como </w:t>
      </w:r>
      <w:r w:rsidRPr="00BF72C2">
        <w:rPr>
          <w:rFonts w:cs="Times New Roman"/>
          <w:i/>
          <w:szCs w:val="22"/>
        </w:rPr>
        <w:t>El papel de la acuicultura en la mejora de la nutrición: oportunidades y desafíos</w:t>
      </w:r>
      <w:r w:rsidRPr="00BF72C2">
        <w:rPr>
          <w:rStyle w:val="FootnoteReference"/>
          <w:rFonts w:ascii="Times New Roman" w:hAnsi="Times New Roman" w:cs="Times New Roman"/>
          <w:sz w:val="22"/>
          <w:szCs w:val="22"/>
        </w:rPr>
        <w:footnoteReference w:id="16"/>
      </w:r>
      <w:r w:rsidRPr="00BF72C2">
        <w:rPr>
          <w:rFonts w:cs="Times New Roman"/>
          <w:szCs w:val="22"/>
        </w:rPr>
        <w:t xml:space="preserve">, incluido como parte del informe </w:t>
      </w:r>
      <w:r w:rsidRPr="00BF72C2">
        <w:rPr>
          <w:rFonts w:cs="Times New Roman"/>
          <w:i/>
          <w:szCs w:val="22"/>
        </w:rPr>
        <w:t>El estado mundial de la pesca y la acuicultura 2014</w:t>
      </w:r>
      <w:r w:rsidRPr="00BF72C2">
        <w:rPr>
          <w:rFonts w:cs="Times New Roman"/>
          <w:szCs w:val="22"/>
        </w:rPr>
        <w:t xml:space="preserve"> (SOFIA). Debido a la falta de información nutricional sobre los productos acuícolas que permita evaluar su contribución a la nutrición, se aumentaron los esfuerzos por establecer una base de datos fácil de utilizar sobre los nutrientes del pescado. Se está ultimando la base de datos mundial sobre composición nutricional del pescado y el marisco, que incluye también información sobre productos acuícolas con una mayor atención por los micronutrientes y se pondrá a disposición del público en el sitio web INFOODS de la FAO.</w:t>
      </w:r>
    </w:p>
    <w:p w:rsidR="00104DBB" w:rsidRPr="0033024C" w:rsidRDefault="00104DBB" w:rsidP="008C4283">
      <w:pPr>
        <w:pStyle w:val="NewPara"/>
        <w:numPr>
          <w:ilvl w:val="0"/>
          <w:numId w:val="0"/>
        </w:numPr>
      </w:pPr>
    </w:p>
    <w:p w:rsidR="00104DBB" w:rsidRPr="0033024C" w:rsidRDefault="00104DBB" w:rsidP="008C4283">
      <w:pPr>
        <w:pStyle w:val="NewPara"/>
      </w:pPr>
      <w:r>
        <w:t xml:space="preserve">Basándose en los resultados del proyecto regional ejecutado por la FAO sobre el tema </w:t>
      </w:r>
      <w:r w:rsidR="009C5A6A">
        <w:t>“</w:t>
      </w:r>
      <w:r>
        <w:t>Reducción de la dependencia de la utilización de peces de descarte/pescado de bajo valor como pienso en la acuicultura de peces de escama marinos en la región de Asia</w:t>
      </w:r>
      <w:r w:rsidR="009C5A6A">
        <w:t>”</w:t>
      </w:r>
      <w:r>
        <w:t xml:space="preserve">, en el informe SOFIA 2014 se publicó un resumen del estudio especial </w:t>
      </w:r>
      <w:r w:rsidR="009C5A6A">
        <w:t>“</w:t>
      </w:r>
      <w:r>
        <w:t>Transición del pescado de bajo valor a los piensos compuestos en la acuicultura marina en jaulas en Asia</w:t>
      </w:r>
      <w:r w:rsidR="009C5A6A">
        <w:t>”</w:t>
      </w:r>
      <w:r>
        <w:t>.</w:t>
      </w:r>
    </w:p>
    <w:p w:rsidR="00104DBB" w:rsidRPr="0033024C" w:rsidRDefault="00104DBB" w:rsidP="008C4283">
      <w:pPr>
        <w:pStyle w:val="NewPara"/>
        <w:numPr>
          <w:ilvl w:val="0"/>
          <w:numId w:val="0"/>
        </w:numPr>
      </w:pPr>
    </w:p>
    <w:p w:rsidR="00104DBB" w:rsidRPr="0033024C" w:rsidRDefault="00104DBB" w:rsidP="008C4283">
      <w:pPr>
        <w:pStyle w:val="NewPara"/>
      </w:pPr>
      <w:r>
        <w:t xml:space="preserve">A petición de los Gobiernos de Bangladesh, Kirguistán, Filipinas y Sri Lanka, la FAO puso en marcha en 2014 cuatro PCT en </w:t>
      </w:r>
      <w:proofErr w:type="gramStart"/>
      <w:r>
        <w:t>el país orientados</w:t>
      </w:r>
      <w:proofErr w:type="gramEnd"/>
      <w:r>
        <w:t xml:space="preserve"> a mejorar la calidad y el uso del pienso. Cada proyecto se ocupa de varias cuestiones fundamentales y prácticas relacionadas con el uso y la producción de pienso. Considerados en conjunto, sus resultados proporcionan una recomendación regional.</w:t>
      </w:r>
    </w:p>
    <w:p w:rsidR="00104DBB" w:rsidRPr="0033024C" w:rsidRDefault="00104DBB" w:rsidP="008C4283">
      <w:pPr>
        <w:pStyle w:val="NewPara"/>
        <w:numPr>
          <w:ilvl w:val="0"/>
          <w:numId w:val="0"/>
        </w:numPr>
      </w:pPr>
    </w:p>
    <w:p w:rsidR="00104DBB" w:rsidRPr="0033024C" w:rsidRDefault="00104DBB" w:rsidP="008C4283">
      <w:pPr>
        <w:pStyle w:val="NewPara"/>
      </w:pPr>
      <w:r>
        <w:t xml:space="preserve">El Departamento de Pesca y Acuicultura de la FAO ha puesto en marcha, en el marco de la Iniciativa sobre el crecimiento azul, un proyecto sobre las soluciones de políticas para un suministro sostenible de piensos y las buenas prácticas de gestión a efectos de aumentar la eficacia en el uso de piensos para el panga en </w:t>
      </w:r>
      <w:proofErr w:type="spellStart"/>
      <w:r>
        <w:t>Viet</w:t>
      </w:r>
      <w:proofErr w:type="spellEnd"/>
      <w:r>
        <w:t> </w:t>
      </w:r>
      <w:proofErr w:type="spellStart"/>
      <w:r>
        <w:t>Nam</w:t>
      </w:r>
      <w:proofErr w:type="spellEnd"/>
      <w:r>
        <w:t xml:space="preserve"> (</w:t>
      </w:r>
      <w:r w:rsidR="009C5A6A">
        <w:t>“</w:t>
      </w:r>
      <w:proofErr w:type="spellStart"/>
      <w:r>
        <w:t>Policy</w:t>
      </w:r>
      <w:proofErr w:type="spellEnd"/>
      <w:r>
        <w:t xml:space="preserve"> </w:t>
      </w:r>
      <w:proofErr w:type="spellStart"/>
      <w:r>
        <w:t>solutions</w:t>
      </w:r>
      <w:proofErr w:type="spellEnd"/>
      <w:r>
        <w:t xml:space="preserve"> </w:t>
      </w:r>
      <w:proofErr w:type="spellStart"/>
      <w:r>
        <w:t>for</w:t>
      </w:r>
      <w:proofErr w:type="spellEnd"/>
      <w:r>
        <w:t xml:space="preserve"> </w:t>
      </w:r>
      <w:proofErr w:type="spellStart"/>
      <w:r>
        <w:t>sustainable</w:t>
      </w:r>
      <w:proofErr w:type="spellEnd"/>
      <w:r>
        <w:t xml:space="preserve"> </w:t>
      </w:r>
      <w:proofErr w:type="spellStart"/>
      <w:r>
        <w:t>feed</w:t>
      </w:r>
      <w:proofErr w:type="spellEnd"/>
      <w:r>
        <w:t xml:space="preserve"> </w:t>
      </w:r>
      <w:proofErr w:type="spellStart"/>
      <w:r>
        <w:t>supply</w:t>
      </w:r>
      <w:proofErr w:type="spellEnd"/>
      <w:r>
        <w:t xml:space="preserve">, </w:t>
      </w:r>
      <w:proofErr w:type="spellStart"/>
      <w:r>
        <w:t>good</w:t>
      </w:r>
      <w:proofErr w:type="spellEnd"/>
      <w:r>
        <w:t xml:space="preserve"> </w:t>
      </w:r>
      <w:proofErr w:type="spellStart"/>
      <w:r>
        <w:t>management</w:t>
      </w:r>
      <w:proofErr w:type="spellEnd"/>
      <w:r>
        <w:t xml:space="preserve"> </w:t>
      </w:r>
      <w:proofErr w:type="spellStart"/>
      <w:r>
        <w:t>practices</w:t>
      </w:r>
      <w:proofErr w:type="spellEnd"/>
      <w:r>
        <w:t xml:space="preserve"> to </w:t>
      </w:r>
      <w:proofErr w:type="spellStart"/>
      <w:r>
        <w:t>increase</w:t>
      </w:r>
      <w:proofErr w:type="spellEnd"/>
      <w:r>
        <w:t xml:space="preserve"> </w:t>
      </w:r>
      <w:proofErr w:type="spellStart"/>
      <w:r>
        <w:t>feed</w:t>
      </w:r>
      <w:proofErr w:type="spellEnd"/>
      <w:r>
        <w:t xml:space="preserve"> </w:t>
      </w:r>
      <w:proofErr w:type="spellStart"/>
      <w:r>
        <w:t>utilization</w:t>
      </w:r>
      <w:proofErr w:type="spellEnd"/>
      <w:r>
        <w:t xml:space="preserve"> </w:t>
      </w:r>
      <w:proofErr w:type="spellStart"/>
      <w:r>
        <w:t>efficiency</w:t>
      </w:r>
      <w:proofErr w:type="spellEnd"/>
      <w:r>
        <w:t xml:space="preserve"> </w:t>
      </w:r>
      <w:proofErr w:type="spellStart"/>
      <w:r>
        <w:t>for</w:t>
      </w:r>
      <w:proofErr w:type="spellEnd"/>
      <w:r>
        <w:t xml:space="preserve"> </w:t>
      </w:r>
      <w:proofErr w:type="spellStart"/>
      <w:r>
        <w:t>striped</w:t>
      </w:r>
      <w:proofErr w:type="spellEnd"/>
      <w:r>
        <w:t xml:space="preserve"> </w:t>
      </w:r>
      <w:proofErr w:type="spellStart"/>
      <w:r>
        <w:t>catfish</w:t>
      </w:r>
      <w:proofErr w:type="spellEnd"/>
      <w:r>
        <w:t xml:space="preserve"> in </w:t>
      </w:r>
      <w:proofErr w:type="spellStart"/>
      <w:r>
        <w:t>Viet</w:t>
      </w:r>
      <w:proofErr w:type="spellEnd"/>
      <w:r>
        <w:t xml:space="preserve"> </w:t>
      </w:r>
      <w:proofErr w:type="spellStart"/>
      <w:r>
        <w:t>Nam</w:t>
      </w:r>
      <w:proofErr w:type="spellEnd"/>
      <w:r w:rsidR="009C5A6A">
        <w:t>”</w:t>
      </w:r>
      <w:r>
        <w:t>).</w:t>
      </w:r>
    </w:p>
    <w:p w:rsidR="00104DBB" w:rsidRPr="0033024C" w:rsidRDefault="00104DBB" w:rsidP="008C4283">
      <w:pPr>
        <w:pStyle w:val="NewPara"/>
        <w:numPr>
          <w:ilvl w:val="0"/>
          <w:numId w:val="0"/>
        </w:numPr>
      </w:pPr>
    </w:p>
    <w:p w:rsidR="00104DBB" w:rsidRPr="0033024C" w:rsidRDefault="00104DBB" w:rsidP="008C4283">
      <w:pPr>
        <w:pStyle w:val="NewPara"/>
      </w:pPr>
      <w:r>
        <w:t>El</w:t>
      </w:r>
      <w:r w:rsidR="009C5A6A">
        <w:t xml:space="preserve"> </w:t>
      </w:r>
      <w:r>
        <w:t xml:space="preserve">Departamento de Pesca y Acuicultura de la FAO realizó un estudio especial sobre la alimentación y gestión de piensos de las principales especies de carpa de la India en Andhra Pradesh (India) en respuesta a las recomendaciones del Subcomité de Acuicultura del COFI, que fomenta la cría de especies de los escalones inferiores de la cadena alimentaria especialmente cuando el objetivo es la seguridad alimentaria. </w:t>
      </w:r>
    </w:p>
    <w:p w:rsidR="00104DBB" w:rsidRPr="0033024C" w:rsidRDefault="00104DBB" w:rsidP="008C4283">
      <w:pPr>
        <w:pStyle w:val="NewPara"/>
      </w:pPr>
      <w:r>
        <w:t>Teniendo en cuenta las recomendaciones del Subcomité de Acuicultura del COFI (séptima reunión, Ciudad del Cabo, Sudáfrica) sobre la necesidad de intensificar los esfuerzos por encontrar ingredientes</w:t>
      </w:r>
      <w:r w:rsidR="009C5A6A">
        <w:t xml:space="preserve"> </w:t>
      </w:r>
      <w:r>
        <w:t xml:space="preserve">de piensos alternativos (basados, entre otras cosas, en productos vegetales y animales) para complementar la harina y el aceite de pescado, el Departamento de Pesca y Acuicultura de la FAO ha comenzado a elaborar una síntesis global de la información disponible a fin de evaluar la disponibilidad y el uso de los ingredientes de piensos obtenidos de plantas y de animales terrestres, incluida la utilización de desechos de pescado. </w:t>
      </w:r>
    </w:p>
    <w:p w:rsidR="00104DBB" w:rsidRPr="0033024C" w:rsidRDefault="00104DBB" w:rsidP="008C4283">
      <w:pPr>
        <w:pStyle w:val="NewPara"/>
        <w:numPr>
          <w:ilvl w:val="0"/>
          <w:numId w:val="0"/>
        </w:numPr>
      </w:pPr>
    </w:p>
    <w:p w:rsidR="00104DBB" w:rsidRPr="0033024C" w:rsidRDefault="00104DBB" w:rsidP="008C4283">
      <w:pPr>
        <w:pStyle w:val="NewPara"/>
      </w:pPr>
      <w:r>
        <w:t>El Departamento de Pesca y Acuicultura de la FAO ha completado un análisis preliminar del ciclo de vida de las emisiones de gases de efecto invernadero (GEI) derivadas de la producción de tres especies de peces cultivados, con respecto al uso de piensos acuícolas en Asia: tilapia del Nilo, las principales carpas de la India y panga.</w:t>
      </w:r>
    </w:p>
    <w:p w:rsidR="00104DBB" w:rsidRPr="0033024C" w:rsidRDefault="00104DBB" w:rsidP="008C4283">
      <w:pPr>
        <w:pStyle w:val="NewPara"/>
        <w:numPr>
          <w:ilvl w:val="0"/>
          <w:numId w:val="0"/>
        </w:numPr>
      </w:pPr>
    </w:p>
    <w:p w:rsidR="00104DBB" w:rsidRPr="0033024C" w:rsidRDefault="00104DBB" w:rsidP="008C4283">
      <w:pPr>
        <w:pStyle w:val="NewPara"/>
      </w:pPr>
      <w:r>
        <w:t>Se realizó un estudio para evaluar el papel de la acuicultura en pequeña escala respecto de la seguridad alimentaria y los ingresos familiares en varios países de América Latina, a saber, el Brasil, Colombia, El Salvador, Guatemala, Honduras, Nicaragua y el Paraguay.</w:t>
      </w:r>
    </w:p>
    <w:p w:rsidR="00104DBB" w:rsidRPr="0033024C" w:rsidRDefault="00104DBB" w:rsidP="008C4283">
      <w:pPr>
        <w:pStyle w:val="NewPara"/>
        <w:numPr>
          <w:ilvl w:val="0"/>
          <w:numId w:val="0"/>
        </w:numPr>
      </w:pPr>
    </w:p>
    <w:p w:rsidR="00104DBB" w:rsidRPr="0033024C" w:rsidRDefault="00104DBB" w:rsidP="008C4283">
      <w:pPr>
        <w:pStyle w:val="NewPara"/>
      </w:pPr>
      <w:r>
        <w:t>La FAO está realizando esfuerzos especiales para hacer frente al impacto ambiental de los piensos, incluida la contribución de estos a las emisiones de GEI. La reducción del índice de conversión de piensos se considera también un objetivo importante, por lo que la FAO está colaborando con los Miembros y el sector privado en este sentido. En</w:t>
      </w:r>
      <w:r w:rsidR="00443C0B">
        <w:t xml:space="preserve"> septiembre se celebró en Costa </w:t>
      </w:r>
      <w:r>
        <w:t>Rica un taller para debatir sobre la contribución de los piensos a las emisiones de GEI, y sobre las maneras de reducir el índice de conversión de piensos y transferir tecnologías de sistemas de producción agropecuaria más avanzados, como el salmón, a otros sistemas. Se están preparando un informe y recomendaciones sobre políticas para su divulgación.</w:t>
      </w:r>
    </w:p>
    <w:p w:rsidR="00104DBB" w:rsidRPr="0033024C" w:rsidRDefault="00104DBB" w:rsidP="008C4283"/>
    <w:p w:rsidR="00104DBB" w:rsidRPr="0033024C" w:rsidRDefault="00104DBB" w:rsidP="008C4283">
      <w:pPr>
        <w:pStyle w:val="Heading2"/>
        <w:numPr>
          <w:ilvl w:val="0"/>
          <w:numId w:val="0"/>
        </w:numPr>
        <w:ind w:left="1"/>
        <w:jc w:val="left"/>
      </w:pPr>
      <w:r>
        <w:t xml:space="preserve">EL PAPEL DEL SUBCOMITÉ DE ACUICULTURA DEL COFI EN LA PROMOCIÓN DE LA PESCA RESPONSABLE BASADA EN EL CULTIVO </w:t>
      </w:r>
    </w:p>
    <w:p w:rsidR="00104DBB" w:rsidRPr="0033024C" w:rsidRDefault="00104DBB" w:rsidP="008C4283"/>
    <w:p w:rsidR="00104DBB" w:rsidRPr="0033024C" w:rsidRDefault="00104DBB" w:rsidP="008C4283">
      <w:pPr>
        <w:pStyle w:val="NewPara"/>
        <w:jc w:val="both"/>
      </w:pPr>
      <w:r>
        <w:t>A fin de mejorar la presentación de informes sobre la pesca basada en el cultivo y la terminología conexa, se ha corregido el glosario de la FAO siguiendo el consejo del Subcomité. Además, el Gobierno de Sri Lanka, en asociación con la Comisión de Pesca para Asia-Pacífico (CPAP) y la FAO, patrocinó un taller regional sobre cómo potenciar la contribución al crecimiento azul de la pesca basada en el cultivo y las mejoras pesqueras conexas en las aguas continentales (</w:t>
      </w:r>
      <w:r w:rsidR="009C5A6A">
        <w:t>“</w:t>
      </w:r>
      <w:proofErr w:type="spellStart"/>
      <w:r>
        <w:t>Improving</w:t>
      </w:r>
      <w:proofErr w:type="spellEnd"/>
      <w:r>
        <w:t xml:space="preserve"> </w:t>
      </w:r>
      <w:proofErr w:type="spellStart"/>
      <w:r>
        <w:t>the</w:t>
      </w:r>
      <w:proofErr w:type="spellEnd"/>
      <w:r>
        <w:t xml:space="preserve"> </w:t>
      </w:r>
      <w:proofErr w:type="spellStart"/>
      <w:r>
        <w:t>contribution</w:t>
      </w:r>
      <w:proofErr w:type="spellEnd"/>
      <w:r>
        <w:t xml:space="preserve"> of culture-</w:t>
      </w:r>
      <w:proofErr w:type="spellStart"/>
      <w:r>
        <w:t>based</w:t>
      </w:r>
      <w:proofErr w:type="spellEnd"/>
      <w:r>
        <w:t xml:space="preserve"> </w:t>
      </w:r>
      <w:proofErr w:type="spellStart"/>
      <w:r>
        <w:t>fisheries</w:t>
      </w:r>
      <w:proofErr w:type="spellEnd"/>
      <w:r>
        <w:t xml:space="preserve"> and </w:t>
      </w:r>
      <w:proofErr w:type="spellStart"/>
      <w:r>
        <w:t>related</w:t>
      </w:r>
      <w:proofErr w:type="spellEnd"/>
      <w:r>
        <w:t xml:space="preserve"> </w:t>
      </w:r>
      <w:proofErr w:type="spellStart"/>
      <w:r>
        <w:t>fishery</w:t>
      </w:r>
      <w:proofErr w:type="spellEnd"/>
      <w:r>
        <w:t xml:space="preserve"> </w:t>
      </w:r>
      <w:proofErr w:type="spellStart"/>
      <w:r>
        <w:t>enhancements</w:t>
      </w:r>
      <w:proofErr w:type="spellEnd"/>
      <w:r>
        <w:t xml:space="preserve"> in </w:t>
      </w:r>
      <w:proofErr w:type="spellStart"/>
      <w:r>
        <w:t>inland</w:t>
      </w:r>
      <w:proofErr w:type="spellEnd"/>
      <w:r>
        <w:t xml:space="preserve"> </w:t>
      </w:r>
      <w:proofErr w:type="spellStart"/>
      <w:r>
        <w:t>waters</w:t>
      </w:r>
      <w:proofErr w:type="spellEnd"/>
      <w:r>
        <w:t xml:space="preserve"> to Blue </w:t>
      </w:r>
      <w:proofErr w:type="spellStart"/>
      <w:r>
        <w:t>Growth</w:t>
      </w:r>
      <w:proofErr w:type="spellEnd"/>
      <w:r w:rsidR="009C5A6A">
        <w:t>”</w:t>
      </w:r>
      <w:r>
        <w:t>), que tuvo lugar del 24 al 27 de mayo de 2015 en Sri Lanka.</w:t>
      </w:r>
    </w:p>
    <w:p w:rsidR="00104DBB" w:rsidRPr="0033024C" w:rsidRDefault="00104DBB" w:rsidP="008C4283"/>
    <w:p w:rsidR="00104DBB" w:rsidRPr="0033024C" w:rsidRDefault="00104DBB" w:rsidP="008C4283">
      <w:pPr>
        <w:pStyle w:val="Heading2"/>
        <w:numPr>
          <w:ilvl w:val="0"/>
          <w:numId w:val="0"/>
        </w:numPr>
        <w:ind w:left="1"/>
        <w:jc w:val="left"/>
      </w:pPr>
      <w:r>
        <w:t xml:space="preserve">ACTO ESPECIAL SOBRE EL FORTALECIMIENTO DE LA COOPERACIÓN INTERNACIONAL PARA ACELERAR EL DESARROLLO SOSTENIBLE DE LA ACUICULTURA </w:t>
      </w:r>
    </w:p>
    <w:p w:rsidR="00104DBB" w:rsidRPr="0033024C" w:rsidRDefault="00104DBB" w:rsidP="008C4283"/>
    <w:p w:rsidR="00104DBB" w:rsidRPr="0033024C" w:rsidRDefault="00104DBB" w:rsidP="008C4283">
      <w:pPr>
        <w:pStyle w:val="NewPara"/>
        <w:jc w:val="both"/>
      </w:pPr>
      <w:r>
        <w:t xml:space="preserve">La CSS continuó desempeñando un papel importante durante el período entre reuniones. La Secretaría organizó un taller consultivo de expertos de alto nivel sobre el desarrollo sostenible de la acuicultura y la pesca continental en el marco del Programa de CSS entre China y la FAO, que se celebró del 1 al 5 de junio de 2015 en </w:t>
      </w:r>
      <w:proofErr w:type="spellStart"/>
      <w:r>
        <w:t>Wuxi</w:t>
      </w:r>
      <w:proofErr w:type="spellEnd"/>
      <w:r>
        <w:t xml:space="preserve"> (China). Con motivo del segundo simposio internacional sobre educación pesquera y acuícola (</w:t>
      </w:r>
      <w:r>
        <w:rPr>
          <w:i/>
        </w:rPr>
        <w:t xml:space="preserve">International </w:t>
      </w:r>
      <w:proofErr w:type="spellStart"/>
      <w:r>
        <w:rPr>
          <w:i/>
        </w:rPr>
        <w:t>Symposium</w:t>
      </w:r>
      <w:proofErr w:type="spellEnd"/>
      <w:r>
        <w:rPr>
          <w:i/>
        </w:rPr>
        <w:t xml:space="preserve"> </w:t>
      </w:r>
      <w:proofErr w:type="spellStart"/>
      <w:r>
        <w:rPr>
          <w:i/>
        </w:rPr>
        <w:t>on</w:t>
      </w:r>
      <w:proofErr w:type="spellEnd"/>
      <w:r>
        <w:rPr>
          <w:i/>
        </w:rPr>
        <w:t xml:space="preserve"> </w:t>
      </w:r>
      <w:proofErr w:type="spellStart"/>
      <w:r>
        <w:rPr>
          <w:i/>
        </w:rPr>
        <w:t>Aquaculture</w:t>
      </w:r>
      <w:proofErr w:type="spellEnd"/>
      <w:r>
        <w:rPr>
          <w:i/>
        </w:rPr>
        <w:t xml:space="preserve"> and </w:t>
      </w:r>
      <w:proofErr w:type="spellStart"/>
      <w:r>
        <w:rPr>
          <w:i/>
        </w:rPr>
        <w:t>Fisheries</w:t>
      </w:r>
      <w:proofErr w:type="spellEnd"/>
      <w:r>
        <w:rPr>
          <w:i/>
        </w:rPr>
        <w:t xml:space="preserve"> </w:t>
      </w:r>
      <w:proofErr w:type="spellStart"/>
      <w:r>
        <w:rPr>
          <w:i/>
        </w:rPr>
        <w:t>Education</w:t>
      </w:r>
      <w:proofErr w:type="spellEnd"/>
      <w:r>
        <w:t xml:space="preserve">) que tuvo lugar del 22 al 24 de abril de 2015 en la </w:t>
      </w:r>
      <w:proofErr w:type="spellStart"/>
      <w:r>
        <w:t>Shanghai</w:t>
      </w:r>
      <w:proofErr w:type="spellEnd"/>
      <w:r>
        <w:t xml:space="preserve"> </w:t>
      </w:r>
      <w:proofErr w:type="spellStart"/>
      <w:r>
        <w:t>Ocean</w:t>
      </w:r>
      <w:proofErr w:type="spellEnd"/>
      <w:r>
        <w:t xml:space="preserve"> </w:t>
      </w:r>
      <w:proofErr w:type="spellStart"/>
      <w:r>
        <w:t>University</w:t>
      </w:r>
      <w:proofErr w:type="spellEnd"/>
      <w:r>
        <w:t xml:space="preserve"> de </w:t>
      </w:r>
      <w:proofErr w:type="spellStart"/>
      <w:r>
        <w:t>Shanghai</w:t>
      </w:r>
      <w:proofErr w:type="spellEnd"/>
      <w:r>
        <w:t xml:space="preserve"> (China), la Secretaría también propició una reunión especial para debatir sobre los enfoques de enseñanza no formal y la CSS. La FAO apoyó también la formulación y ejecución de la segunda fase del Programa de CSS entre China y Mongolia, que incluye un componente de respaldo al desarrollo acuícola en Mongolia.</w:t>
      </w:r>
    </w:p>
    <w:p w:rsidR="00104DBB" w:rsidRPr="008E6303" w:rsidRDefault="00104DBB" w:rsidP="008C4283">
      <w:pPr>
        <w:pStyle w:val="NewPara"/>
        <w:numPr>
          <w:ilvl w:val="0"/>
          <w:numId w:val="0"/>
        </w:numPr>
        <w:jc w:val="both"/>
      </w:pPr>
    </w:p>
    <w:p w:rsidR="00104DBB" w:rsidRPr="0033024C" w:rsidRDefault="0060765D" w:rsidP="008C4283">
      <w:pPr>
        <w:pStyle w:val="NewPara"/>
        <w:jc w:val="both"/>
      </w:pPr>
      <w:r>
        <w:t xml:space="preserve"> En el período 2010-</w:t>
      </w:r>
      <w:r w:rsidR="00104DBB">
        <w:t>15 se ha ejecutado un Programa de asistenc</w:t>
      </w:r>
      <w:r>
        <w:t xml:space="preserve">ia técnica entre Namibia y </w:t>
      </w:r>
      <w:proofErr w:type="spellStart"/>
      <w:r>
        <w:t>Viet</w:t>
      </w:r>
      <w:proofErr w:type="spellEnd"/>
      <w:r>
        <w:t> </w:t>
      </w:r>
      <w:proofErr w:type="spellStart"/>
      <w:r w:rsidR="00104DBB">
        <w:t>Nam</w:t>
      </w:r>
      <w:proofErr w:type="spellEnd"/>
      <w:r w:rsidR="00104DBB">
        <w:t xml:space="preserve"> con el objetivo de impulsar el desarrollo de la acuicultura en Namibia mediante el despliegue de expertos y técnico</w:t>
      </w:r>
      <w:r w:rsidR="00D15653">
        <w:t xml:space="preserve">s de la CSS procedentes de </w:t>
      </w:r>
      <w:proofErr w:type="spellStart"/>
      <w:r w:rsidR="00D15653">
        <w:t>Viet</w:t>
      </w:r>
      <w:proofErr w:type="spellEnd"/>
      <w:r w:rsidR="00D15653">
        <w:t> </w:t>
      </w:r>
      <w:proofErr w:type="spellStart"/>
      <w:r w:rsidR="00104DBB">
        <w:t>Nam</w:t>
      </w:r>
      <w:proofErr w:type="spellEnd"/>
      <w:r w:rsidR="00104DBB">
        <w:t>. El programa consiguió los resultados siguientes: i) un programa nacional de selección genética para la tilapia manchada (</w:t>
      </w:r>
      <w:proofErr w:type="spellStart"/>
      <w:r w:rsidR="00104DBB">
        <w:rPr>
          <w:i/>
        </w:rPr>
        <w:t>Oreochromis</w:t>
      </w:r>
      <w:proofErr w:type="spellEnd"/>
      <w:r w:rsidR="00104DBB">
        <w:rPr>
          <w:i/>
        </w:rPr>
        <w:t xml:space="preserve"> </w:t>
      </w:r>
      <w:proofErr w:type="spellStart"/>
      <w:r w:rsidR="00104DBB">
        <w:rPr>
          <w:i/>
        </w:rPr>
        <w:t>andersonii</w:t>
      </w:r>
      <w:proofErr w:type="spellEnd"/>
      <w:r w:rsidR="00104DBB">
        <w:t>); ii) la producción efectiva de tilapias manchadas macho mediante una técnica hormonal de reversión sexual; iii) un estudio para mejorar la calidad del pienso para peces y las prácticas de gestión de la alimentación; iv) creación de capacidad para mejorar la producción de huevos de la tilapia manchada y el pez-gato (</w:t>
      </w:r>
      <w:proofErr w:type="spellStart"/>
      <w:r w:rsidR="00104DBB">
        <w:rPr>
          <w:i/>
        </w:rPr>
        <w:t>Clarias</w:t>
      </w:r>
      <w:proofErr w:type="spellEnd"/>
      <w:r w:rsidR="00104DBB">
        <w:rPr>
          <w:i/>
        </w:rPr>
        <w:t xml:space="preserve"> </w:t>
      </w:r>
      <w:proofErr w:type="spellStart"/>
      <w:r w:rsidR="00104DBB">
        <w:rPr>
          <w:i/>
        </w:rPr>
        <w:t>gariepinus</w:t>
      </w:r>
      <w:proofErr w:type="spellEnd"/>
      <w:r w:rsidR="00104DBB">
        <w:t>);</w:t>
      </w:r>
      <w:r w:rsidR="00D15653">
        <w:t xml:space="preserve"> y</w:t>
      </w:r>
      <w:r w:rsidR="00104DBB">
        <w:t xml:space="preserve"> v) una estrategia nacional de extensión y material de capacitación en acuicultura para el fomento de la capacidad de los acuicultores y los técnicos.</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 xml:space="preserve">En agosto de 2014 se celebró en </w:t>
      </w:r>
      <w:proofErr w:type="spellStart"/>
      <w:r>
        <w:t>Ibague</w:t>
      </w:r>
      <w:proofErr w:type="spellEnd"/>
      <w:r>
        <w:t xml:space="preserve"> (Colombia) una reunión regional en la que los acuicultores en pequeña escala de América Latina y el Caribe pudieron intercambiar experiencias y conocimientos locales. Los siete países que participaron en ella (Antigua y Barbuda, Bolivia, Colombia, Costa Rica, Ecuador, Guatemala, México y Paraguay) pusieron en común sus resultados y avances en el establecimiento de escuelas de campo integradas de agricultura y acuicultura y determinaron oportunidades de CSS. El Brasil continuó apoyando y fomentando la CSS para el desarrollo sostenible de la acuicultura a través de la RAA a fin de facilitar la transferencia de información y conocimientos entre los países de América Latina y el Caribe.</w:t>
      </w:r>
    </w:p>
    <w:p w:rsidR="00104DBB" w:rsidRPr="0033024C" w:rsidRDefault="00104DBB" w:rsidP="008C4283">
      <w:pPr>
        <w:pStyle w:val="NewPara"/>
        <w:numPr>
          <w:ilvl w:val="0"/>
          <w:numId w:val="0"/>
        </w:numPr>
        <w:jc w:val="both"/>
      </w:pPr>
    </w:p>
    <w:p w:rsidR="00104DBB" w:rsidRPr="0033024C" w:rsidRDefault="00104DBB" w:rsidP="008C4283">
      <w:pPr>
        <w:pStyle w:val="NewPara"/>
        <w:jc w:val="both"/>
      </w:pPr>
      <w:r>
        <w:t>En 2016 se ejecutará un programa para fortalecer los sectores de la pesca y la acuicultura en África como parte de una importante asociación entre el Brasil y la FAO orientada a fomentar y aplicar iniciativas de co</w:t>
      </w:r>
      <w:r w:rsidR="00D15653">
        <w:t xml:space="preserve">operación técnica triangular. </w:t>
      </w:r>
      <w:r w:rsidRPr="009B4EE3">
        <w:t>Se considera que este programa constituye una oportunidad para que el Brasil comparta con otras naciones en desarrollo las valiosas lecciones que ha aprendido y las buenas prácticas que aplica en su territorio, con el objetivo de erradicar la pobreza, conseguir la seguridad alimentaria y generar empleo e ingresos gracias a la ordenación sostenible de los recursos pesqueros. Respaldará actividades acordes con las prioridades regionales y el Marco estratégico de la FAO a fin de mejorar la capacidad de las</w:t>
      </w:r>
      <w:r>
        <w:t xml:space="preserve"> organizaciones regionales y brindar apoyo a los gobiernos de África en el ámbito de la pesca y la acuicultura. El programa estará plenamente armonizado con otras iniciativas de CSS bilateral y triangular de la región, así como con otras actividades en curso realizadas por la FAO.</w:t>
      </w:r>
    </w:p>
    <w:p w:rsidR="00104DBB" w:rsidRPr="0033024C" w:rsidRDefault="00104DBB" w:rsidP="008C4283">
      <w:pPr>
        <w:pStyle w:val="NewPara"/>
        <w:numPr>
          <w:ilvl w:val="0"/>
          <w:numId w:val="0"/>
        </w:numPr>
        <w:jc w:val="both"/>
      </w:pPr>
    </w:p>
    <w:p w:rsidR="0022317E" w:rsidRPr="00104DBB" w:rsidRDefault="00104DBB" w:rsidP="00104DBB">
      <w:pPr>
        <w:pStyle w:val="NewPara"/>
        <w:jc w:val="both"/>
      </w:pPr>
      <w:r>
        <w:t xml:space="preserve">En su séptima reunión, el Subcomité de Acuicultura invitó a la Secretaría a considerar el establecimiento de un </w:t>
      </w:r>
      <w:r w:rsidR="009C5A6A">
        <w:t>“</w:t>
      </w:r>
      <w:r>
        <w:t>Día Mundial de la Acuicultura</w:t>
      </w:r>
      <w:r w:rsidR="009C5A6A">
        <w:t>”</w:t>
      </w:r>
      <w:r>
        <w:t xml:space="preserve">. Aunque las Naciones Unidas, en su Resolución 1980/67, establecen las directrices para instaurar años internacionales, no existen directrices para los días internacionales. En general, la propuesta de declarar un día internacional tiene un carácter de política, por lo que, en lo que respecta a la FAO, la Conferencia o el Consejo están capacitados para hacerlo. El Día Mundial de la Alimentación y el Día Internacional de los Bosques, por ejemplo, fueron el resultado de sendas resoluciones de la Conferencia. Si esto no entraña gastos ni demandas para los Miembros, el Consejo podría declarar un día internacional. Sin embargo, una solicitud en este sentido debe proceder de los Miembros del Consejo. Se invita a los Miembros a estudiar los detalles en el seno del Consejo y la Conferencia y a adoptar las medidas necesarias para establecer un </w:t>
      </w:r>
      <w:r w:rsidR="009C5A6A">
        <w:t>“</w:t>
      </w:r>
      <w:r>
        <w:t>Día Mundial de la Acuicultura</w:t>
      </w:r>
      <w:r w:rsidR="009C5A6A">
        <w:t>”</w:t>
      </w:r>
      <w:r>
        <w:t>.</w:t>
      </w:r>
    </w:p>
    <w:sectPr w:rsidR="0022317E" w:rsidRPr="00104DBB" w:rsidSect="001D159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BB" w:rsidRDefault="00104DBB" w:rsidP="00104DBB">
      <w:pPr>
        <w:spacing w:before="0"/>
      </w:pPr>
      <w:r>
        <w:separator/>
      </w:r>
    </w:p>
  </w:endnote>
  <w:endnote w:type="continuationSeparator" w:id="0">
    <w:p w:rsidR="00104DBB" w:rsidRDefault="00104DBB" w:rsidP="00104D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BA0EBA">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BA0EBA">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104DBB" w:rsidP="00EC4381">
          <w:pPr>
            <w:pStyle w:val="Note"/>
            <w:textboxTightWrap w:val="allLines"/>
          </w:pPr>
          <w:bookmarkStart w:id="8" w:name="NotesBookmark"/>
          <w:r>
            <w:t xml:space="preserve">Para minimizar los efectos de los métodos de trabajo de la FAO en el medio ambiente y contribuir a la neutralidad respecto del clima, se ha publicado un número limitado de ejemplares de este documento. Se ruega a los delegados y observadores que lleven sus copias a las reuniones y se abstengan de pedir copias adicionales. La mayoría de los documentos de reunión de la FAO está disponible en Internet, en el sitio www.fao.org. </w:t>
          </w:r>
          <w:bookmarkEnd w:id="8"/>
        </w:p>
      </w:tc>
    </w:tr>
  </w:tbl>
  <w:p w:rsidR="009C0B0C" w:rsidRPr="009C0B0C" w:rsidRDefault="0091744C" w:rsidP="00EC4381">
    <w:r>
      <w:t>MO189/s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BB" w:rsidRDefault="00104DBB" w:rsidP="00104DBB">
      <w:pPr>
        <w:spacing w:before="0"/>
      </w:pPr>
      <w:r>
        <w:separator/>
      </w:r>
    </w:p>
  </w:footnote>
  <w:footnote w:type="continuationSeparator" w:id="0">
    <w:p w:rsidR="00104DBB" w:rsidRDefault="00104DBB" w:rsidP="00104DBB">
      <w:pPr>
        <w:spacing w:before="0"/>
      </w:pPr>
      <w:r>
        <w:continuationSeparator/>
      </w:r>
    </w:p>
  </w:footnote>
  <w:footnote w:id="1">
    <w:p w:rsidR="00104DBB" w:rsidRPr="00B11999" w:rsidRDefault="00104DBB" w:rsidP="00104DBB">
      <w:pPr>
        <w:pStyle w:val="FootnoteText"/>
        <w:ind w:left="142" w:hanging="142"/>
        <w:jc w:val="both"/>
        <w:rPr>
          <w:rFonts w:cs="Times New Roman"/>
          <w:lang w:val="en-US"/>
        </w:rPr>
      </w:pPr>
      <w:r w:rsidRPr="00B11999">
        <w:rPr>
          <w:rStyle w:val="FootnoteReference"/>
          <w:rFonts w:ascii="Times New Roman" w:hAnsi="Times New Roman" w:cs="Times New Roman"/>
          <w:sz w:val="20"/>
          <w:szCs w:val="20"/>
        </w:rPr>
        <w:footnoteRef/>
      </w:r>
      <w:r w:rsidRPr="00B11999">
        <w:rPr>
          <w:rFonts w:cs="Times New Roman"/>
          <w:lang w:val="en-US"/>
        </w:rPr>
        <w:t xml:space="preserve"> </w:t>
      </w:r>
      <w:r w:rsidRPr="00B11999">
        <w:rPr>
          <w:rFonts w:cs="Times New Roman"/>
          <w:i/>
          <w:lang w:val="en-US"/>
        </w:rPr>
        <w:t>Enhancing aquaculture production for food security and rural development in Bangladesh through better seed and feed production and management with special focus on public-private partnerships</w:t>
      </w:r>
      <w:r w:rsidRPr="00B11999">
        <w:rPr>
          <w:rFonts w:cs="Times New Roman"/>
          <w:lang w:val="en-US"/>
        </w:rPr>
        <w:t xml:space="preserve"> (TCP/BGD/3501).</w:t>
      </w:r>
    </w:p>
  </w:footnote>
  <w:footnote w:id="2">
    <w:p w:rsidR="00104DBB" w:rsidRPr="00B11999" w:rsidRDefault="00104DBB" w:rsidP="00104DBB">
      <w:pPr>
        <w:pStyle w:val="FootnoteText"/>
        <w:ind w:left="142" w:hanging="142"/>
        <w:jc w:val="both"/>
        <w:rPr>
          <w:rFonts w:cs="Times New Roman"/>
          <w:lang w:val="en-US"/>
        </w:rPr>
      </w:pPr>
      <w:r w:rsidRPr="00B11999">
        <w:rPr>
          <w:rStyle w:val="FootnoteReference"/>
          <w:rFonts w:ascii="Times New Roman" w:hAnsi="Times New Roman" w:cs="Times New Roman"/>
          <w:sz w:val="20"/>
          <w:szCs w:val="20"/>
        </w:rPr>
        <w:footnoteRef/>
      </w:r>
      <w:r w:rsidRPr="00B11999">
        <w:rPr>
          <w:rFonts w:cs="Times New Roman"/>
          <w:lang w:val="en-US"/>
        </w:rPr>
        <w:t xml:space="preserve"> </w:t>
      </w:r>
      <w:proofErr w:type="gramStart"/>
      <w:r w:rsidRPr="00B11999">
        <w:rPr>
          <w:rFonts w:cs="Times New Roman"/>
          <w:i/>
          <w:lang w:val="en-US"/>
        </w:rPr>
        <w:t>Enhancing aquaculture production for food security and rural development through improved feed value chain, production and use</w:t>
      </w:r>
      <w:r w:rsidRPr="00B11999">
        <w:rPr>
          <w:rFonts w:cs="Times New Roman"/>
          <w:lang w:val="en-US"/>
        </w:rPr>
        <w:t xml:space="preserve"> (TCP/KYR/3502).</w:t>
      </w:r>
      <w:proofErr w:type="gramEnd"/>
    </w:p>
  </w:footnote>
  <w:footnote w:id="3">
    <w:p w:rsidR="00104DBB" w:rsidRPr="00B11999" w:rsidRDefault="00104DBB" w:rsidP="00104DBB">
      <w:pPr>
        <w:pStyle w:val="FootnoteText"/>
        <w:ind w:left="142" w:hanging="142"/>
        <w:jc w:val="both"/>
        <w:rPr>
          <w:rFonts w:cs="Times New Roman"/>
          <w:lang w:val="en-US"/>
        </w:rPr>
      </w:pPr>
      <w:r w:rsidRPr="00B11999">
        <w:rPr>
          <w:rStyle w:val="FootnoteReference"/>
          <w:rFonts w:ascii="Times New Roman" w:hAnsi="Times New Roman" w:cs="Times New Roman"/>
          <w:sz w:val="20"/>
          <w:szCs w:val="20"/>
        </w:rPr>
        <w:footnoteRef/>
      </w:r>
      <w:r w:rsidRPr="00B11999">
        <w:rPr>
          <w:rFonts w:cs="Times New Roman"/>
          <w:lang w:val="en-US"/>
        </w:rPr>
        <w:t xml:space="preserve"> </w:t>
      </w:r>
      <w:proofErr w:type="gramStart"/>
      <w:r w:rsidRPr="00B11999">
        <w:rPr>
          <w:rFonts w:cs="Times New Roman"/>
          <w:i/>
          <w:lang w:val="en-US"/>
        </w:rPr>
        <w:t xml:space="preserve">Improving seabass </w:t>
      </w:r>
      <w:r w:rsidRPr="00B11999">
        <w:rPr>
          <w:rFonts w:cs="Times New Roman"/>
          <w:lang w:val="en-US"/>
        </w:rPr>
        <w:t xml:space="preserve">(Lates calcarifer) </w:t>
      </w:r>
      <w:r w:rsidRPr="00B11999">
        <w:rPr>
          <w:rFonts w:cs="Times New Roman"/>
          <w:i/>
          <w:lang w:val="en-US"/>
        </w:rPr>
        <w:t>aquaculture in Sri Lanka through better feed and health management</w:t>
      </w:r>
      <w:r w:rsidRPr="00B11999">
        <w:rPr>
          <w:rFonts w:cs="Times New Roman"/>
          <w:lang w:val="en-US"/>
        </w:rPr>
        <w:t xml:space="preserve"> (TCP/SLR/3502).</w:t>
      </w:r>
      <w:proofErr w:type="gramEnd"/>
    </w:p>
  </w:footnote>
  <w:footnote w:id="4">
    <w:p w:rsidR="00104DBB" w:rsidRPr="00B11999" w:rsidRDefault="00104DBB" w:rsidP="00104DBB">
      <w:pPr>
        <w:pStyle w:val="FootnoteText"/>
        <w:rPr>
          <w:rFonts w:cs="Times New Roman"/>
          <w:lang w:val="en-US"/>
        </w:rPr>
      </w:pPr>
      <w:r w:rsidRPr="00B11999">
        <w:rPr>
          <w:rStyle w:val="FootnoteReference"/>
          <w:rFonts w:ascii="Times New Roman" w:hAnsi="Times New Roman" w:cs="Times New Roman"/>
          <w:sz w:val="20"/>
          <w:szCs w:val="20"/>
        </w:rPr>
        <w:footnoteRef/>
      </w:r>
      <w:r w:rsidRPr="00B11999">
        <w:rPr>
          <w:rFonts w:cs="Times New Roman"/>
          <w:lang w:val="en-US"/>
        </w:rPr>
        <w:t xml:space="preserve"> </w:t>
      </w:r>
      <w:proofErr w:type="gramStart"/>
      <w:r w:rsidRPr="00B11999">
        <w:rPr>
          <w:rFonts w:cs="Times New Roman"/>
          <w:i/>
          <w:lang w:val="en-US"/>
        </w:rPr>
        <w:t>Towards sustainable aquaculture and fisheries development in the Kyrgyz Republic</w:t>
      </w:r>
      <w:r w:rsidRPr="00B11999">
        <w:rPr>
          <w:rFonts w:cs="Times New Roman"/>
          <w:lang w:val="en-US"/>
        </w:rPr>
        <w:t xml:space="preserve"> (GCP/KYR/012/FIN).</w:t>
      </w:r>
      <w:proofErr w:type="gramEnd"/>
    </w:p>
  </w:footnote>
  <w:footnote w:id="5">
    <w:p w:rsidR="00104DBB" w:rsidRPr="00B11999" w:rsidRDefault="00104DBB" w:rsidP="00104DBB">
      <w:pPr>
        <w:pStyle w:val="FootnoteText"/>
        <w:ind w:left="142" w:hanging="142"/>
        <w:jc w:val="both"/>
        <w:rPr>
          <w:rFonts w:cs="Times New Roman"/>
          <w:lang w:val="es-ES_tradnl"/>
        </w:rPr>
      </w:pPr>
      <w:r w:rsidRPr="00B11999">
        <w:rPr>
          <w:rStyle w:val="FootnoteReference"/>
          <w:rFonts w:ascii="Times New Roman" w:hAnsi="Times New Roman" w:cs="Times New Roman"/>
          <w:sz w:val="20"/>
          <w:szCs w:val="20"/>
        </w:rPr>
        <w:footnoteRef/>
      </w:r>
      <w:r w:rsidRPr="00B11999">
        <w:rPr>
          <w:rFonts w:cs="Times New Roman"/>
          <w:lang w:val="en-US"/>
        </w:rPr>
        <w:t xml:space="preserve"> </w:t>
      </w:r>
      <w:proofErr w:type="gramStart"/>
      <w:r w:rsidRPr="00B11999">
        <w:rPr>
          <w:rFonts w:cs="Times New Roman"/>
          <w:lang w:val="en-US"/>
        </w:rPr>
        <w:t>Somerville, C., Cohen, M., Pantanella, E., Stankus, A. y Lovatelli, A. 2014.</w:t>
      </w:r>
      <w:proofErr w:type="gramEnd"/>
      <w:r w:rsidRPr="00B11999">
        <w:rPr>
          <w:rFonts w:cs="Times New Roman"/>
          <w:lang w:val="en-US"/>
        </w:rPr>
        <w:t xml:space="preserve"> </w:t>
      </w:r>
      <w:proofErr w:type="gramStart"/>
      <w:r w:rsidRPr="00B11999">
        <w:rPr>
          <w:rFonts w:cs="Times New Roman"/>
          <w:i/>
          <w:lang w:val="en-US"/>
        </w:rPr>
        <w:t>Small-scale aquaponic food production.</w:t>
      </w:r>
      <w:proofErr w:type="gramEnd"/>
      <w:r w:rsidRPr="00B11999">
        <w:rPr>
          <w:rFonts w:cs="Times New Roman"/>
          <w:i/>
          <w:lang w:val="en-US"/>
        </w:rPr>
        <w:t xml:space="preserve"> </w:t>
      </w:r>
      <w:proofErr w:type="spellStart"/>
      <w:r w:rsidRPr="00B11999">
        <w:rPr>
          <w:rFonts w:cs="Times New Roman"/>
          <w:i/>
        </w:rPr>
        <w:t>Integrated</w:t>
      </w:r>
      <w:proofErr w:type="spellEnd"/>
      <w:r w:rsidRPr="00B11999">
        <w:rPr>
          <w:rFonts w:cs="Times New Roman"/>
          <w:i/>
        </w:rPr>
        <w:t xml:space="preserve"> </w:t>
      </w:r>
      <w:proofErr w:type="spellStart"/>
      <w:r w:rsidRPr="00B11999">
        <w:rPr>
          <w:rFonts w:cs="Times New Roman"/>
          <w:i/>
        </w:rPr>
        <w:t>fish</w:t>
      </w:r>
      <w:proofErr w:type="spellEnd"/>
      <w:r w:rsidRPr="00B11999">
        <w:rPr>
          <w:rFonts w:cs="Times New Roman"/>
          <w:i/>
        </w:rPr>
        <w:t xml:space="preserve"> and </w:t>
      </w:r>
      <w:proofErr w:type="spellStart"/>
      <w:r w:rsidRPr="00B11999">
        <w:rPr>
          <w:rFonts w:cs="Times New Roman"/>
          <w:i/>
        </w:rPr>
        <w:t>plant</w:t>
      </w:r>
      <w:proofErr w:type="spellEnd"/>
      <w:r w:rsidRPr="00B11999">
        <w:rPr>
          <w:rFonts w:cs="Times New Roman"/>
          <w:i/>
        </w:rPr>
        <w:t xml:space="preserve"> </w:t>
      </w:r>
      <w:proofErr w:type="spellStart"/>
      <w:r w:rsidRPr="00B11999">
        <w:rPr>
          <w:rFonts w:cs="Times New Roman"/>
          <w:i/>
        </w:rPr>
        <w:t>farming</w:t>
      </w:r>
      <w:proofErr w:type="spellEnd"/>
      <w:r w:rsidRPr="00B11999">
        <w:rPr>
          <w:rFonts w:cs="Times New Roman"/>
        </w:rPr>
        <w:t>. Documento Técnico de Pe</w:t>
      </w:r>
      <w:r w:rsidR="00D63C54">
        <w:rPr>
          <w:rFonts w:cs="Times New Roman"/>
        </w:rPr>
        <w:t>sca y Acuicultura de la FAO n</w:t>
      </w:r>
      <w:proofErr w:type="gramStart"/>
      <w:r w:rsidR="00D63C54">
        <w:rPr>
          <w:rFonts w:cs="Times New Roman"/>
        </w:rPr>
        <w:t>.º</w:t>
      </w:r>
      <w:proofErr w:type="gramEnd"/>
      <w:r w:rsidR="00D63C54">
        <w:rPr>
          <w:rFonts w:cs="Times New Roman"/>
        </w:rPr>
        <w:t> </w:t>
      </w:r>
      <w:r w:rsidRPr="00B11999">
        <w:rPr>
          <w:rFonts w:cs="Times New Roman"/>
        </w:rPr>
        <w:t>589 Roma, FAO. 262 págs.</w:t>
      </w:r>
    </w:p>
  </w:footnote>
  <w:footnote w:id="6">
    <w:p w:rsidR="00104DBB" w:rsidRPr="00E77EBA" w:rsidRDefault="00104DBB" w:rsidP="00104DBB">
      <w:pPr>
        <w:pStyle w:val="FootnoteText"/>
        <w:rPr>
          <w:rFonts w:cs="Times New Roman"/>
          <w:lang w:val="es-ES_tradnl"/>
        </w:rPr>
      </w:pPr>
      <w:r w:rsidRPr="00E77EBA">
        <w:rPr>
          <w:rStyle w:val="FootnoteReference"/>
          <w:rFonts w:ascii="Times New Roman" w:hAnsi="Times New Roman" w:cs="Times New Roman"/>
          <w:sz w:val="20"/>
          <w:szCs w:val="20"/>
        </w:rPr>
        <w:footnoteRef/>
      </w:r>
      <w:r w:rsidRPr="00E77EBA">
        <w:rPr>
          <w:rFonts w:cs="Times New Roman"/>
        </w:rPr>
        <w:t xml:space="preserve"> Agencia </w:t>
      </w:r>
      <w:proofErr w:type="gramStart"/>
      <w:r w:rsidRPr="00E77EBA">
        <w:rPr>
          <w:rFonts w:cs="Times New Roman"/>
        </w:rPr>
        <w:t>Sueca</w:t>
      </w:r>
      <w:proofErr w:type="gramEnd"/>
      <w:r w:rsidRPr="00E77EBA">
        <w:rPr>
          <w:rFonts w:cs="Times New Roman"/>
        </w:rPr>
        <w:t xml:space="preserve"> de Cooperación Internacional para el Desarrollo (ASDI).</w:t>
      </w:r>
    </w:p>
  </w:footnote>
  <w:footnote w:id="7">
    <w:p w:rsidR="00104DBB" w:rsidRPr="0092676C" w:rsidRDefault="00104DBB" w:rsidP="00104DBB">
      <w:pPr>
        <w:pStyle w:val="FootnoteText"/>
        <w:rPr>
          <w:lang w:val="es-ES_tradnl"/>
        </w:rPr>
      </w:pPr>
      <w:r w:rsidRPr="00C379C7">
        <w:rPr>
          <w:rStyle w:val="FootnoteReference"/>
          <w:rFonts w:ascii="Times New Roman" w:hAnsi="Times New Roman" w:cs="Times New Roman"/>
          <w:sz w:val="20"/>
          <w:szCs w:val="20"/>
        </w:rPr>
        <w:footnoteRef/>
      </w:r>
      <w:r w:rsidR="00C379C7" w:rsidRPr="00C379C7">
        <w:rPr>
          <w:rFonts w:cs="Times New Roman"/>
        </w:rPr>
        <w:t xml:space="preserve"> </w:t>
      </w:r>
      <w:r>
        <w:t>https://gfcmsitestorage.blob.core.windows.net/documents/CAQ/2014/RegionalAquacultureConference/Final_</w:t>
      </w:r>
      <w:r w:rsidR="00C379C7">
        <w:br/>
      </w:r>
      <w:r>
        <w:t>conclusions_Bari_e-f.pdf</w:t>
      </w:r>
      <w:r w:rsidR="00C379C7">
        <w:t>.</w:t>
      </w:r>
    </w:p>
  </w:footnote>
  <w:footnote w:id="8">
    <w:p w:rsidR="00104DBB" w:rsidRPr="00FC368C" w:rsidRDefault="00104DBB" w:rsidP="00104DBB">
      <w:pPr>
        <w:pStyle w:val="FootnoteText"/>
        <w:ind w:left="142" w:hanging="142"/>
        <w:rPr>
          <w:rFonts w:cs="Times New Roman"/>
        </w:rPr>
      </w:pPr>
      <w:r w:rsidRPr="00FC368C">
        <w:rPr>
          <w:rStyle w:val="FootnoteReference"/>
          <w:rFonts w:ascii="Times New Roman" w:hAnsi="Times New Roman" w:cs="Times New Roman"/>
          <w:sz w:val="20"/>
          <w:szCs w:val="20"/>
        </w:rPr>
        <w:footnoteRef/>
      </w:r>
      <w:r w:rsidR="009C5A6A" w:rsidRPr="00FC368C">
        <w:rPr>
          <w:rFonts w:cs="Times New Roman"/>
        </w:rPr>
        <w:t xml:space="preserve"> </w:t>
      </w:r>
      <w:r w:rsidRPr="00FC368C">
        <w:rPr>
          <w:rFonts w:cs="Times New Roman"/>
        </w:rPr>
        <w:t xml:space="preserve">Comunicado de prensa. </w:t>
      </w:r>
      <w:r w:rsidRPr="00FC368C">
        <w:rPr>
          <w:rFonts w:cs="Times New Roman"/>
          <w:i/>
        </w:rPr>
        <w:t xml:space="preserve">Angola </w:t>
      </w:r>
      <w:proofErr w:type="spellStart"/>
      <w:r w:rsidRPr="00FC368C">
        <w:rPr>
          <w:rFonts w:cs="Times New Roman"/>
          <w:i/>
        </w:rPr>
        <w:t>committed</w:t>
      </w:r>
      <w:proofErr w:type="spellEnd"/>
      <w:r w:rsidRPr="00FC368C">
        <w:rPr>
          <w:rFonts w:cs="Times New Roman"/>
          <w:i/>
        </w:rPr>
        <w:t xml:space="preserve"> to </w:t>
      </w:r>
      <w:proofErr w:type="spellStart"/>
      <w:r w:rsidRPr="00FC368C">
        <w:rPr>
          <w:rFonts w:cs="Times New Roman"/>
          <w:i/>
        </w:rPr>
        <w:t>growing</w:t>
      </w:r>
      <w:proofErr w:type="spellEnd"/>
      <w:r w:rsidRPr="00FC368C">
        <w:rPr>
          <w:rFonts w:cs="Times New Roman"/>
          <w:i/>
        </w:rPr>
        <w:t xml:space="preserve"> </w:t>
      </w:r>
      <w:proofErr w:type="spellStart"/>
      <w:r w:rsidRPr="00FC368C">
        <w:rPr>
          <w:rFonts w:cs="Times New Roman"/>
          <w:i/>
        </w:rPr>
        <w:t>sustainable</w:t>
      </w:r>
      <w:proofErr w:type="spellEnd"/>
      <w:r w:rsidRPr="00FC368C">
        <w:rPr>
          <w:rFonts w:cs="Times New Roman"/>
          <w:i/>
        </w:rPr>
        <w:t xml:space="preserve"> </w:t>
      </w:r>
      <w:proofErr w:type="spellStart"/>
      <w:r w:rsidRPr="00FC368C">
        <w:rPr>
          <w:rFonts w:cs="Times New Roman"/>
          <w:i/>
        </w:rPr>
        <w:t>aquaculture</w:t>
      </w:r>
      <w:proofErr w:type="spellEnd"/>
      <w:r w:rsidRPr="00FC368C">
        <w:rPr>
          <w:rFonts w:cs="Times New Roman"/>
        </w:rPr>
        <w:t>. (Disponible en inglés en www.fao.org/africa/news/detail-news/en/c/270410).</w:t>
      </w:r>
    </w:p>
  </w:footnote>
  <w:footnote w:id="9">
    <w:p w:rsidR="00104DBB" w:rsidRPr="00FC368C" w:rsidRDefault="00104DBB" w:rsidP="00104DBB">
      <w:pPr>
        <w:pStyle w:val="FootnoteText"/>
        <w:ind w:left="142" w:hanging="142"/>
        <w:rPr>
          <w:rFonts w:cs="Times New Roman"/>
          <w:lang w:val="es-ES_tradnl"/>
        </w:rPr>
      </w:pPr>
      <w:r w:rsidRPr="00FC368C">
        <w:rPr>
          <w:rStyle w:val="FootnoteReference"/>
          <w:rFonts w:ascii="Times New Roman" w:hAnsi="Times New Roman" w:cs="Times New Roman"/>
          <w:sz w:val="20"/>
          <w:szCs w:val="20"/>
        </w:rPr>
        <w:footnoteRef/>
      </w:r>
      <w:r w:rsidR="009C5A6A" w:rsidRPr="00FC368C">
        <w:rPr>
          <w:rFonts w:cs="Times New Roman"/>
        </w:rPr>
        <w:t xml:space="preserve"> </w:t>
      </w:r>
      <w:r w:rsidRPr="00FC368C">
        <w:rPr>
          <w:rFonts w:cs="Times New Roman"/>
        </w:rPr>
        <w:t xml:space="preserve">El proyecto de Arabia Saudita es una continuación del trabajo de la COREPESCA sobre planificación espacial. </w:t>
      </w:r>
      <w:r w:rsidRPr="00FC368C">
        <w:rPr>
          <w:rFonts w:cs="Times New Roman"/>
          <w:lang w:val="en-US"/>
        </w:rPr>
        <w:t xml:space="preserve">FAO/Comisión Regional de Pesca. 2013. </w:t>
      </w:r>
      <w:r w:rsidRPr="00FC368C">
        <w:rPr>
          <w:rFonts w:cs="Times New Roman"/>
          <w:i/>
          <w:lang w:val="en-US"/>
        </w:rPr>
        <w:t xml:space="preserve">Report of the Regional Technical Workshop on a Spatial Planning Development Programme for Marine Capture Fisheries and Aquaculture. </w:t>
      </w:r>
      <w:r w:rsidRPr="00FC368C">
        <w:rPr>
          <w:rFonts w:cs="Times New Roman"/>
          <w:i/>
        </w:rPr>
        <w:t>Cairo,</w:t>
      </w:r>
      <w:r w:rsidR="00EA42E2">
        <w:rPr>
          <w:rFonts w:cs="Times New Roman"/>
          <w:i/>
        </w:rPr>
        <w:t xml:space="preserve"> </w:t>
      </w:r>
      <w:proofErr w:type="spellStart"/>
      <w:r w:rsidR="00EA42E2">
        <w:rPr>
          <w:rFonts w:cs="Times New Roman"/>
          <w:i/>
        </w:rPr>
        <w:t>the</w:t>
      </w:r>
      <w:proofErr w:type="spellEnd"/>
      <w:r w:rsidR="00EA42E2">
        <w:rPr>
          <w:rFonts w:cs="Times New Roman"/>
          <w:i/>
        </w:rPr>
        <w:t xml:space="preserve"> </w:t>
      </w:r>
      <w:proofErr w:type="spellStart"/>
      <w:r w:rsidR="00EA42E2">
        <w:rPr>
          <w:rFonts w:cs="Times New Roman"/>
          <w:i/>
        </w:rPr>
        <w:t>Arab</w:t>
      </w:r>
      <w:proofErr w:type="spellEnd"/>
      <w:r w:rsidR="00EA42E2">
        <w:rPr>
          <w:rFonts w:cs="Times New Roman"/>
          <w:i/>
        </w:rPr>
        <w:t xml:space="preserve"> </w:t>
      </w:r>
      <w:proofErr w:type="spellStart"/>
      <w:r w:rsidR="00EA42E2">
        <w:rPr>
          <w:rFonts w:cs="Times New Roman"/>
          <w:i/>
        </w:rPr>
        <w:t>Republic</w:t>
      </w:r>
      <w:proofErr w:type="spellEnd"/>
      <w:r w:rsidR="00EA42E2">
        <w:rPr>
          <w:rFonts w:cs="Times New Roman"/>
          <w:i/>
        </w:rPr>
        <w:t xml:space="preserve"> of </w:t>
      </w:r>
      <w:proofErr w:type="spellStart"/>
      <w:r w:rsidR="00EA42E2">
        <w:rPr>
          <w:rFonts w:cs="Times New Roman"/>
          <w:i/>
        </w:rPr>
        <w:t>Egypt</w:t>
      </w:r>
      <w:proofErr w:type="spellEnd"/>
      <w:r w:rsidR="00EA42E2">
        <w:rPr>
          <w:rFonts w:cs="Times New Roman"/>
          <w:i/>
        </w:rPr>
        <w:t>, 25-</w:t>
      </w:r>
      <w:r w:rsidRPr="00FC368C">
        <w:rPr>
          <w:rFonts w:cs="Times New Roman"/>
          <w:i/>
        </w:rPr>
        <w:t xml:space="preserve">27 </w:t>
      </w:r>
      <w:proofErr w:type="spellStart"/>
      <w:r w:rsidRPr="00FC368C">
        <w:rPr>
          <w:rFonts w:cs="Times New Roman"/>
          <w:i/>
        </w:rPr>
        <w:t>November</w:t>
      </w:r>
      <w:proofErr w:type="spellEnd"/>
      <w:r w:rsidRPr="00FC368C">
        <w:rPr>
          <w:rFonts w:cs="Times New Roman"/>
          <w:i/>
        </w:rPr>
        <w:t xml:space="preserve"> 2012</w:t>
      </w:r>
      <w:r w:rsidRPr="00FC368C">
        <w:rPr>
          <w:rFonts w:cs="Times New Roman"/>
        </w:rPr>
        <w:t>. Informe de Pe</w:t>
      </w:r>
      <w:bookmarkStart w:id="2" w:name="_GoBack"/>
      <w:bookmarkEnd w:id="2"/>
      <w:r w:rsidRPr="00FC368C">
        <w:rPr>
          <w:rFonts w:cs="Times New Roman"/>
        </w:rPr>
        <w:t>sca y Acuicultura de la FAO n</w:t>
      </w:r>
      <w:proofErr w:type="gramStart"/>
      <w:r w:rsidRPr="00FC368C">
        <w:rPr>
          <w:rFonts w:cs="Times New Roman"/>
        </w:rPr>
        <w:t>.º</w:t>
      </w:r>
      <w:proofErr w:type="gramEnd"/>
      <w:r w:rsidRPr="00FC368C">
        <w:rPr>
          <w:rFonts w:cs="Times New Roman"/>
        </w:rPr>
        <w:t xml:space="preserve"> 1039 Roma, FAO. 127 págs.</w:t>
      </w:r>
    </w:p>
  </w:footnote>
  <w:footnote w:id="10">
    <w:p w:rsidR="00104DBB" w:rsidRPr="00FC368C" w:rsidRDefault="00104DBB" w:rsidP="00FC368C">
      <w:pPr>
        <w:pStyle w:val="FootnoteText"/>
        <w:ind w:left="142" w:hanging="142"/>
        <w:rPr>
          <w:rFonts w:cs="Times New Roman"/>
        </w:rPr>
      </w:pPr>
      <w:r w:rsidRPr="00FC368C">
        <w:rPr>
          <w:rStyle w:val="FootnoteReference"/>
          <w:rFonts w:ascii="Times New Roman" w:hAnsi="Times New Roman" w:cs="Times New Roman"/>
          <w:sz w:val="20"/>
          <w:szCs w:val="20"/>
        </w:rPr>
        <w:footnoteRef/>
      </w:r>
      <w:r w:rsidRPr="00FC368C">
        <w:rPr>
          <w:rFonts w:cs="Times New Roman"/>
        </w:rPr>
        <w:t xml:space="preserve"> Un buen punto de inicio para el inventario espacial de la acuicultura con atributos que incluyan la especie, el sistema de cultivo y la producción es la colección de mapas de la Visión general del sec</w:t>
      </w:r>
      <w:r w:rsidR="00FC368C">
        <w:rPr>
          <w:rFonts w:cs="Times New Roman"/>
        </w:rPr>
        <w:t xml:space="preserve">tor acuícola nacional de la FAO </w:t>
      </w:r>
      <w:r w:rsidRPr="00FC368C">
        <w:rPr>
          <w:rFonts w:cs="Times New Roman"/>
        </w:rPr>
        <w:t>(www.fao.org/fishery/naso-maps/naso-home/es/).</w:t>
      </w:r>
    </w:p>
  </w:footnote>
  <w:footnote w:id="11">
    <w:p w:rsidR="00104DBB" w:rsidRPr="00FC368C" w:rsidRDefault="00104DBB" w:rsidP="00104DBB">
      <w:pPr>
        <w:pStyle w:val="FootnoteText"/>
        <w:ind w:left="142" w:hanging="142"/>
        <w:rPr>
          <w:rFonts w:cs="Times New Roman"/>
        </w:rPr>
      </w:pPr>
      <w:r w:rsidRPr="00FC368C">
        <w:rPr>
          <w:rStyle w:val="FootnoteReference"/>
          <w:rFonts w:ascii="Times New Roman" w:hAnsi="Times New Roman" w:cs="Times New Roman"/>
          <w:sz w:val="20"/>
          <w:szCs w:val="20"/>
        </w:rPr>
        <w:footnoteRef/>
      </w:r>
      <w:r w:rsidR="009C5A6A" w:rsidRPr="00FC368C">
        <w:rPr>
          <w:rFonts w:cs="Times New Roman"/>
        </w:rPr>
        <w:t xml:space="preserve"> </w:t>
      </w:r>
      <w:r w:rsidRPr="00FC368C">
        <w:rPr>
          <w:rFonts w:cs="Times New Roman"/>
        </w:rPr>
        <w:t xml:space="preserve">Varios países han elaborado o están creando inventarios acuícolas; por ejemplo, Angola completó el suyo en 2015 como parte del proyecto </w:t>
      </w:r>
      <w:proofErr w:type="spellStart"/>
      <w:r w:rsidRPr="00FC368C">
        <w:rPr>
          <w:rFonts w:cs="Times New Roman"/>
          <w:i/>
        </w:rPr>
        <w:t>Spatial</w:t>
      </w:r>
      <w:proofErr w:type="spellEnd"/>
      <w:r w:rsidRPr="00FC368C">
        <w:rPr>
          <w:rFonts w:cs="Times New Roman"/>
          <w:i/>
        </w:rPr>
        <w:t xml:space="preserve"> </w:t>
      </w:r>
      <w:proofErr w:type="spellStart"/>
      <w:r w:rsidRPr="00FC368C">
        <w:rPr>
          <w:rFonts w:cs="Times New Roman"/>
          <w:i/>
        </w:rPr>
        <w:t>Planning</w:t>
      </w:r>
      <w:proofErr w:type="spellEnd"/>
      <w:r w:rsidRPr="00FC368C">
        <w:rPr>
          <w:rFonts w:cs="Times New Roman"/>
          <w:i/>
        </w:rPr>
        <w:t xml:space="preserve"> of </w:t>
      </w:r>
      <w:proofErr w:type="spellStart"/>
      <w:r w:rsidRPr="00FC368C">
        <w:rPr>
          <w:rFonts w:cs="Times New Roman"/>
          <w:i/>
        </w:rPr>
        <w:t>Aquaculture</w:t>
      </w:r>
      <w:proofErr w:type="spellEnd"/>
      <w:r w:rsidRPr="00FC368C">
        <w:rPr>
          <w:rFonts w:cs="Times New Roman"/>
          <w:i/>
        </w:rPr>
        <w:t xml:space="preserve"> </w:t>
      </w:r>
      <w:proofErr w:type="spellStart"/>
      <w:r w:rsidRPr="00FC368C">
        <w:rPr>
          <w:rFonts w:cs="Times New Roman"/>
          <w:i/>
        </w:rPr>
        <w:t>Zones</w:t>
      </w:r>
      <w:proofErr w:type="spellEnd"/>
      <w:r w:rsidRPr="00FC368C">
        <w:rPr>
          <w:rFonts w:cs="Times New Roman"/>
          <w:i/>
        </w:rPr>
        <w:t xml:space="preserve"> in </w:t>
      </w:r>
      <w:proofErr w:type="spellStart"/>
      <w:r w:rsidRPr="00FC368C">
        <w:rPr>
          <w:rFonts w:cs="Times New Roman"/>
          <w:i/>
        </w:rPr>
        <w:t>the</w:t>
      </w:r>
      <w:proofErr w:type="spellEnd"/>
      <w:r w:rsidRPr="00FC368C">
        <w:rPr>
          <w:rFonts w:cs="Times New Roman"/>
          <w:i/>
        </w:rPr>
        <w:t xml:space="preserve"> </w:t>
      </w:r>
      <w:proofErr w:type="spellStart"/>
      <w:r w:rsidRPr="00FC368C">
        <w:rPr>
          <w:rFonts w:cs="Times New Roman"/>
          <w:i/>
        </w:rPr>
        <w:t>Republic</w:t>
      </w:r>
      <w:proofErr w:type="spellEnd"/>
      <w:r w:rsidRPr="00FC368C">
        <w:rPr>
          <w:rFonts w:cs="Times New Roman"/>
          <w:i/>
        </w:rPr>
        <w:t xml:space="preserve"> of Angola</w:t>
      </w:r>
      <w:r w:rsidRPr="00FC368C">
        <w:rPr>
          <w:rFonts w:cs="Times New Roman"/>
        </w:rPr>
        <w:t>. Durante la sexta reunión del Grupo de Trabajo sobre Acuicultura, que se celebró en Omán en 2014, los centros de coordinación del Grupo acordaron preparar mapas de la Visión general del sector acuícola nacional para sus países respectivos (UTF/ANG/051/ANG).</w:t>
      </w:r>
    </w:p>
  </w:footnote>
  <w:footnote w:id="12">
    <w:p w:rsidR="00104DBB" w:rsidRPr="00FC368C" w:rsidRDefault="00104DBB" w:rsidP="00104DBB">
      <w:pPr>
        <w:pStyle w:val="FootnoteText"/>
        <w:ind w:left="142" w:hanging="142"/>
        <w:rPr>
          <w:rFonts w:cs="Times New Roman"/>
          <w:lang w:val="es-ES_tradnl"/>
        </w:rPr>
      </w:pPr>
      <w:r w:rsidRPr="00FC368C">
        <w:rPr>
          <w:rStyle w:val="FootnoteReference"/>
          <w:rFonts w:ascii="Times New Roman" w:hAnsi="Times New Roman" w:cs="Times New Roman"/>
          <w:sz w:val="20"/>
          <w:szCs w:val="20"/>
        </w:rPr>
        <w:footnoteRef/>
      </w:r>
      <w:r w:rsidRPr="00FC368C">
        <w:rPr>
          <w:rFonts w:cs="Times New Roman"/>
          <w:lang w:val="en-US"/>
        </w:rPr>
        <w:t xml:space="preserve"> </w:t>
      </w:r>
      <w:proofErr w:type="gramStart"/>
      <w:r w:rsidRPr="00FC368C">
        <w:rPr>
          <w:rFonts w:cs="Times New Roman"/>
          <w:lang w:val="en-US"/>
        </w:rPr>
        <w:t>Kapetsky, J.M., Aguilar-Manjarrez, J. &amp; Jenness, J. 2013.</w:t>
      </w:r>
      <w:proofErr w:type="gramEnd"/>
      <w:r w:rsidRPr="00FC368C">
        <w:rPr>
          <w:rFonts w:cs="Times New Roman"/>
          <w:lang w:val="en-US"/>
        </w:rPr>
        <w:t xml:space="preserve"> </w:t>
      </w:r>
      <w:proofErr w:type="gramStart"/>
      <w:r w:rsidRPr="00FC368C">
        <w:rPr>
          <w:rFonts w:cs="Times New Roman"/>
          <w:i/>
          <w:lang w:val="en-US"/>
        </w:rPr>
        <w:t>A global assessment of potential for offshore mariculture development from a spatial perspective</w:t>
      </w:r>
      <w:r w:rsidRPr="00FC368C">
        <w:rPr>
          <w:rFonts w:cs="Times New Roman"/>
          <w:lang w:val="en-US"/>
        </w:rPr>
        <w:t>.</w:t>
      </w:r>
      <w:proofErr w:type="gramEnd"/>
      <w:r w:rsidRPr="00FC368C">
        <w:rPr>
          <w:rFonts w:cs="Times New Roman"/>
          <w:lang w:val="en-US"/>
        </w:rPr>
        <w:t xml:space="preserve"> </w:t>
      </w:r>
      <w:r w:rsidRPr="00FC368C">
        <w:rPr>
          <w:rFonts w:cs="Times New Roman"/>
        </w:rPr>
        <w:t>Documento Técnico de Pe</w:t>
      </w:r>
      <w:r w:rsidR="00FC368C">
        <w:rPr>
          <w:rFonts w:cs="Times New Roman"/>
        </w:rPr>
        <w:t>sca y Acuicultura de la FAO n</w:t>
      </w:r>
      <w:proofErr w:type="gramStart"/>
      <w:r w:rsidR="00FC368C">
        <w:rPr>
          <w:rFonts w:cs="Times New Roman"/>
        </w:rPr>
        <w:t>.º</w:t>
      </w:r>
      <w:proofErr w:type="gramEnd"/>
      <w:r w:rsidR="00FC368C">
        <w:rPr>
          <w:rFonts w:cs="Times New Roman"/>
        </w:rPr>
        <w:t> </w:t>
      </w:r>
      <w:r w:rsidRPr="00FC368C">
        <w:rPr>
          <w:rFonts w:cs="Times New Roman"/>
        </w:rPr>
        <w:t>549 Roma, FAO. 181 págs.</w:t>
      </w:r>
    </w:p>
  </w:footnote>
  <w:footnote w:id="13">
    <w:p w:rsidR="00104DBB" w:rsidRPr="007B4FB6" w:rsidRDefault="00104DBB" w:rsidP="00104DBB">
      <w:pPr>
        <w:pStyle w:val="FootnoteText"/>
        <w:ind w:left="142" w:hanging="142"/>
        <w:rPr>
          <w:rFonts w:cs="Times New Roman"/>
          <w:lang w:val="en-US"/>
        </w:rPr>
      </w:pPr>
      <w:r w:rsidRPr="007B4FB6">
        <w:rPr>
          <w:rStyle w:val="FootnoteReference"/>
          <w:rFonts w:ascii="Times New Roman" w:hAnsi="Times New Roman" w:cs="Times New Roman"/>
          <w:sz w:val="20"/>
          <w:szCs w:val="20"/>
        </w:rPr>
        <w:footnoteRef/>
      </w:r>
      <w:r w:rsidRPr="007B4FB6">
        <w:rPr>
          <w:rFonts w:cs="Times New Roman"/>
          <w:lang w:val="en-US"/>
        </w:rPr>
        <w:t xml:space="preserve"> </w:t>
      </w:r>
      <w:proofErr w:type="spellStart"/>
      <w:r w:rsidRPr="007B4FB6">
        <w:rPr>
          <w:rFonts w:cs="Times New Roman"/>
          <w:lang w:val="en-US"/>
        </w:rPr>
        <w:t>Thilsted</w:t>
      </w:r>
      <w:proofErr w:type="spellEnd"/>
      <w:r w:rsidRPr="007B4FB6">
        <w:rPr>
          <w:rFonts w:cs="Times New Roman"/>
          <w:lang w:val="en-US"/>
        </w:rPr>
        <w:t xml:space="preserve">, S.H., James, D., Toppe, J., Subasinghe, R.P. y Karunasagar, I. 2014. </w:t>
      </w:r>
      <w:proofErr w:type="gramStart"/>
      <w:r w:rsidRPr="007B4FB6">
        <w:rPr>
          <w:rFonts w:cs="Times New Roman"/>
          <w:i/>
          <w:lang w:val="en-US"/>
        </w:rPr>
        <w:t>Maximizing the contribution of fish to human nutrition</w:t>
      </w:r>
      <w:r w:rsidRPr="007B4FB6">
        <w:rPr>
          <w:rFonts w:cs="Times New Roman"/>
          <w:lang w:val="en-US"/>
        </w:rPr>
        <w:t>.</w:t>
      </w:r>
      <w:proofErr w:type="gramEnd"/>
      <w:r w:rsidRPr="007B4FB6">
        <w:rPr>
          <w:rFonts w:cs="Times New Roman"/>
          <w:lang w:val="en-US"/>
        </w:rPr>
        <w:t xml:space="preserve"> </w:t>
      </w:r>
      <w:proofErr w:type="gramStart"/>
      <w:r w:rsidRPr="007B4FB6">
        <w:rPr>
          <w:rFonts w:cs="Times New Roman"/>
          <w:lang w:val="en-US"/>
        </w:rPr>
        <w:t>Conferencia Internacional sobre Nutrición 2014 (Disponible en inglés en www.fao.org/3/a-i3963e.pdf).</w:t>
      </w:r>
      <w:proofErr w:type="gramEnd"/>
    </w:p>
  </w:footnote>
  <w:footnote w:id="14">
    <w:p w:rsidR="00104DBB" w:rsidRPr="007B4FB6" w:rsidRDefault="00104DBB" w:rsidP="00104DBB">
      <w:pPr>
        <w:pStyle w:val="FootnoteText"/>
        <w:ind w:left="142" w:hanging="142"/>
        <w:rPr>
          <w:rFonts w:cs="Times New Roman"/>
          <w:lang w:val="es-ES_tradnl"/>
        </w:rPr>
      </w:pPr>
      <w:r w:rsidRPr="007B4FB6">
        <w:rPr>
          <w:rStyle w:val="FootnoteReference"/>
          <w:rFonts w:ascii="Times New Roman" w:hAnsi="Times New Roman" w:cs="Times New Roman"/>
          <w:sz w:val="20"/>
          <w:szCs w:val="20"/>
        </w:rPr>
        <w:footnoteRef/>
      </w:r>
      <w:r w:rsidRPr="007B4FB6">
        <w:rPr>
          <w:rFonts w:cs="Times New Roman"/>
        </w:rPr>
        <w:t xml:space="preserve"> Comunicado de prensa. </w:t>
      </w:r>
      <w:r w:rsidRPr="007B4FB6">
        <w:rPr>
          <w:rFonts w:cs="Times New Roman"/>
          <w:i/>
        </w:rPr>
        <w:t>El rápido desarrollo de la acuicultura impulsa el aporte de micronutrientes del pescado</w:t>
      </w:r>
      <w:r w:rsidRPr="007B4FB6">
        <w:rPr>
          <w:rFonts w:cs="Times New Roman"/>
        </w:rPr>
        <w:t>. (Disponible en http://www.fao.org/news/story/es/item/265831/icode/).</w:t>
      </w:r>
    </w:p>
  </w:footnote>
  <w:footnote w:id="15">
    <w:p w:rsidR="00104DBB" w:rsidRPr="007B4FB6" w:rsidRDefault="00104DBB" w:rsidP="00104DBB">
      <w:pPr>
        <w:pStyle w:val="FootnoteText"/>
        <w:ind w:left="142" w:hanging="142"/>
        <w:rPr>
          <w:rFonts w:cs="Times New Roman"/>
        </w:rPr>
      </w:pPr>
      <w:r w:rsidRPr="007B4FB6">
        <w:rPr>
          <w:rStyle w:val="FootnoteReference"/>
          <w:rFonts w:ascii="Times New Roman" w:hAnsi="Times New Roman" w:cs="Times New Roman"/>
          <w:sz w:val="20"/>
          <w:szCs w:val="20"/>
        </w:rPr>
        <w:footnoteRef/>
      </w:r>
      <w:r w:rsidRPr="007B4FB6">
        <w:rPr>
          <w:rFonts w:cs="Times New Roman"/>
          <w:lang w:val="en-US"/>
        </w:rPr>
        <w:t xml:space="preserve"> Toppe, J. 2014. The right to food, fish and omega-3s: the nutritional benefits of fish are unique. </w:t>
      </w:r>
      <w:proofErr w:type="spellStart"/>
      <w:r w:rsidRPr="007B4FB6">
        <w:rPr>
          <w:rFonts w:cs="Times New Roman"/>
          <w:i/>
        </w:rPr>
        <w:t>Eurofish</w:t>
      </w:r>
      <w:proofErr w:type="spellEnd"/>
      <w:r w:rsidRPr="007B4FB6">
        <w:rPr>
          <w:rFonts w:cs="Times New Roman"/>
          <w:i/>
        </w:rPr>
        <w:t xml:space="preserve"> Magazine</w:t>
      </w:r>
      <w:r w:rsidR="006324DD">
        <w:rPr>
          <w:rFonts w:cs="Times New Roman"/>
        </w:rPr>
        <w:t>, págs. 44</w:t>
      </w:r>
      <w:r w:rsidR="00EA42E2">
        <w:rPr>
          <w:rFonts w:cs="Times New Roman"/>
        </w:rPr>
        <w:t xml:space="preserve"> y </w:t>
      </w:r>
      <w:r w:rsidRPr="007B4FB6">
        <w:rPr>
          <w:rFonts w:cs="Times New Roman"/>
        </w:rPr>
        <w:t>45.</w:t>
      </w:r>
    </w:p>
  </w:footnote>
  <w:footnote w:id="16">
    <w:p w:rsidR="00104DBB" w:rsidRPr="007B4FB6" w:rsidRDefault="00104DBB" w:rsidP="00104DBB">
      <w:pPr>
        <w:pStyle w:val="FootnoteText"/>
        <w:ind w:left="142" w:hanging="142"/>
        <w:rPr>
          <w:rFonts w:cs="Times New Roman"/>
          <w:color w:val="0000CC"/>
          <w:lang w:val="es-ES_tradnl"/>
        </w:rPr>
      </w:pPr>
      <w:r w:rsidRPr="007B4FB6">
        <w:rPr>
          <w:rStyle w:val="FootnoteReference"/>
          <w:rFonts w:ascii="Times New Roman" w:hAnsi="Times New Roman" w:cs="Times New Roman"/>
          <w:sz w:val="20"/>
          <w:szCs w:val="20"/>
        </w:rPr>
        <w:footnoteRef/>
      </w:r>
      <w:r w:rsidRPr="007B4FB6">
        <w:rPr>
          <w:rFonts w:cs="Times New Roman"/>
          <w:lang w:val="en-US"/>
        </w:rPr>
        <w:t xml:space="preserve"> </w:t>
      </w:r>
      <w:proofErr w:type="gramStart"/>
      <w:r w:rsidRPr="007B4FB6">
        <w:rPr>
          <w:rFonts w:cs="Times New Roman"/>
          <w:lang w:val="en-US"/>
        </w:rPr>
        <w:t>Toppe, J. &amp; Subasinghe R.P. 2014.</w:t>
      </w:r>
      <w:proofErr w:type="gramEnd"/>
      <w:r w:rsidRPr="007B4FB6">
        <w:rPr>
          <w:rFonts w:cs="Times New Roman"/>
          <w:lang w:val="en-US"/>
        </w:rPr>
        <w:t xml:space="preserve"> </w:t>
      </w:r>
      <w:r w:rsidRPr="007B4FB6">
        <w:rPr>
          <w:rFonts w:cs="Times New Roman"/>
        </w:rPr>
        <w:t xml:space="preserve">El papel de la acuicultura en la mejora de la nutrición: oportunidades y desafíos. </w:t>
      </w:r>
      <w:r w:rsidRPr="007B4FB6">
        <w:rPr>
          <w:rFonts w:cs="Times New Roman"/>
          <w:i/>
        </w:rPr>
        <w:t>El estado mundial de la pesca y la acuicultura</w:t>
      </w:r>
      <w:r w:rsidRPr="007B4FB6">
        <w:rPr>
          <w:rFonts w:cs="Times New Roman"/>
        </w:rPr>
        <w:t xml:space="preserve"> (SOFIA, 2014) Roma, FAO.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104DBB" w:rsidP="001D1596">
    <w:pPr>
      <w:pStyle w:val="Underlined"/>
      <w:tabs>
        <w:tab w:val="right" w:pos="9071"/>
      </w:tabs>
    </w:pPr>
    <w:r>
      <w:fldChar w:fldCharType="begin"/>
    </w:r>
    <w:r>
      <w:instrText xml:space="preserve"> PAGE  \* Arabic  \* MERGEFORMAT </w:instrText>
    </w:r>
    <w:r>
      <w:fldChar w:fldCharType="separate"/>
    </w:r>
    <w:r w:rsidR="00BA0EBA">
      <w:rPr>
        <w:noProof/>
      </w:rPr>
      <w:t>10</w:t>
    </w:r>
    <w:r>
      <w:rPr>
        <w:noProof/>
      </w:rPr>
      <w:fldChar w:fldCharType="end"/>
    </w:r>
    <w:r w:rsidR="001D1596">
      <w:rPr>
        <w:noProof/>
      </w:rPr>
      <w:tab/>
    </w:r>
    <w:r w:rsidR="001D1596">
      <w:t>COFI</w:t>
    </w:r>
    <w:proofErr w:type="gramStart"/>
    <w:r w:rsidR="001D1596">
      <w:t>:AQ</w:t>
    </w:r>
    <w:proofErr w:type="gramEnd"/>
    <w:r w:rsidR="001D1596">
      <w:t>/VIII/2015/2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104DBB" w:rsidP="001D1596">
    <w:pPr>
      <w:pStyle w:val="Underlined"/>
      <w:tabs>
        <w:tab w:val="right" w:pos="9071"/>
      </w:tabs>
    </w:pPr>
    <w:bookmarkStart w:id="3" w:name="OddIdentificationBookmark"/>
    <w:r>
      <w:t>COFI</w:t>
    </w:r>
    <w:proofErr w:type="gramStart"/>
    <w:r>
      <w:t>:AQ</w:t>
    </w:r>
    <w:proofErr w:type="gramEnd"/>
    <w:r>
      <w:t>/VIII/2015/2</w:t>
    </w:r>
    <w:bookmarkEnd w:id="3"/>
    <w:r w:rsidR="001D1596">
      <w:tab/>
    </w:r>
    <w:r w:rsidR="001D1596">
      <w:fldChar w:fldCharType="begin"/>
    </w:r>
    <w:r w:rsidR="001D1596">
      <w:instrText xml:space="preserve"> PAGE  \* Arabic  \* MERGEFORMAT </w:instrText>
    </w:r>
    <w:r w:rsidR="001D1596">
      <w:fldChar w:fldCharType="separate"/>
    </w:r>
    <w:r w:rsidR="00BA0EBA">
      <w:rPr>
        <w:noProof/>
      </w:rPr>
      <w:t>9</w:t>
    </w:r>
    <w:r w:rsidR="001D1596">
      <w:rPr>
        <w:noProof/>
      </w:rPr>
      <w:fldChar w:fldCharType="end"/>
    </w:r>
  </w:p>
  <w:p w:rsidR="001A0BFF" w:rsidRPr="00EC4381" w:rsidRDefault="00BA0EBA" w:rsidP="00EC438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104DBB" w:rsidP="00734C44">
    <w:pPr>
      <w:pStyle w:val="LanguageSymbol"/>
      <w:framePr w:wrap="around"/>
    </w:pPr>
    <w:bookmarkStart w:id="4" w:name="LanguageSymbolBookmark"/>
    <w:r>
      <w: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104DBB" w:rsidP="00F2216D">
          <w:bookmarkStart w:id="5" w:name="PublicationDateBookmark"/>
          <w:bookmarkEnd w:id="4"/>
          <w:r>
            <w:t xml:space="preserve">Julio de 2015 </w:t>
          </w:r>
          <w:bookmarkEnd w:id="5"/>
        </w:p>
      </w:tc>
      <w:tc>
        <w:tcPr>
          <w:tcW w:w="2500" w:type="pct"/>
          <w:noWrap/>
          <w:tcMar>
            <w:right w:w="0" w:type="dxa"/>
          </w:tcMar>
        </w:tcPr>
        <w:p w:rsidR="008E01CD" w:rsidRDefault="00104DBB" w:rsidP="00F2216D">
          <w:pPr>
            <w:jc w:val="right"/>
          </w:pPr>
          <w:bookmarkStart w:id="6" w:name="FirstCoverIdentificationBookmark"/>
          <w:r>
            <w:t xml:space="preserve">COFI:AQ/VIII/2015/2 </w:t>
          </w:r>
          <w:bookmarkEnd w:id="6"/>
        </w:p>
      </w:tc>
    </w:tr>
  </w:tbl>
  <w:p w:rsidR="00AE4D6E" w:rsidRPr="008E01CD" w:rsidRDefault="00BA0EBA" w:rsidP="008E01CD">
    <w:pPr>
      <w:pBdr>
        <w:bottom w:val="single" w:sz="12" w:space="0" w:color="auto"/>
      </w:pBdr>
      <w:spacing w:before="0"/>
      <w:contextualSpacing/>
      <w:rPr>
        <w:sz w:val="4"/>
      </w:rPr>
    </w:pPr>
  </w:p>
  <w:p w:rsidR="00DF0451" w:rsidRDefault="00104DBB" w:rsidP="008E01CD">
    <w:pPr>
      <w:jc w:val="center"/>
    </w:pPr>
    <w:bookmarkStart w:id="7" w:name="LogoBookmark"/>
    <w:r>
      <w:rPr>
        <w:noProof/>
        <w:lang w:val="es-ES_tradnl" w:eastAsia="es-ES_tradnl" w:bidi="ar-SA"/>
      </w:rPr>
      <w:drawing>
        <wp:inline distT="0" distB="0" distL="0" distR="0" wp14:anchorId="71EA261B" wp14:editId="3EC4C123">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FA66FE"/>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42226B5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BB"/>
    <w:rsid w:val="000A7006"/>
    <w:rsid w:val="00104DBB"/>
    <w:rsid w:val="00114A19"/>
    <w:rsid w:val="001D1596"/>
    <w:rsid w:val="00216EBC"/>
    <w:rsid w:val="0022317E"/>
    <w:rsid w:val="00242D97"/>
    <w:rsid w:val="002E2083"/>
    <w:rsid w:val="0031131A"/>
    <w:rsid w:val="00341642"/>
    <w:rsid w:val="003D7F7D"/>
    <w:rsid w:val="003E0171"/>
    <w:rsid w:val="00443C0B"/>
    <w:rsid w:val="00542F2E"/>
    <w:rsid w:val="005544D0"/>
    <w:rsid w:val="005E0F11"/>
    <w:rsid w:val="0060765D"/>
    <w:rsid w:val="006324DD"/>
    <w:rsid w:val="006512B1"/>
    <w:rsid w:val="00697793"/>
    <w:rsid w:val="007723D5"/>
    <w:rsid w:val="00795EE6"/>
    <w:rsid w:val="007B4FB6"/>
    <w:rsid w:val="00802333"/>
    <w:rsid w:val="00831537"/>
    <w:rsid w:val="0091744C"/>
    <w:rsid w:val="0092676C"/>
    <w:rsid w:val="0099238B"/>
    <w:rsid w:val="009A4ECB"/>
    <w:rsid w:val="009B4EE3"/>
    <w:rsid w:val="009C087B"/>
    <w:rsid w:val="009C5A6A"/>
    <w:rsid w:val="00A21890"/>
    <w:rsid w:val="00B11999"/>
    <w:rsid w:val="00BA0EBA"/>
    <w:rsid w:val="00BD3FA3"/>
    <w:rsid w:val="00BF72C2"/>
    <w:rsid w:val="00C379C7"/>
    <w:rsid w:val="00D15653"/>
    <w:rsid w:val="00D63C54"/>
    <w:rsid w:val="00E77EBA"/>
    <w:rsid w:val="00EA42E2"/>
    <w:rsid w:val="00FC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4DBB"/>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104DB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104DB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104D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rsid w:val="00104DBB"/>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104DBB"/>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104DBB"/>
    <w:pPr>
      <w:pBdr>
        <w:top w:val="single" w:sz="4" w:space="0" w:color="auto"/>
      </w:pBdr>
      <w:jc w:val="center"/>
    </w:pPr>
    <w:rPr>
      <w:i/>
      <w:sz w:val="20"/>
      <w:szCs w:val="28"/>
    </w:rPr>
  </w:style>
  <w:style w:type="character" w:customStyle="1" w:styleId="NoteChar">
    <w:name w:val="Note Char"/>
    <w:basedOn w:val="DefaultParagraphFont"/>
    <w:link w:val="Note"/>
    <w:rsid w:val="00104DBB"/>
    <w:rPr>
      <w:rFonts w:ascii="Times New Roman" w:hAnsi="Times New Roman" w:cs="Akhbar MT"/>
      <w:i/>
      <w:sz w:val="20"/>
      <w:szCs w:val="28"/>
      <w:lang w:val="es-ES"/>
    </w:rPr>
  </w:style>
  <w:style w:type="paragraph" w:customStyle="1" w:styleId="DocTitle">
    <w:name w:val="DocTitle"/>
    <w:basedOn w:val="Normal"/>
    <w:link w:val="DocTitleChar"/>
    <w:qFormat/>
    <w:rsid w:val="00104DB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104DBB"/>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104DBB"/>
    <w:pPr>
      <w:numPr>
        <w:numId w:val="2"/>
      </w:numPr>
      <w:contextualSpacing w:val="0"/>
    </w:pPr>
  </w:style>
  <w:style w:type="character" w:customStyle="1" w:styleId="NewParaChar">
    <w:name w:val="NewPara Char"/>
    <w:basedOn w:val="DefaultParagraphFont"/>
    <w:link w:val="NewPara"/>
    <w:rsid w:val="00104DBB"/>
    <w:rPr>
      <w:rFonts w:ascii="Times New Roman" w:hAnsi="Times New Roman" w:cs="Akhbar MT"/>
      <w:szCs w:val="30"/>
      <w:lang w:val="es-ES"/>
    </w:rPr>
  </w:style>
  <w:style w:type="paragraph" w:customStyle="1" w:styleId="BulletList">
    <w:name w:val="Bullet List"/>
    <w:basedOn w:val="ListParagraph"/>
    <w:link w:val="BulletListChar"/>
    <w:qFormat/>
    <w:rsid w:val="00104DBB"/>
    <w:pPr>
      <w:numPr>
        <w:numId w:val="3"/>
      </w:numPr>
      <w:ind w:left="714" w:hanging="357"/>
    </w:pPr>
  </w:style>
  <w:style w:type="character" w:customStyle="1" w:styleId="BulletListChar">
    <w:name w:val="Bullet List Char"/>
    <w:basedOn w:val="DefaultParagraphFont"/>
    <w:link w:val="BulletList"/>
    <w:rsid w:val="00104DBB"/>
    <w:rPr>
      <w:rFonts w:ascii="Times New Roman" w:hAnsi="Times New Roman" w:cs="Akhbar MT"/>
      <w:szCs w:val="30"/>
      <w:lang w:val="es-ES"/>
    </w:rPr>
  </w:style>
  <w:style w:type="paragraph" w:customStyle="1" w:styleId="Underlined">
    <w:name w:val="Underlined"/>
    <w:basedOn w:val="Normal"/>
    <w:link w:val="UnderlinedChar"/>
    <w:qFormat/>
    <w:rsid w:val="00104DBB"/>
    <w:pPr>
      <w:pBdr>
        <w:bottom w:val="single" w:sz="12" w:space="1" w:color="auto"/>
      </w:pBdr>
    </w:pPr>
  </w:style>
  <w:style w:type="character" w:customStyle="1" w:styleId="UnderlinedChar">
    <w:name w:val="Underlined Char"/>
    <w:basedOn w:val="DefaultParagraphFont"/>
    <w:link w:val="Underlined"/>
    <w:rsid w:val="00104DBB"/>
    <w:rPr>
      <w:rFonts w:ascii="Times New Roman" w:hAnsi="Times New Roman" w:cs="Akhbar MT"/>
      <w:szCs w:val="30"/>
      <w:lang w:val="es-ES"/>
    </w:rPr>
  </w:style>
  <w:style w:type="paragraph" w:customStyle="1" w:styleId="MeetingInfo">
    <w:name w:val="MeetingInfo"/>
    <w:basedOn w:val="Normal"/>
    <w:link w:val="MeetingInfoChar"/>
    <w:qFormat/>
    <w:rsid w:val="00104DB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104DBB"/>
    <w:rPr>
      <w:rFonts w:ascii="Times New Roman Bold" w:hAnsi="Times New Roman Bold" w:cs="Akhbar MT"/>
      <w:b/>
      <w:bCs/>
      <w:sz w:val="28"/>
      <w:szCs w:val="36"/>
      <w:lang w:val="es-ES"/>
    </w:rPr>
  </w:style>
  <w:style w:type="paragraph" w:customStyle="1" w:styleId="Hidden">
    <w:name w:val="Hidden"/>
    <w:basedOn w:val="Normal"/>
    <w:link w:val="HiddenChar"/>
    <w:qFormat/>
    <w:rsid w:val="00104DBB"/>
    <w:pPr>
      <w:spacing w:before="0" w:line="20" w:lineRule="exact"/>
    </w:pPr>
    <w:rPr>
      <w:sz w:val="2"/>
    </w:rPr>
  </w:style>
  <w:style w:type="character" w:customStyle="1" w:styleId="HiddenChar">
    <w:name w:val="Hidden Char"/>
    <w:basedOn w:val="DefaultParagraphFont"/>
    <w:link w:val="Hidden"/>
    <w:rsid w:val="00104DBB"/>
    <w:rPr>
      <w:rFonts w:ascii="Times New Roman" w:hAnsi="Times New Roman" w:cs="Akhbar MT"/>
      <w:sz w:val="2"/>
      <w:szCs w:val="30"/>
      <w:lang w:val="es-ES"/>
    </w:rPr>
  </w:style>
  <w:style w:type="paragraph" w:customStyle="1" w:styleId="LanguageSymbol">
    <w:name w:val="LanguageSymbol"/>
    <w:basedOn w:val="Normal"/>
    <w:link w:val="LanguageSymbolChar"/>
    <w:qFormat/>
    <w:rsid w:val="00104DB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104DBB"/>
    <w:rPr>
      <w:rFonts w:ascii="Times New Roman" w:hAnsi="Times New Roman" w:cs="Akhbar MT"/>
      <w:b/>
      <w:color w:val="808080"/>
      <w:sz w:val="56"/>
      <w:szCs w:val="56"/>
      <w:lang w:val="es-ES"/>
    </w:rPr>
  </w:style>
  <w:style w:type="table" w:styleId="TableGrid">
    <w:name w:val="Table Grid"/>
    <w:basedOn w:val="TableNormal"/>
    <w:uiPriority w:val="59"/>
    <w:rsid w:val="0010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04DBB"/>
  </w:style>
  <w:style w:type="paragraph" w:styleId="FootnoteText">
    <w:name w:val="footnote text"/>
    <w:basedOn w:val="Normal"/>
    <w:link w:val="FootnoteTextChar"/>
    <w:unhideWhenUsed/>
    <w:rsid w:val="00104DBB"/>
    <w:pPr>
      <w:spacing w:before="0"/>
    </w:pPr>
    <w:rPr>
      <w:sz w:val="20"/>
      <w:szCs w:val="20"/>
    </w:rPr>
  </w:style>
  <w:style w:type="character" w:customStyle="1" w:styleId="FootnoteTextChar">
    <w:name w:val="Footnote Text Char"/>
    <w:basedOn w:val="DefaultParagraphFont"/>
    <w:link w:val="FootnoteText"/>
    <w:rsid w:val="00104DBB"/>
    <w:rPr>
      <w:rFonts w:ascii="Times New Roman" w:hAnsi="Times New Roman" w:cs="Akhbar MT"/>
      <w:sz w:val="20"/>
      <w:szCs w:val="20"/>
      <w:lang w:val="es-ES"/>
    </w:rPr>
  </w:style>
  <w:style w:type="character" w:styleId="FootnoteReference">
    <w:name w:val="footnote reference"/>
    <w:aliases w:val="stylish"/>
    <w:semiHidden/>
    <w:rsid w:val="00104DBB"/>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104DBB"/>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104DBB"/>
    <w:pPr>
      <w:ind w:left="720"/>
      <w:contextualSpacing/>
    </w:pPr>
  </w:style>
  <w:style w:type="paragraph" w:styleId="BalloonText">
    <w:name w:val="Balloon Text"/>
    <w:basedOn w:val="Normal"/>
    <w:link w:val="BalloonTextChar"/>
    <w:uiPriority w:val="99"/>
    <w:semiHidden/>
    <w:unhideWhenUsed/>
    <w:rsid w:val="00104D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B"/>
    <w:rPr>
      <w:rFonts w:ascii="Tahoma" w:hAnsi="Tahoma" w:cs="Tahoma"/>
      <w:sz w:val="16"/>
      <w:szCs w:val="16"/>
      <w:lang w:val="es-ES"/>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4DBB"/>
    <w:pPr>
      <w:spacing w:before="120" w:after="0" w:line="240" w:lineRule="auto"/>
    </w:pPr>
    <w:rPr>
      <w:rFonts w:ascii="Times New Roman" w:hAnsi="Times New Roman" w:cs="Akhbar MT"/>
      <w:szCs w:val="30"/>
    </w:rPr>
  </w:style>
  <w:style w:type="paragraph" w:styleId="Heading1">
    <w:name w:val="heading 1"/>
    <w:aliases w:val="Part"/>
    <w:basedOn w:val="Normal"/>
    <w:next w:val="Heading2"/>
    <w:link w:val="Heading1Char"/>
    <w:qFormat/>
    <w:rsid w:val="00104DB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104DB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104D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pPr>
  </w:style>
  <w:style w:type="character" w:customStyle="1" w:styleId="HeaderChar">
    <w:name w:val="Header Char"/>
    <w:basedOn w:val="DefaultParagraphFont"/>
    <w:link w:val="Header"/>
    <w:uiPriority w:val="99"/>
    <w:rsid w:val="005E0F11"/>
    <w:rPr>
      <w:rFonts w:ascii="Times New Roman" w:hAnsi="Times New Roman"/>
      <w:sz w:val="24"/>
      <w:lang w:val="es-ES"/>
    </w:rPr>
  </w:style>
  <w:style w:type="paragraph" w:styleId="Footer">
    <w:name w:val="footer"/>
    <w:basedOn w:val="Normal"/>
    <w:link w:val="FooterChar"/>
    <w:uiPriority w:val="99"/>
    <w:unhideWhenUsed/>
    <w:rsid w:val="009C087B"/>
    <w:pPr>
      <w:tabs>
        <w:tab w:val="center" w:pos="4536"/>
        <w:tab w:val="right" w:pos="9072"/>
      </w:tabs>
    </w:pPr>
  </w:style>
  <w:style w:type="character" w:customStyle="1" w:styleId="FooterChar">
    <w:name w:val="Footer Char"/>
    <w:basedOn w:val="DefaultParagraphFont"/>
    <w:link w:val="Footer"/>
    <w:uiPriority w:val="99"/>
    <w:rsid w:val="009C087B"/>
    <w:rPr>
      <w:rFonts w:ascii="Times New Roman" w:hAnsi="Times New Roman"/>
      <w:sz w:val="24"/>
      <w:lang w:val="es-ES"/>
    </w:rPr>
  </w:style>
  <w:style w:type="character" w:customStyle="1" w:styleId="Heading1Char">
    <w:name w:val="Heading 1 Char"/>
    <w:aliases w:val="Part Char"/>
    <w:basedOn w:val="DefaultParagraphFont"/>
    <w:link w:val="Heading1"/>
    <w:rsid w:val="00104DBB"/>
    <w:rPr>
      <w:rFonts w:ascii="Times New Roman Bold" w:eastAsia="Times New Roman" w:hAnsi="Times New Roman Bold" w:cs="Akhbar MT"/>
      <w:b/>
      <w:bCs/>
      <w:sz w:val="26"/>
      <w:szCs w:val="36"/>
      <w:lang w:val="es-ES"/>
    </w:rPr>
  </w:style>
  <w:style w:type="character" w:customStyle="1" w:styleId="Heading2Char">
    <w:name w:val="Heading 2 Char"/>
    <w:aliases w:val="Chpt Char"/>
    <w:basedOn w:val="DefaultParagraphFont"/>
    <w:link w:val="Heading2"/>
    <w:rsid w:val="00104DBB"/>
    <w:rPr>
      <w:rFonts w:ascii="Times New Roman Bold" w:eastAsia="Times New Roman" w:hAnsi="Times New Roman Bold" w:cs="Akhbar MT"/>
      <w:b/>
      <w:bCs/>
      <w:sz w:val="24"/>
      <w:szCs w:val="32"/>
      <w:lang w:val="es-ES"/>
    </w:rPr>
  </w:style>
  <w:style w:type="paragraph" w:customStyle="1" w:styleId="Note">
    <w:name w:val="Note"/>
    <w:basedOn w:val="Normal"/>
    <w:link w:val="NoteChar"/>
    <w:autoRedefine/>
    <w:qFormat/>
    <w:rsid w:val="00104DBB"/>
    <w:pPr>
      <w:pBdr>
        <w:top w:val="single" w:sz="4" w:space="0" w:color="auto"/>
      </w:pBdr>
      <w:jc w:val="center"/>
    </w:pPr>
    <w:rPr>
      <w:i/>
      <w:sz w:val="20"/>
      <w:szCs w:val="28"/>
    </w:rPr>
  </w:style>
  <w:style w:type="character" w:customStyle="1" w:styleId="NoteChar">
    <w:name w:val="Note Char"/>
    <w:basedOn w:val="DefaultParagraphFont"/>
    <w:link w:val="Note"/>
    <w:rsid w:val="00104DBB"/>
    <w:rPr>
      <w:rFonts w:ascii="Times New Roman" w:hAnsi="Times New Roman" w:cs="Akhbar MT"/>
      <w:i/>
      <w:sz w:val="20"/>
      <w:szCs w:val="28"/>
      <w:lang w:val="es-ES"/>
    </w:rPr>
  </w:style>
  <w:style w:type="paragraph" w:customStyle="1" w:styleId="DocTitle">
    <w:name w:val="DocTitle"/>
    <w:basedOn w:val="Normal"/>
    <w:link w:val="DocTitleChar"/>
    <w:qFormat/>
    <w:rsid w:val="00104DB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104DBB"/>
    <w:rPr>
      <w:rFonts w:ascii="Times New Roman" w:hAnsi="Times New Roman" w:cs="Akhbar MT"/>
      <w:bCs/>
      <w:color w:val="7F7F7F" w:themeColor="text1" w:themeTint="80"/>
      <w:sz w:val="56"/>
      <w:szCs w:val="72"/>
      <w:lang w:val="es-ES"/>
    </w:rPr>
  </w:style>
  <w:style w:type="paragraph" w:customStyle="1" w:styleId="NewPara">
    <w:name w:val="NewPara"/>
    <w:basedOn w:val="ListParagraph"/>
    <w:link w:val="NewParaChar"/>
    <w:qFormat/>
    <w:rsid w:val="00104DBB"/>
    <w:pPr>
      <w:numPr>
        <w:numId w:val="2"/>
      </w:numPr>
      <w:contextualSpacing w:val="0"/>
    </w:pPr>
  </w:style>
  <w:style w:type="character" w:customStyle="1" w:styleId="NewParaChar">
    <w:name w:val="NewPara Char"/>
    <w:basedOn w:val="DefaultParagraphFont"/>
    <w:link w:val="NewPara"/>
    <w:rsid w:val="00104DBB"/>
    <w:rPr>
      <w:rFonts w:ascii="Times New Roman" w:hAnsi="Times New Roman" w:cs="Akhbar MT"/>
      <w:szCs w:val="30"/>
      <w:lang w:val="es-ES"/>
    </w:rPr>
  </w:style>
  <w:style w:type="paragraph" w:customStyle="1" w:styleId="BulletList">
    <w:name w:val="Bullet List"/>
    <w:basedOn w:val="ListParagraph"/>
    <w:link w:val="BulletListChar"/>
    <w:qFormat/>
    <w:rsid w:val="00104DBB"/>
    <w:pPr>
      <w:numPr>
        <w:numId w:val="3"/>
      </w:numPr>
      <w:ind w:left="714" w:hanging="357"/>
    </w:pPr>
  </w:style>
  <w:style w:type="character" w:customStyle="1" w:styleId="BulletListChar">
    <w:name w:val="Bullet List Char"/>
    <w:basedOn w:val="DefaultParagraphFont"/>
    <w:link w:val="BulletList"/>
    <w:rsid w:val="00104DBB"/>
    <w:rPr>
      <w:rFonts w:ascii="Times New Roman" w:hAnsi="Times New Roman" w:cs="Akhbar MT"/>
      <w:szCs w:val="30"/>
      <w:lang w:val="es-ES"/>
    </w:rPr>
  </w:style>
  <w:style w:type="paragraph" w:customStyle="1" w:styleId="Underlined">
    <w:name w:val="Underlined"/>
    <w:basedOn w:val="Normal"/>
    <w:link w:val="UnderlinedChar"/>
    <w:qFormat/>
    <w:rsid w:val="00104DBB"/>
    <w:pPr>
      <w:pBdr>
        <w:bottom w:val="single" w:sz="12" w:space="1" w:color="auto"/>
      </w:pBdr>
    </w:pPr>
  </w:style>
  <w:style w:type="character" w:customStyle="1" w:styleId="UnderlinedChar">
    <w:name w:val="Underlined Char"/>
    <w:basedOn w:val="DefaultParagraphFont"/>
    <w:link w:val="Underlined"/>
    <w:rsid w:val="00104DBB"/>
    <w:rPr>
      <w:rFonts w:ascii="Times New Roman" w:hAnsi="Times New Roman" w:cs="Akhbar MT"/>
      <w:szCs w:val="30"/>
      <w:lang w:val="es-ES"/>
    </w:rPr>
  </w:style>
  <w:style w:type="paragraph" w:customStyle="1" w:styleId="MeetingInfo">
    <w:name w:val="MeetingInfo"/>
    <w:basedOn w:val="Normal"/>
    <w:link w:val="MeetingInfoChar"/>
    <w:qFormat/>
    <w:rsid w:val="00104DB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104DBB"/>
    <w:rPr>
      <w:rFonts w:ascii="Times New Roman Bold" w:hAnsi="Times New Roman Bold" w:cs="Akhbar MT"/>
      <w:b/>
      <w:bCs/>
      <w:sz w:val="28"/>
      <w:szCs w:val="36"/>
      <w:lang w:val="es-ES"/>
    </w:rPr>
  </w:style>
  <w:style w:type="paragraph" w:customStyle="1" w:styleId="Hidden">
    <w:name w:val="Hidden"/>
    <w:basedOn w:val="Normal"/>
    <w:link w:val="HiddenChar"/>
    <w:qFormat/>
    <w:rsid w:val="00104DBB"/>
    <w:pPr>
      <w:spacing w:before="0" w:line="20" w:lineRule="exact"/>
    </w:pPr>
    <w:rPr>
      <w:sz w:val="2"/>
    </w:rPr>
  </w:style>
  <w:style w:type="character" w:customStyle="1" w:styleId="HiddenChar">
    <w:name w:val="Hidden Char"/>
    <w:basedOn w:val="DefaultParagraphFont"/>
    <w:link w:val="Hidden"/>
    <w:rsid w:val="00104DBB"/>
    <w:rPr>
      <w:rFonts w:ascii="Times New Roman" w:hAnsi="Times New Roman" w:cs="Akhbar MT"/>
      <w:sz w:val="2"/>
      <w:szCs w:val="30"/>
      <w:lang w:val="es-ES"/>
    </w:rPr>
  </w:style>
  <w:style w:type="paragraph" w:customStyle="1" w:styleId="LanguageSymbol">
    <w:name w:val="LanguageSymbol"/>
    <w:basedOn w:val="Normal"/>
    <w:link w:val="LanguageSymbolChar"/>
    <w:qFormat/>
    <w:rsid w:val="00104DB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104DBB"/>
    <w:rPr>
      <w:rFonts w:ascii="Times New Roman" w:hAnsi="Times New Roman" w:cs="Akhbar MT"/>
      <w:b/>
      <w:color w:val="808080"/>
      <w:sz w:val="56"/>
      <w:szCs w:val="56"/>
      <w:lang w:val="es-ES"/>
    </w:rPr>
  </w:style>
  <w:style w:type="table" w:styleId="TableGrid">
    <w:name w:val="Table Grid"/>
    <w:basedOn w:val="TableNormal"/>
    <w:uiPriority w:val="59"/>
    <w:rsid w:val="0010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04DBB"/>
  </w:style>
  <w:style w:type="paragraph" w:styleId="FootnoteText">
    <w:name w:val="footnote text"/>
    <w:basedOn w:val="Normal"/>
    <w:link w:val="FootnoteTextChar"/>
    <w:unhideWhenUsed/>
    <w:rsid w:val="00104DBB"/>
    <w:pPr>
      <w:spacing w:before="0"/>
    </w:pPr>
    <w:rPr>
      <w:sz w:val="20"/>
      <w:szCs w:val="20"/>
    </w:rPr>
  </w:style>
  <w:style w:type="character" w:customStyle="1" w:styleId="FootnoteTextChar">
    <w:name w:val="Footnote Text Char"/>
    <w:basedOn w:val="DefaultParagraphFont"/>
    <w:link w:val="FootnoteText"/>
    <w:rsid w:val="00104DBB"/>
    <w:rPr>
      <w:rFonts w:ascii="Times New Roman" w:hAnsi="Times New Roman" w:cs="Akhbar MT"/>
      <w:sz w:val="20"/>
      <w:szCs w:val="20"/>
      <w:lang w:val="es-ES"/>
    </w:rPr>
  </w:style>
  <w:style w:type="character" w:styleId="FootnoteReference">
    <w:name w:val="footnote reference"/>
    <w:aliases w:val="stylish"/>
    <w:semiHidden/>
    <w:rsid w:val="00104DBB"/>
    <w:rPr>
      <w:rFonts w:ascii="Book Antiqua" w:eastAsia="SimSun" w:hAnsi="Book Antiqua"/>
      <w:smallCaps/>
      <w:sz w:val="18"/>
      <w:szCs w:val="24"/>
      <w:vertAlign w:val="superscript"/>
      <w:lang w:val="es-ES" w:eastAsia="es-ES" w:bidi="es-ES"/>
    </w:rPr>
  </w:style>
  <w:style w:type="character" w:customStyle="1" w:styleId="Heading3Char">
    <w:name w:val="Heading 3 Char"/>
    <w:basedOn w:val="DefaultParagraphFont"/>
    <w:link w:val="Heading3"/>
    <w:uiPriority w:val="9"/>
    <w:semiHidden/>
    <w:rsid w:val="00104DBB"/>
    <w:rPr>
      <w:rFonts w:asciiTheme="majorHAnsi" w:eastAsiaTheme="majorEastAsia" w:hAnsiTheme="majorHAnsi" w:cstheme="majorBidi"/>
      <w:b/>
      <w:bCs/>
      <w:color w:val="4F81BD" w:themeColor="accent1"/>
      <w:szCs w:val="30"/>
      <w:lang w:val="es-ES"/>
    </w:rPr>
  </w:style>
  <w:style w:type="paragraph" w:styleId="ListParagraph">
    <w:name w:val="List Paragraph"/>
    <w:basedOn w:val="Normal"/>
    <w:uiPriority w:val="34"/>
    <w:qFormat/>
    <w:rsid w:val="00104DBB"/>
    <w:pPr>
      <w:ind w:left="720"/>
      <w:contextualSpacing/>
    </w:pPr>
  </w:style>
  <w:style w:type="paragraph" w:styleId="BalloonText">
    <w:name w:val="Balloon Text"/>
    <w:basedOn w:val="Normal"/>
    <w:link w:val="BalloonTextChar"/>
    <w:uiPriority w:val="99"/>
    <w:semiHidden/>
    <w:unhideWhenUsed/>
    <w:rsid w:val="00104D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B"/>
    <w:rPr>
      <w:rFonts w:ascii="Tahoma" w:hAnsi="Tahoma" w:cs="Tahoma"/>
      <w:sz w:val="16"/>
      <w:szCs w:val="16"/>
      <w:lang w:val="es-ES"/>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5971</Words>
  <Characters>32845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Mendez (CPAM)</dc:creator>
  <cp:lastModifiedBy>Sonia Garcia (CPAM)</cp:lastModifiedBy>
  <cp:revision>36</cp:revision>
  <cp:lastPrinted>2015-07-22T13:32:00Z</cp:lastPrinted>
  <dcterms:created xsi:type="dcterms:W3CDTF">2015-07-22T12:02:00Z</dcterms:created>
  <dcterms:modified xsi:type="dcterms:W3CDTF">2015-07-22T13:34:00Z</dcterms:modified>
</cp:coreProperties>
</file>